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7.wmf" ContentType="image/x-wmf"/>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ind w:hanging="0" w:left="147" w:right="-14"/>
      </w:pPr>
      <w:r>
        <w:rPr>
          <w:b/>
          <w:bCs/>
          <w:sz w:val="24"/>
          <w:szCs w:val="24"/>
        </w:rPr>
        <w:t>Task Group on Atmospheric Chemical Kinetic Data Evaluation – Data Sheet oClOx25</w:t>
      </w:r>
    </w:p>
    <w:p>
      <w:pPr>
        <w:pStyle w:val="style0"/>
        <w:ind w:hanging="0" w:left="191" w:right="265"/>
        <w:jc w:val="both"/>
      </w:pPr>
      <w:r>
        <w:rPr>
          <w:sz w:val="24"/>
          <w:szCs w:val="24"/>
        </w:rPr>
        <w:t xml:space="preserve">Website: </w:t>
      </w:r>
      <w:hyperlink r:id="rId2">
        <w:r>
          <w:rPr>
            <w:rStyle w:val="style17"/>
            <w:sz w:val="24"/>
            <w:szCs w:val="24"/>
          </w:rPr>
          <w:t>http://iupac.pole-ether.fr</w:t>
        </w:r>
      </w:hyperlink>
      <w:r>
        <w:rPr>
          <w:sz w:val="24"/>
          <w:szCs w:val="24"/>
        </w:rPr>
        <w:t xml:space="preserve">. See website for latest evaluated data. Data sheets can be downloaded for personal use only and must not be retransmitted or disseminated either electronically or in hardcopy without explicit written permission. The citation for this data sheet is: </w:t>
      </w:r>
      <w:r>
        <w:rPr>
          <w:spacing w:val="-3"/>
          <w:sz w:val="24"/>
          <w:szCs w:val="24"/>
          <w:lang w:val="en-US"/>
        </w:rPr>
        <w:t xml:space="preserve">Atkinson, R., Baulch, D. L., Cox, R. A., Crowley, J. N., Hampson, R. F., Hynes, R. G., Jenkin, M. E., Rossi, M. J., Troe, J., and Wallington, T. J.: Atmos. Chem. Phys., 9, 4141, 2008; IUPAC Task Group on Atmospheric Kinetic Data Evaluation, </w:t>
      </w:r>
      <w:hyperlink r:id="rId3">
        <w:r>
          <w:rPr>
            <w:rStyle w:val="style17"/>
            <w:sz w:val="24"/>
            <w:szCs w:val="24"/>
          </w:rPr>
          <w:t>http://iupac.pole-ether.fr</w:t>
        </w:r>
      </w:hyperlink>
      <w:r>
        <w:rPr>
          <w:sz w:val="24"/>
          <w:szCs w:val="24"/>
        </w:rPr>
        <w:t xml:space="preserve">. </w:t>
      </w:r>
    </w:p>
    <w:p>
      <w:pPr>
        <w:pStyle w:val="style0"/>
        <w:ind w:hanging="0" w:left="191" w:right="622"/>
        <w:jc w:val="both"/>
      </w:pPr>
      <w:r>
        <w:rPr>
          <w:sz w:val="24"/>
          <w:szCs w:val="24"/>
        </w:rPr>
        <w:t>This data sheet last evaluated: June 2014; last change in preferred values: December 2007.</w:t>
      </w:r>
    </w:p>
    <w:p>
      <w:pPr>
        <w:pStyle w:val="style0"/>
        <w:jc w:val="center"/>
      </w:pPr>
      <w:r>
        <w:rPr>
          <w:b/>
          <w:spacing w:val="-3"/>
          <w:sz w:val="24"/>
          <w:lang w:val="en-US"/>
        </w:rPr>
        <w:pict>
          <v:line from="-49pt,13.65pt" id="shape_0" style="position:absolute" to="562.85pt,13.65pt">
            <v:stroke color="black" endcap="flat" joinstyle="miter" weight="9360"/>
            <v:fill detectmouseclick="t"/>
          </v:line>
        </w:pict>
      </w:r>
    </w:p>
    <w:p>
      <w:pPr>
        <w:pStyle w:val="style0"/>
        <w:tabs>
          <w:tab w:leader="none" w:pos="4680" w:val="center"/>
          <w:tab w:leader="none" w:pos="8640" w:val="right"/>
        </w:tabs>
        <w:spacing w:line="240" w:lineRule="atLeast"/>
        <w:jc w:val="both"/>
      </w:pPr>
      <w:r>
        <w:rPr/>
      </w:r>
    </w:p>
    <w:p>
      <w:pPr>
        <w:pStyle w:val="style0"/>
        <w:tabs>
          <w:tab w:leader="none" w:pos="4680" w:val="center"/>
          <w:tab w:leader="none" w:pos="8640" w:val="right"/>
        </w:tabs>
        <w:spacing w:line="240" w:lineRule="atLeast"/>
        <w:jc w:val="both"/>
      </w:pPr>
      <w:r>
        <w:rPr>
          <w:b/>
          <w:spacing w:val="-3"/>
          <w:sz w:val="24"/>
          <w:lang w:val="en-US"/>
        </w:rPr>
        <w:tab/>
        <w:t>Cl + CH</w:t>
      </w:r>
      <w:r>
        <w:rPr>
          <w:b/>
          <w:spacing w:val="-3"/>
          <w:sz w:val="24"/>
          <w:vertAlign w:val="subscript"/>
          <w:lang w:val="en-US"/>
        </w:rPr>
        <w:t>3</w:t>
      </w:r>
      <w:r>
        <w:rPr>
          <w:b/>
          <w:spacing w:val="-3"/>
          <w:sz w:val="24"/>
          <w:lang w:val="en-US"/>
        </w:rPr>
        <w:t>CHF</w:t>
      </w:r>
      <w:r>
        <w:rPr>
          <w:b/>
          <w:spacing w:val="-3"/>
          <w:sz w:val="24"/>
          <w:vertAlign w:val="subscript"/>
          <w:lang w:val="en-US"/>
        </w:rPr>
        <w:t>2</w:t>
      </w:r>
      <w:r>
        <w:rPr>
          <w:b/>
          <w:spacing w:val="-3"/>
          <w:sz w:val="24"/>
          <w:lang w:val="en-US"/>
        </w:rPr>
        <w:t xml:space="preserve"> (HFC-152a) </w:t>
      </w:r>
      <w:r>
        <w:rPr>
          <w:rFonts w:ascii="Symbol" w:hAnsi="Symbol"/>
          <w:b/>
          <w:spacing w:val="-3"/>
          <w:sz w:val="24"/>
          <w:lang w:val="en-US"/>
        </w:rPr>
        <w:t></w:t>
      </w:r>
      <w:r>
        <w:rPr>
          <w:b/>
          <w:spacing w:val="-3"/>
          <w:sz w:val="24"/>
          <w:lang w:val="en-US"/>
        </w:rPr>
        <w:t xml:space="preserve"> HCl + CH</w:t>
      </w:r>
      <w:r>
        <w:rPr>
          <w:b/>
          <w:spacing w:val="-3"/>
          <w:sz w:val="24"/>
          <w:vertAlign w:val="subscript"/>
          <w:lang w:val="en-US"/>
        </w:rPr>
        <w:t>3</w:t>
      </w:r>
      <w:r>
        <w:rPr>
          <w:b/>
          <w:spacing w:val="-3"/>
          <w:sz w:val="24"/>
          <w:lang w:val="en-US"/>
        </w:rPr>
        <w:t>CF</w:t>
      </w:r>
      <w:r>
        <w:rPr>
          <w:b/>
          <w:spacing w:val="-3"/>
          <w:sz w:val="24"/>
          <w:vertAlign w:val="subscript"/>
          <w:lang w:val="en-US"/>
        </w:rPr>
        <w:t>2</w:t>
      </w:r>
      <w:r>
        <w:rPr>
          <w:b/>
          <w:spacing w:val="-3"/>
          <w:sz w:val="24"/>
          <w:lang w:val="en-US"/>
        </w:rPr>
        <w:tab/>
        <w:t>(1)</w:t>
      </w:r>
    </w:p>
    <w:p>
      <w:pPr>
        <w:pStyle w:val="style0"/>
        <w:tabs>
          <w:tab w:leader="none" w:pos="5040" w:val="left"/>
          <w:tab w:leader="none" w:pos="8640" w:val="right"/>
        </w:tabs>
        <w:spacing w:line="240" w:lineRule="atLeast"/>
        <w:jc w:val="both"/>
      </w:pPr>
      <w:r>
        <w:rPr>
          <w:b/>
          <w:spacing w:val="-3"/>
          <w:sz w:val="24"/>
          <w:lang w:val="en-US"/>
        </w:rPr>
        <w:tab/>
        <w:t xml:space="preserve">   </w:t>
      </w:r>
      <w:r>
        <w:rPr>
          <w:rFonts w:ascii="Symbol" w:hAnsi="Symbol"/>
          <w:b/>
          <w:spacing w:val="-3"/>
          <w:sz w:val="24"/>
          <w:lang w:val="en-US"/>
        </w:rPr>
        <w:t></w:t>
      </w:r>
      <w:r>
        <w:rPr>
          <w:b/>
          <w:spacing w:val="-3"/>
          <w:sz w:val="24"/>
          <w:lang w:val="en-US"/>
        </w:rPr>
        <w:t xml:space="preserve"> HCl + CH</w:t>
      </w:r>
      <w:r>
        <w:rPr>
          <w:b/>
          <w:spacing w:val="-3"/>
          <w:sz w:val="24"/>
          <w:vertAlign w:val="subscript"/>
          <w:lang w:val="en-US"/>
        </w:rPr>
        <w:t>2</w:t>
      </w:r>
      <w:r>
        <w:rPr>
          <w:b/>
          <w:spacing w:val="-3"/>
          <w:sz w:val="24"/>
          <w:lang w:val="en-US"/>
        </w:rPr>
        <w:t>CHF</w:t>
      </w:r>
      <w:r>
        <w:rPr>
          <w:b/>
          <w:spacing w:val="-3"/>
          <w:sz w:val="24"/>
          <w:vertAlign w:val="subscript"/>
          <w:lang w:val="en-US"/>
        </w:rPr>
        <w:t>2</w:t>
      </w:r>
      <w:r>
        <w:rPr>
          <w:b/>
          <w:spacing w:val="-3"/>
          <w:sz w:val="24"/>
          <w:lang w:val="en-US"/>
        </w:rPr>
        <w:tab/>
        <w:t>(2)</w:t>
      </w:r>
    </w:p>
    <w:p>
      <w:pPr>
        <w:pStyle w:val="style0"/>
        <w:tabs>
          <w:tab w:leader="none" w:pos="0" w:val="left"/>
          <w:tab w:leader="none" w:pos="288" w:val="left"/>
          <w:tab w:leader="none" w:pos="720" w:val="left"/>
        </w:tabs>
        <w:spacing w:line="240" w:lineRule="atLeast"/>
        <w:jc w:val="both"/>
      </w:pPr>
      <w:r>
        <w:rPr>
          <w:spacing w:val="-3"/>
          <w:sz w:val="24"/>
          <w:lang w:val="en-US"/>
        </w:rPr>
      </w:r>
    </w:p>
    <w:p>
      <w:pPr>
        <w:pStyle w:val="style0"/>
        <w:tabs>
          <w:tab w:leader="none" w:pos="567" w:val="left"/>
          <w:tab w:leader="none" w:pos="855" w:val="left"/>
          <w:tab w:leader="none" w:pos="1287" w:val="left"/>
        </w:tabs>
        <w:spacing w:line="240" w:lineRule="atLeast"/>
        <w:ind w:hanging="0" w:left="567" w:right="0"/>
        <w:jc w:val="both"/>
      </w:pPr>
      <w:r>
        <w:rPr>
          <w:rFonts w:ascii="Symbol" w:hAnsi="Symbol"/>
          <w:spacing w:val="-3"/>
          <w:sz w:val="24"/>
          <w:lang w:val="en-US"/>
        </w:rPr>
        <w:t></w:t>
      </w:r>
      <w:r>
        <w:rPr>
          <w:i/>
          <w:spacing w:val="-3"/>
          <w:sz w:val="24"/>
          <w:lang w:val="en-US"/>
        </w:rPr>
        <w:t>H</w:t>
      </w:r>
      <w:r>
        <w:rPr>
          <w:rFonts w:ascii="Symbol" w:hAnsi="Symbol"/>
          <w:spacing w:val="-3"/>
          <w:sz w:val="24"/>
          <w:lang w:val="en-US"/>
        </w:rPr>
        <w:t></w:t>
      </w:r>
      <w:r>
        <w:rPr>
          <w:spacing w:val="-3"/>
          <w:sz w:val="24"/>
          <w:lang w:val="en-US"/>
        </w:rPr>
        <w:t>(1) = -4.9 kJ mol</w:t>
      </w:r>
      <w:r>
        <w:rPr>
          <w:spacing w:val="-3"/>
          <w:sz w:val="24"/>
          <w:vertAlign w:val="superscript"/>
          <w:lang w:val="en-US"/>
        </w:rPr>
        <w:t>-1</w:t>
      </w:r>
    </w:p>
    <w:p>
      <w:pPr>
        <w:pStyle w:val="style0"/>
        <w:tabs>
          <w:tab w:leader="none" w:pos="567" w:val="left"/>
          <w:tab w:leader="none" w:pos="855" w:val="left"/>
          <w:tab w:leader="none" w:pos="1287" w:val="left"/>
        </w:tabs>
        <w:spacing w:line="240" w:lineRule="atLeast"/>
        <w:ind w:hanging="0" w:left="567" w:right="0"/>
        <w:jc w:val="both"/>
      </w:pPr>
      <w:r>
        <w:rPr>
          <w:rFonts w:ascii="Symbol" w:hAnsi="Symbol"/>
          <w:spacing w:val="-3"/>
          <w:sz w:val="24"/>
          <w:lang w:val="en-US"/>
        </w:rPr>
        <w:t></w:t>
      </w:r>
      <w:r>
        <w:rPr>
          <w:i/>
          <w:spacing w:val="-3"/>
          <w:sz w:val="24"/>
          <w:lang w:val="en-US"/>
        </w:rPr>
        <w:t>H</w:t>
      </w:r>
      <w:r>
        <w:rPr>
          <w:rFonts w:ascii="Symbol" w:hAnsi="Symbol"/>
          <w:spacing w:val="-3"/>
          <w:sz w:val="24"/>
          <w:lang w:val="en-US"/>
        </w:rPr>
        <w:t></w:t>
      </w:r>
      <w:r>
        <w:rPr>
          <w:spacing w:val="-3"/>
          <w:sz w:val="24"/>
          <w:lang w:val="en-US"/>
        </w:rPr>
        <w:t>(2) = 11.1 kJ mol</w:t>
      </w:r>
      <w:r>
        <w:rPr>
          <w:spacing w:val="-3"/>
          <w:sz w:val="24"/>
          <w:vertAlign w:val="superscript"/>
          <w:lang w:val="en-US"/>
        </w:rPr>
        <w:t>-1</w:t>
      </w:r>
    </w:p>
    <w:p>
      <w:pPr>
        <w:pStyle w:val="style0"/>
        <w:tabs>
          <w:tab w:leader="none" w:pos="4680" w:val="center"/>
        </w:tabs>
        <w:spacing w:line="240" w:lineRule="atLeast"/>
        <w:jc w:val="center"/>
      </w:pPr>
      <w:r>
        <w:rPr>
          <w:b/>
          <w:spacing w:val="-3"/>
          <w:sz w:val="24"/>
          <w:lang w:val="en-US"/>
        </w:rPr>
        <w:t>Rate coefficient data (</w:t>
      </w:r>
      <w:r>
        <w:rPr>
          <w:b/>
          <w:i/>
          <w:spacing w:val="-3"/>
          <w:sz w:val="24"/>
          <w:lang w:val="en-US"/>
        </w:rPr>
        <w:t>k</w:t>
      </w:r>
      <w:r>
        <w:rPr>
          <w:b/>
          <w:spacing w:val="-3"/>
          <w:sz w:val="24"/>
          <w:lang w:val="en-US"/>
        </w:rPr>
        <w:t xml:space="preserve"> = </w:t>
      </w:r>
      <w:r>
        <w:rPr>
          <w:b/>
          <w:i/>
          <w:spacing w:val="-3"/>
          <w:sz w:val="24"/>
          <w:lang w:val="en-US"/>
        </w:rPr>
        <w:t>k</w:t>
      </w:r>
      <w:r>
        <w:rPr>
          <w:b/>
          <w:spacing w:val="-3"/>
          <w:sz w:val="24"/>
          <w:vertAlign w:val="subscript"/>
          <w:lang w:val="en-US"/>
        </w:rPr>
        <w:t>1</w:t>
      </w:r>
      <w:r>
        <w:rPr>
          <w:b/>
          <w:spacing w:val="-3"/>
          <w:sz w:val="24"/>
          <w:lang w:val="en-US"/>
        </w:rPr>
        <w:t xml:space="preserve"> + </w:t>
      </w:r>
      <w:r>
        <w:rPr>
          <w:b/>
          <w:i/>
          <w:spacing w:val="-3"/>
          <w:sz w:val="24"/>
          <w:lang w:val="en-US"/>
        </w:rPr>
        <w:t>k</w:t>
      </w:r>
      <w:r>
        <w:rPr>
          <w:b/>
          <w:spacing w:val="-3"/>
          <w:sz w:val="24"/>
          <w:vertAlign w:val="subscript"/>
          <w:lang w:val="en-US"/>
        </w:rPr>
        <w:t>2</w:t>
      </w:r>
      <w:r>
        <w:rPr>
          <w:b/>
          <w:spacing w:val="-3"/>
          <w:sz w:val="24"/>
          <w:lang w:val="en-US"/>
        </w:rPr>
        <w:t>)</w:t>
      </w:r>
    </w:p>
    <w:p>
      <w:pPr>
        <w:pStyle w:val="style0"/>
        <w:tabs>
          <w:tab w:leader="none" w:pos="0" w:val="left"/>
          <w:tab w:leader="none" w:pos="288" w:val="left"/>
          <w:tab w:leader="none" w:pos="720" w:val="left"/>
        </w:tabs>
        <w:spacing w:line="240" w:lineRule="atLeast"/>
        <w:jc w:val="both"/>
      </w:pPr>
      <w:r>
        <w:rPr>
          <w:spacing w:val="-3"/>
          <w:sz w:val="24"/>
          <w:lang w:val="en-US"/>
        </w:rPr>
      </w:r>
    </w:p>
    <w:tbl>
      <w:tblPr>
        <w:jc w:val="left"/>
        <w:tblInd w:type="dxa" w:w="109"/>
        <w:tblBorders>
          <w:top w:color="000001" w:space="0" w:sz="2" w:val="double"/>
          <w:left w:val="none"/>
          <w:bottom w:color="000001" w:space="0" w:sz="4" w:val="single"/>
          <w:insideH w:color="000001" w:space="0" w:sz="4" w:val="single"/>
          <w:right w:val="none"/>
          <w:insideV w:val="none"/>
        </w:tblBorders>
        <w:tblCellMar>
          <w:top w:type="dxa" w:w="0"/>
          <w:left w:type="dxa" w:w="108"/>
          <w:bottom w:type="dxa" w:w="0"/>
          <w:right w:type="dxa" w:w="108"/>
        </w:tblCellMar>
      </w:tblPr>
      <w:tblGrid>
        <w:gridCol w:w="2806"/>
        <w:gridCol w:w="1037"/>
        <w:gridCol w:w="2987"/>
        <w:gridCol w:w="2025"/>
      </w:tblGrid>
      <w:tr>
        <w:trPr>
          <w:cantSplit w:val="false"/>
        </w:trPr>
        <w:tc>
          <w:tcPr>
            <w:tcW w:type="dxa" w:w="2806"/>
            <w:tcBorders>
              <w:top w:color="000001" w:space="0" w:sz="2" w:val="double"/>
              <w:left w:val="none"/>
              <w:bottom w:color="000001" w:space="0" w:sz="4" w:val="single"/>
              <w:right w:val="none"/>
            </w:tcBorders>
            <w:shd w:fill="FFFFFF" w:val="clear"/>
          </w:tcPr>
          <w:p>
            <w:pPr>
              <w:pStyle w:val="style0"/>
              <w:spacing w:after="120" w:before="120" w:line="264" w:lineRule="auto"/>
              <w:contextualSpacing w:val="false"/>
              <w:jc w:val="both"/>
            </w:pPr>
            <w:r>
              <w:rPr>
                <w:i/>
                <w:spacing w:val="-2"/>
                <w:lang w:val="en-US"/>
              </w:rPr>
              <w:t>k</w:t>
            </w:r>
            <w:r>
              <w:rPr>
                <w:spacing w:val="-2"/>
                <w:lang w:val="en-US"/>
              </w:rPr>
              <w:t>/cm</w:t>
            </w:r>
            <w:r>
              <w:rPr>
                <w:spacing w:val="-2"/>
                <w:vertAlign w:val="superscript"/>
                <w:lang w:val="en-US"/>
              </w:rPr>
              <w:t>3</w:t>
            </w:r>
            <w:r>
              <w:rPr>
                <w:spacing w:val="-2"/>
                <w:lang w:val="en-US"/>
              </w:rPr>
              <w:t xml:space="preserve"> molecule</w:t>
            </w:r>
            <w:r>
              <w:rPr>
                <w:spacing w:val="-2"/>
                <w:vertAlign w:val="superscript"/>
                <w:lang w:val="en-US"/>
              </w:rPr>
              <w:t>-1</w:t>
            </w:r>
            <w:r>
              <w:rPr>
                <w:spacing w:val="-2"/>
                <w:lang w:val="en-US"/>
              </w:rPr>
              <w:t xml:space="preserve"> s</w:t>
            </w:r>
            <w:r>
              <w:rPr>
                <w:spacing w:val="-2"/>
                <w:vertAlign w:val="superscript"/>
                <w:lang w:val="en-US"/>
              </w:rPr>
              <w:t>-1</w:t>
            </w:r>
            <w:r>
              <w:rPr>
                <w:spacing w:val="-2"/>
                <w:lang w:val="en-US"/>
              </w:rPr>
              <w:t xml:space="preserve"> </w:t>
            </w:r>
          </w:p>
        </w:tc>
        <w:tc>
          <w:tcPr>
            <w:tcW w:type="dxa" w:w="1037"/>
            <w:tcBorders>
              <w:top w:color="000001" w:space="0" w:sz="2" w:val="double"/>
              <w:left w:val="none"/>
              <w:bottom w:color="000001" w:space="0" w:sz="4" w:val="single"/>
              <w:right w:val="none"/>
            </w:tcBorders>
            <w:shd w:fill="FFFFFF" w:val="clear"/>
          </w:tcPr>
          <w:p>
            <w:pPr>
              <w:pStyle w:val="style0"/>
              <w:spacing w:after="120" w:before="120" w:line="264" w:lineRule="auto"/>
              <w:contextualSpacing w:val="false"/>
              <w:jc w:val="both"/>
            </w:pPr>
            <w:r>
              <w:rPr>
                <w:spacing w:val="-2"/>
                <w:lang w:val="en-US"/>
              </w:rPr>
              <w:t>Temp./K</w:t>
            </w:r>
          </w:p>
        </w:tc>
        <w:tc>
          <w:tcPr>
            <w:tcW w:type="dxa" w:w="2987"/>
            <w:tcBorders>
              <w:top w:color="000001" w:space="0" w:sz="2" w:val="double"/>
              <w:left w:val="none"/>
              <w:bottom w:color="000001" w:space="0" w:sz="4" w:val="single"/>
              <w:right w:val="none"/>
            </w:tcBorders>
            <w:shd w:fill="FFFFFF" w:val="clear"/>
          </w:tcPr>
          <w:p>
            <w:pPr>
              <w:pStyle w:val="style2"/>
              <w:numPr>
                <w:ilvl w:val="1"/>
                <w:numId w:val="1"/>
              </w:numPr>
              <w:spacing w:after="120" w:before="120"/>
              <w:contextualSpacing w:val="false"/>
            </w:pPr>
            <w:r>
              <w:rPr>
                <w:sz w:val="20"/>
              </w:rPr>
              <w:t>Reference</w:t>
            </w:r>
          </w:p>
        </w:tc>
        <w:tc>
          <w:tcPr>
            <w:tcW w:type="dxa" w:w="2025"/>
            <w:tcBorders>
              <w:top w:color="000001" w:space="0" w:sz="2" w:val="double"/>
              <w:left w:val="none"/>
              <w:bottom w:color="000001" w:space="0" w:sz="4" w:val="single"/>
              <w:right w:val="none"/>
            </w:tcBorders>
            <w:shd w:fill="FFFFFF" w:val="clear"/>
          </w:tcPr>
          <w:p>
            <w:pPr>
              <w:pStyle w:val="style0"/>
              <w:spacing w:after="120" w:before="120" w:line="264" w:lineRule="auto"/>
              <w:contextualSpacing w:val="false"/>
              <w:jc w:val="both"/>
            </w:pPr>
            <w:r>
              <w:rPr>
                <w:spacing w:val="-2"/>
                <w:lang w:val="en-US"/>
              </w:rPr>
              <w:t>Technique/ Comments</w:t>
            </w:r>
          </w:p>
        </w:tc>
      </w:tr>
      <w:tr>
        <w:trPr>
          <w:cantSplit w:val="false"/>
        </w:trPr>
        <w:tc>
          <w:tcPr>
            <w:tcW w:type="dxa" w:w="2806"/>
            <w:tcBorders>
              <w:top w:color="000001" w:space="0" w:sz="4" w:val="single"/>
              <w:left w:val="none"/>
              <w:bottom w:val="none"/>
              <w:right w:val="none"/>
            </w:tcBorders>
            <w:shd w:fill="FFFFFF" w:val="clear"/>
          </w:tcPr>
          <w:p>
            <w:pPr>
              <w:pStyle w:val="style0"/>
              <w:spacing w:after="0" w:before="120" w:line="264" w:lineRule="auto"/>
              <w:contextualSpacing w:val="false"/>
              <w:jc w:val="both"/>
            </w:pPr>
            <w:r>
              <w:rPr>
                <w:i/>
                <w:spacing w:val="-2"/>
                <w:lang w:val="en-US"/>
              </w:rPr>
              <w:t>Absolute Rate Coefficients</w:t>
            </w:r>
          </w:p>
        </w:tc>
        <w:tc>
          <w:tcPr>
            <w:tcW w:type="dxa" w:w="1037"/>
            <w:tcBorders>
              <w:top w:color="000001" w:space="0" w:sz="4" w:val="single"/>
              <w:left w:val="none"/>
              <w:bottom w:val="none"/>
              <w:right w:val="none"/>
            </w:tcBorders>
            <w:shd w:fill="FFFFFF" w:val="clear"/>
          </w:tcPr>
          <w:p>
            <w:pPr>
              <w:pStyle w:val="style0"/>
              <w:spacing w:after="0" w:before="120" w:line="264" w:lineRule="auto"/>
              <w:contextualSpacing w:val="false"/>
              <w:jc w:val="both"/>
            </w:pPr>
            <w:r>
              <w:rPr>
                <w:spacing w:val="-2"/>
                <w:lang w:val="en-US"/>
              </w:rPr>
            </w:r>
          </w:p>
        </w:tc>
        <w:tc>
          <w:tcPr>
            <w:tcW w:type="dxa" w:w="2987"/>
            <w:tcBorders>
              <w:top w:color="000001" w:space="0" w:sz="4" w:val="single"/>
              <w:left w:val="none"/>
              <w:bottom w:val="none"/>
              <w:right w:val="none"/>
            </w:tcBorders>
            <w:shd w:fill="FFFFFF" w:val="clear"/>
          </w:tcPr>
          <w:p>
            <w:pPr>
              <w:pStyle w:val="style0"/>
              <w:spacing w:after="0" w:before="120" w:line="264" w:lineRule="auto"/>
              <w:contextualSpacing w:val="false"/>
            </w:pPr>
            <w:r>
              <w:rPr>
                <w:spacing w:val="-2"/>
                <w:lang w:val="en-US"/>
              </w:rPr>
            </w:r>
          </w:p>
        </w:tc>
        <w:tc>
          <w:tcPr>
            <w:tcW w:type="dxa" w:w="2025"/>
            <w:tcBorders>
              <w:top w:color="000001" w:space="0" w:sz="4" w:val="single"/>
              <w:left w:val="none"/>
              <w:bottom w:val="none"/>
              <w:right w:val="none"/>
            </w:tcBorders>
            <w:shd w:fill="FFFFFF" w:val="clear"/>
          </w:tcPr>
          <w:p>
            <w:pPr>
              <w:pStyle w:val="style0"/>
              <w:spacing w:after="0" w:before="120" w:line="264" w:lineRule="auto"/>
              <w:contextualSpacing w:val="false"/>
              <w:jc w:val="both"/>
            </w:pPr>
            <w:r>
              <w:rPr>
                <w:spacing w:val="-2"/>
                <w:lang w:val="en-US"/>
              </w:rPr>
            </w:r>
          </w:p>
        </w:tc>
      </w:tr>
      <w:tr>
        <w:trPr>
          <w:cantSplit w:val="false"/>
        </w:trPr>
        <w:tc>
          <w:tcPr>
            <w:tcW w:type="dxa" w:w="2806"/>
            <w:tcBorders>
              <w:top w:val="none"/>
              <w:left w:val="none"/>
              <w:bottom w:val="none"/>
              <w:right w:val="none"/>
            </w:tcBorders>
            <w:shd w:fill="FFFFFF" w:val="clear"/>
          </w:tcPr>
          <w:p>
            <w:pPr>
              <w:pStyle w:val="style0"/>
              <w:spacing w:after="0" w:before="120" w:line="264" w:lineRule="auto"/>
              <w:contextualSpacing w:val="false"/>
              <w:jc w:val="both"/>
            </w:pPr>
            <w:r>
              <w:rPr>
                <w:spacing w:val="-2"/>
                <w:lang w:val="en-US"/>
              </w:rPr>
              <w:t xml:space="preserve">(2.54 </w:t>
            </w:r>
            <w:r>
              <w:rPr>
                <w:rFonts w:ascii="Symbol" w:hAnsi="Symbol"/>
                <w:spacing w:val="-2"/>
                <w:lang w:val="en-US"/>
              </w:rPr>
              <w:t></w:t>
            </w:r>
            <w:r>
              <w:rPr>
                <w:spacing w:val="-2"/>
                <w:lang w:val="en-US"/>
              </w:rPr>
              <w:t xml:space="preserve"> 0.25) x 10</w:t>
            </w:r>
            <w:r>
              <w:rPr>
                <w:spacing w:val="-2"/>
                <w:vertAlign w:val="superscript"/>
                <w:lang w:val="en-US"/>
              </w:rPr>
              <w:t>-13</w:t>
            </w:r>
          </w:p>
        </w:tc>
        <w:tc>
          <w:tcPr>
            <w:tcW w:type="dxa" w:w="1037"/>
            <w:tcBorders>
              <w:top w:val="none"/>
              <w:left w:val="none"/>
              <w:bottom w:val="none"/>
              <w:right w:val="none"/>
            </w:tcBorders>
            <w:shd w:fill="FFFFFF" w:val="clear"/>
          </w:tcPr>
          <w:p>
            <w:pPr>
              <w:pStyle w:val="style0"/>
              <w:spacing w:after="0" w:before="120" w:line="264" w:lineRule="auto"/>
              <w:contextualSpacing w:val="false"/>
              <w:jc w:val="both"/>
            </w:pPr>
            <w:r>
              <w:rPr>
                <w:spacing w:val="-2"/>
                <w:lang w:val="en-US"/>
              </w:rPr>
              <w:t>295</w:t>
            </w:r>
          </w:p>
        </w:tc>
        <w:tc>
          <w:tcPr>
            <w:tcW w:type="dxa" w:w="2987"/>
            <w:tcBorders>
              <w:top w:val="none"/>
              <w:left w:val="none"/>
              <w:bottom w:val="none"/>
              <w:right w:val="none"/>
            </w:tcBorders>
            <w:shd w:fill="FFFFFF" w:val="clear"/>
          </w:tcPr>
          <w:p>
            <w:pPr>
              <w:pStyle w:val="style0"/>
              <w:spacing w:after="0" w:before="120" w:line="264" w:lineRule="auto"/>
              <w:contextualSpacing w:val="false"/>
            </w:pPr>
            <w:r>
              <w:rPr>
                <w:spacing w:val="-2"/>
                <w:lang w:val="en-US"/>
              </w:rPr>
              <w:t>Taketani et al. (2005)</w:t>
            </w:r>
          </w:p>
        </w:tc>
        <w:tc>
          <w:tcPr>
            <w:tcW w:type="dxa" w:w="2025"/>
            <w:tcBorders>
              <w:top w:val="none"/>
              <w:left w:val="none"/>
              <w:bottom w:val="none"/>
              <w:right w:val="none"/>
            </w:tcBorders>
            <w:shd w:fill="FFFFFF" w:val="clear"/>
          </w:tcPr>
          <w:p>
            <w:pPr>
              <w:pStyle w:val="style0"/>
              <w:spacing w:after="0" w:before="120" w:line="264" w:lineRule="auto"/>
              <w:contextualSpacing w:val="false"/>
              <w:jc w:val="both"/>
            </w:pPr>
            <w:r>
              <w:rPr>
                <w:spacing w:val="-2"/>
                <w:lang w:val="en-US"/>
              </w:rPr>
              <w:t>PLP-LIF (a)</w:t>
            </w:r>
          </w:p>
        </w:tc>
      </w:tr>
      <w:tr>
        <w:trPr>
          <w:cantSplit w:val="false"/>
        </w:trPr>
        <w:tc>
          <w:tcPr>
            <w:tcW w:type="dxa" w:w="2806"/>
            <w:tcBorders>
              <w:top w:val="none"/>
              <w:left w:val="none"/>
              <w:bottom w:val="none"/>
              <w:right w:val="none"/>
            </w:tcBorders>
            <w:shd w:fill="FFFFFF" w:val="clear"/>
          </w:tcPr>
          <w:p>
            <w:pPr>
              <w:pStyle w:val="style0"/>
              <w:spacing w:after="0" w:before="120" w:line="264" w:lineRule="auto"/>
              <w:contextualSpacing w:val="false"/>
              <w:jc w:val="both"/>
            </w:pPr>
            <w:r>
              <w:rPr>
                <w:i/>
                <w:spacing w:val="-2"/>
                <w:lang w:val="en-US"/>
              </w:rPr>
              <w:t>Relative Rate Coefficients</w:t>
            </w:r>
          </w:p>
        </w:tc>
        <w:tc>
          <w:tcPr>
            <w:tcW w:type="dxa" w:w="1037"/>
            <w:tcBorders>
              <w:top w:val="none"/>
              <w:left w:val="none"/>
              <w:bottom w:val="none"/>
              <w:right w:val="none"/>
            </w:tcBorders>
            <w:shd w:fill="FFFFFF" w:val="clear"/>
          </w:tcPr>
          <w:p>
            <w:pPr>
              <w:pStyle w:val="style0"/>
              <w:spacing w:after="0" w:before="120" w:line="264" w:lineRule="auto"/>
              <w:contextualSpacing w:val="false"/>
              <w:jc w:val="both"/>
            </w:pPr>
            <w:r>
              <w:rPr>
                <w:spacing w:val="-2"/>
                <w:lang w:val="en-US"/>
              </w:rPr>
            </w:r>
          </w:p>
        </w:tc>
        <w:tc>
          <w:tcPr>
            <w:tcW w:type="dxa" w:w="2987"/>
            <w:tcBorders>
              <w:top w:val="none"/>
              <w:left w:val="none"/>
              <w:bottom w:val="none"/>
              <w:right w:val="none"/>
            </w:tcBorders>
            <w:shd w:fill="FFFFFF" w:val="clear"/>
          </w:tcPr>
          <w:p>
            <w:pPr>
              <w:pStyle w:val="style0"/>
              <w:spacing w:after="0" w:before="120" w:line="264" w:lineRule="auto"/>
              <w:contextualSpacing w:val="false"/>
            </w:pPr>
            <w:r>
              <w:rPr>
                <w:spacing w:val="-2"/>
                <w:lang w:val="en-US"/>
              </w:rPr>
            </w:r>
          </w:p>
        </w:tc>
        <w:tc>
          <w:tcPr>
            <w:tcW w:type="dxa" w:w="2025"/>
            <w:tcBorders>
              <w:top w:val="none"/>
              <w:left w:val="none"/>
              <w:bottom w:val="none"/>
              <w:right w:val="none"/>
            </w:tcBorders>
            <w:shd w:fill="FFFFFF" w:val="clear"/>
          </w:tcPr>
          <w:p>
            <w:pPr>
              <w:pStyle w:val="style0"/>
              <w:spacing w:after="0" w:before="120" w:line="264" w:lineRule="auto"/>
              <w:contextualSpacing w:val="false"/>
              <w:jc w:val="both"/>
            </w:pPr>
            <w:r>
              <w:rPr>
                <w:spacing w:val="-2"/>
                <w:lang w:val="en-US"/>
              </w:rPr>
            </w:r>
          </w:p>
        </w:tc>
      </w:tr>
      <w:tr>
        <w:trPr>
          <w:cantSplit w:val="false"/>
        </w:trPr>
        <w:tc>
          <w:tcPr>
            <w:tcW w:type="dxa" w:w="2806"/>
            <w:tcBorders>
              <w:top w:val="none"/>
              <w:left w:val="none"/>
              <w:bottom w:val="none"/>
              <w:right w:val="none"/>
            </w:tcBorders>
            <w:shd w:fill="FFFFFF" w:val="clear"/>
          </w:tcPr>
          <w:p>
            <w:pPr>
              <w:pStyle w:val="style0"/>
              <w:spacing w:line="263" w:lineRule="atLeast"/>
              <w:jc w:val="both"/>
            </w:pPr>
            <w:r>
              <w:rPr>
                <w:i/>
                <w:spacing w:val="-2"/>
                <w:lang w:val="en-US"/>
              </w:rPr>
              <w:t>k</w:t>
            </w:r>
            <w:r>
              <w:rPr>
                <w:spacing w:val="-2"/>
                <w:vertAlign w:val="subscript"/>
                <w:lang w:val="en-US"/>
              </w:rPr>
              <w:t>1</w:t>
            </w:r>
            <w:r>
              <w:rPr>
                <w:spacing w:val="-2"/>
                <w:lang w:val="en-US"/>
              </w:rPr>
              <w:t xml:space="preserve"> = 7.0 x 10</w:t>
            </w:r>
            <w:r>
              <w:rPr>
                <w:spacing w:val="-2"/>
                <w:vertAlign w:val="superscript"/>
                <w:lang w:val="en-US"/>
              </w:rPr>
              <w:t>-12</w:t>
            </w:r>
            <w:r>
              <w:rPr>
                <w:spacing w:val="-2"/>
                <w:lang w:val="en-US"/>
              </w:rPr>
              <w:t xml:space="preserve"> exp(-965/</w:t>
            </w:r>
            <w:r>
              <w:rPr>
                <w:i/>
                <w:spacing w:val="-2"/>
                <w:lang w:val="en-US"/>
              </w:rPr>
              <w:t>T</w:t>
            </w:r>
            <w:r>
              <w:rPr>
                <w:spacing w:val="-2"/>
                <w:lang w:val="en-US"/>
              </w:rPr>
              <w:t>)</w:t>
            </w:r>
          </w:p>
        </w:tc>
        <w:tc>
          <w:tcPr>
            <w:tcW w:type="dxa" w:w="1037"/>
            <w:tcBorders>
              <w:top w:val="none"/>
              <w:left w:val="none"/>
              <w:bottom w:val="none"/>
              <w:right w:val="none"/>
            </w:tcBorders>
            <w:shd w:fill="FFFFFF" w:val="clear"/>
          </w:tcPr>
          <w:p>
            <w:pPr>
              <w:pStyle w:val="style0"/>
              <w:spacing w:line="263" w:lineRule="atLeast"/>
              <w:jc w:val="both"/>
            </w:pPr>
            <w:r>
              <w:rPr>
                <w:spacing w:val="-2"/>
                <w:lang w:val="en-US"/>
              </w:rPr>
              <w:t>280-360</w:t>
            </w:r>
          </w:p>
        </w:tc>
        <w:tc>
          <w:tcPr>
            <w:tcW w:type="dxa" w:w="2987"/>
            <w:tcBorders>
              <w:top w:val="none"/>
              <w:left w:val="none"/>
              <w:bottom w:val="none"/>
              <w:right w:val="none"/>
            </w:tcBorders>
            <w:shd w:fill="FFFFFF" w:val="clear"/>
          </w:tcPr>
          <w:p>
            <w:pPr>
              <w:pStyle w:val="style0"/>
              <w:spacing w:line="263" w:lineRule="atLeast"/>
              <w:jc w:val="both"/>
            </w:pPr>
            <w:r>
              <w:rPr>
                <w:spacing w:val="-2"/>
                <w:lang w:val="en-US"/>
              </w:rPr>
              <w:t>Yano and Tschuikow-Roux, 1986</w:t>
            </w:r>
          </w:p>
        </w:tc>
        <w:tc>
          <w:tcPr>
            <w:tcW w:type="dxa" w:w="2025"/>
            <w:tcBorders>
              <w:top w:val="none"/>
              <w:left w:val="none"/>
              <w:bottom w:val="none"/>
              <w:right w:val="none"/>
            </w:tcBorders>
            <w:shd w:fill="FFFFFF" w:val="clear"/>
          </w:tcPr>
          <w:p>
            <w:pPr>
              <w:pStyle w:val="style0"/>
              <w:spacing w:line="263" w:lineRule="atLeast"/>
              <w:jc w:val="center"/>
            </w:pPr>
            <w:r>
              <w:rPr>
                <w:spacing w:val="-2"/>
                <w:lang w:val="en-US"/>
              </w:rPr>
              <w:t>RR (b)</w:t>
            </w:r>
          </w:p>
        </w:tc>
      </w:tr>
      <w:tr>
        <w:trPr>
          <w:cantSplit w:val="false"/>
        </w:trPr>
        <w:tc>
          <w:tcPr>
            <w:tcW w:type="dxa" w:w="2806"/>
            <w:tcBorders>
              <w:top w:val="none"/>
              <w:left w:val="none"/>
              <w:bottom w:val="none"/>
              <w:right w:val="none"/>
            </w:tcBorders>
            <w:shd w:fill="FFFFFF" w:val="clear"/>
          </w:tcPr>
          <w:p>
            <w:pPr>
              <w:pStyle w:val="style0"/>
              <w:spacing w:line="263" w:lineRule="atLeast"/>
              <w:jc w:val="both"/>
            </w:pPr>
            <w:r>
              <w:rPr>
                <w:i/>
                <w:spacing w:val="-2"/>
                <w:lang w:val="de-DE"/>
              </w:rPr>
              <w:t>k</w:t>
            </w:r>
            <w:r>
              <w:rPr>
                <w:spacing w:val="-2"/>
                <w:vertAlign w:val="subscript"/>
                <w:lang w:val="de-DE"/>
              </w:rPr>
              <w:t>1</w:t>
            </w:r>
            <w:r>
              <w:rPr>
                <w:spacing w:val="-2"/>
                <w:lang w:val="de-DE"/>
              </w:rPr>
              <w:t xml:space="preserve"> = 2.7 x 10</w:t>
            </w:r>
            <w:r>
              <w:rPr>
                <w:spacing w:val="-2"/>
                <w:vertAlign w:val="superscript"/>
                <w:lang w:val="de-DE"/>
              </w:rPr>
              <w:t>-13</w:t>
            </w:r>
          </w:p>
        </w:tc>
        <w:tc>
          <w:tcPr>
            <w:tcW w:type="dxa" w:w="1037"/>
            <w:tcBorders>
              <w:top w:val="none"/>
              <w:left w:val="none"/>
              <w:bottom w:val="none"/>
              <w:right w:val="none"/>
            </w:tcBorders>
            <w:shd w:fill="FFFFFF" w:val="clear"/>
          </w:tcPr>
          <w:p>
            <w:pPr>
              <w:pStyle w:val="style0"/>
              <w:spacing w:line="263" w:lineRule="atLeast"/>
              <w:jc w:val="both"/>
            </w:pPr>
            <w:r>
              <w:rPr>
                <w:spacing w:val="-2"/>
                <w:lang w:val="de-DE"/>
              </w:rPr>
              <w:t>298</w:t>
            </w:r>
          </w:p>
        </w:tc>
        <w:tc>
          <w:tcPr>
            <w:tcW w:type="dxa" w:w="2987"/>
            <w:tcBorders>
              <w:top w:val="none"/>
              <w:left w:val="none"/>
              <w:bottom w:val="none"/>
              <w:right w:val="none"/>
            </w:tcBorders>
            <w:shd w:fill="FFFFFF" w:val="clear"/>
          </w:tcPr>
          <w:p>
            <w:pPr>
              <w:pStyle w:val="style0"/>
              <w:spacing w:line="263" w:lineRule="atLeast"/>
              <w:jc w:val="both"/>
            </w:pPr>
            <w:r>
              <w:rPr>
                <w:spacing w:val="-2"/>
                <w:lang w:val="de-DE"/>
              </w:rPr>
            </w:r>
          </w:p>
        </w:tc>
        <w:tc>
          <w:tcPr>
            <w:tcW w:type="dxa" w:w="2025"/>
            <w:tcBorders>
              <w:top w:val="none"/>
              <w:left w:val="none"/>
              <w:bottom w:val="none"/>
              <w:right w:val="none"/>
            </w:tcBorders>
            <w:shd w:fill="FFFFFF" w:val="clear"/>
          </w:tcPr>
          <w:p>
            <w:pPr>
              <w:pStyle w:val="style0"/>
              <w:spacing w:line="263" w:lineRule="atLeast"/>
              <w:jc w:val="center"/>
            </w:pPr>
            <w:r>
              <w:rPr>
                <w:spacing w:val="-2"/>
                <w:lang w:val="de-DE"/>
              </w:rPr>
            </w:r>
          </w:p>
        </w:tc>
      </w:tr>
      <w:tr>
        <w:trPr>
          <w:cantSplit w:val="false"/>
        </w:trPr>
        <w:tc>
          <w:tcPr>
            <w:tcW w:type="dxa" w:w="2806"/>
            <w:tcBorders>
              <w:top w:val="none"/>
              <w:left w:val="none"/>
              <w:bottom w:val="none"/>
              <w:right w:val="none"/>
            </w:tcBorders>
            <w:shd w:fill="FFFFFF" w:val="clear"/>
          </w:tcPr>
          <w:p>
            <w:pPr>
              <w:pStyle w:val="style0"/>
              <w:spacing w:line="263" w:lineRule="atLeast"/>
              <w:jc w:val="both"/>
            </w:pPr>
            <w:r>
              <w:rPr>
                <w:i/>
                <w:spacing w:val="-2"/>
                <w:lang w:val="de-DE"/>
              </w:rPr>
              <w:t>k</w:t>
            </w:r>
            <w:r>
              <w:rPr>
                <w:spacing w:val="-2"/>
                <w:vertAlign w:val="subscript"/>
                <w:lang w:val="de-DE"/>
              </w:rPr>
              <w:t>2</w:t>
            </w:r>
            <w:r>
              <w:rPr>
                <w:spacing w:val="-2"/>
                <w:lang w:val="de-DE"/>
              </w:rPr>
              <w:t xml:space="preserve"> = 7.8 x 10</w:t>
            </w:r>
            <w:r>
              <w:rPr>
                <w:spacing w:val="-2"/>
                <w:vertAlign w:val="superscript"/>
                <w:lang w:val="de-DE"/>
              </w:rPr>
              <w:t>-12</w:t>
            </w:r>
            <w:r>
              <w:rPr>
                <w:spacing w:val="-2"/>
                <w:lang w:val="de-DE"/>
              </w:rPr>
              <w:t xml:space="preserve"> exp(-2399/</w:t>
            </w:r>
            <w:r>
              <w:rPr>
                <w:i/>
                <w:spacing w:val="-2"/>
                <w:lang w:val="de-DE"/>
              </w:rPr>
              <w:t>T</w:t>
            </w:r>
            <w:r>
              <w:rPr>
                <w:spacing w:val="-2"/>
                <w:lang w:val="de-DE"/>
              </w:rPr>
              <w:t>)</w:t>
            </w:r>
          </w:p>
        </w:tc>
        <w:tc>
          <w:tcPr>
            <w:tcW w:type="dxa" w:w="1037"/>
            <w:tcBorders>
              <w:top w:val="none"/>
              <w:left w:val="none"/>
              <w:bottom w:val="none"/>
              <w:right w:val="none"/>
            </w:tcBorders>
            <w:shd w:fill="FFFFFF" w:val="clear"/>
          </w:tcPr>
          <w:p>
            <w:pPr>
              <w:pStyle w:val="style0"/>
              <w:spacing w:line="263" w:lineRule="atLeast"/>
              <w:jc w:val="both"/>
            </w:pPr>
            <w:r>
              <w:rPr>
                <w:spacing w:val="-2"/>
                <w:lang w:val="de-DE"/>
              </w:rPr>
              <w:t>280-360</w:t>
            </w:r>
          </w:p>
        </w:tc>
        <w:tc>
          <w:tcPr>
            <w:tcW w:type="dxa" w:w="2987"/>
            <w:tcBorders>
              <w:top w:val="none"/>
              <w:left w:val="none"/>
              <w:bottom w:val="none"/>
              <w:right w:val="none"/>
            </w:tcBorders>
            <w:shd w:fill="FFFFFF" w:val="clear"/>
          </w:tcPr>
          <w:p>
            <w:pPr>
              <w:pStyle w:val="style0"/>
              <w:spacing w:line="263" w:lineRule="atLeast"/>
              <w:jc w:val="both"/>
            </w:pPr>
            <w:r>
              <w:rPr>
                <w:spacing w:val="-2"/>
                <w:lang w:val="de-DE"/>
              </w:rPr>
            </w:r>
          </w:p>
        </w:tc>
        <w:tc>
          <w:tcPr>
            <w:tcW w:type="dxa" w:w="2025"/>
            <w:tcBorders>
              <w:top w:val="none"/>
              <w:left w:val="none"/>
              <w:bottom w:val="none"/>
              <w:right w:val="none"/>
            </w:tcBorders>
            <w:shd w:fill="FFFFFF" w:val="clear"/>
          </w:tcPr>
          <w:p>
            <w:pPr>
              <w:pStyle w:val="style0"/>
              <w:spacing w:line="263" w:lineRule="atLeast"/>
              <w:jc w:val="center"/>
            </w:pPr>
            <w:r>
              <w:rPr>
                <w:spacing w:val="-2"/>
                <w:lang w:val="de-DE"/>
              </w:rPr>
            </w:r>
          </w:p>
        </w:tc>
      </w:tr>
      <w:tr>
        <w:trPr>
          <w:cantSplit w:val="false"/>
        </w:trPr>
        <w:tc>
          <w:tcPr>
            <w:tcW w:type="dxa" w:w="2806"/>
            <w:tcBorders>
              <w:top w:val="none"/>
              <w:left w:val="none"/>
              <w:bottom w:val="none"/>
              <w:right w:val="none"/>
            </w:tcBorders>
            <w:shd w:fill="FFFFFF" w:val="clear"/>
          </w:tcPr>
          <w:p>
            <w:pPr>
              <w:pStyle w:val="style0"/>
              <w:spacing w:line="263" w:lineRule="atLeast"/>
              <w:jc w:val="both"/>
            </w:pPr>
            <w:r>
              <w:rPr>
                <w:i/>
                <w:spacing w:val="-2"/>
                <w:lang w:val="de-DE"/>
              </w:rPr>
              <w:t>k</w:t>
            </w:r>
            <w:r>
              <w:rPr>
                <w:spacing w:val="-2"/>
                <w:vertAlign w:val="subscript"/>
                <w:lang w:val="de-DE"/>
              </w:rPr>
              <w:t>2</w:t>
            </w:r>
            <w:r>
              <w:rPr>
                <w:spacing w:val="-2"/>
                <w:lang w:val="de-DE"/>
              </w:rPr>
              <w:t xml:space="preserve"> = 2.5 x 10</w:t>
            </w:r>
            <w:r>
              <w:rPr>
                <w:spacing w:val="-2"/>
                <w:vertAlign w:val="superscript"/>
                <w:lang w:val="de-DE"/>
              </w:rPr>
              <w:t>-15</w:t>
            </w:r>
          </w:p>
        </w:tc>
        <w:tc>
          <w:tcPr>
            <w:tcW w:type="dxa" w:w="1037"/>
            <w:tcBorders>
              <w:top w:val="none"/>
              <w:left w:val="none"/>
              <w:bottom w:val="none"/>
              <w:right w:val="none"/>
            </w:tcBorders>
            <w:shd w:fill="FFFFFF" w:val="clear"/>
          </w:tcPr>
          <w:p>
            <w:pPr>
              <w:pStyle w:val="style0"/>
              <w:spacing w:line="263" w:lineRule="atLeast"/>
              <w:jc w:val="both"/>
            </w:pPr>
            <w:r>
              <w:rPr>
                <w:spacing w:val="-2"/>
                <w:lang w:val="de-DE"/>
              </w:rPr>
              <w:t>298</w:t>
            </w:r>
          </w:p>
        </w:tc>
        <w:tc>
          <w:tcPr>
            <w:tcW w:type="dxa" w:w="2987"/>
            <w:tcBorders>
              <w:top w:val="none"/>
              <w:left w:val="none"/>
              <w:bottom w:val="none"/>
              <w:right w:val="none"/>
            </w:tcBorders>
            <w:shd w:fill="FFFFFF" w:val="clear"/>
          </w:tcPr>
          <w:p>
            <w:pPr>
              <w:pStyle w:val="style0"/>
              <w:spacing w:line="263" w:lineRule="atLeast"/>
              <w:jc w:val="both"/>
            </w:pPr>
            <w:r>
              <w:rPr>
                <w:spacing w:val="-2"/>
                <w:lang w:val="de-DE"/>
              </w:rPr>
            </w:r>
          </w:p>
        </w:tc>
        <w:tc>
          <w:tcPr>
            <w:tcW w:type="dxa" w:w="2025"/>
            <w:tcBorders>
              <w:top w:val="none"/>
              <w:left w:val="none"/>
              <w:bottom w:val="none"/>
              <w:right w:val="none"/>
            </w:tcBorders>
            <w:shd w:fill="FFFFFF" w:val="clear"/>
          </w:tcPr>
          <w:p>
            <w:pPr>
              <w:pStyle w:val="style0"/>
              <w:spacing w:line="263" w:lineRule="atLeast"/>
              <w:jc w:val="center"/>
            </w:pPr>
            <w:r>
              <w:rPr>
                <w:spacing w:val="-2"/>
                <w:lang w:val="de-DE"/>
              </w:rPr>
            </w:r>
          </w:p>
        </w:tc>
      </w:tr>
      <w:tr>
        <w:trPr>
          <w:cantSplit w:val="false"/>
        </w:trPr>
        <w:tc>
          <w:tcPr>
            <w:tcW w:type="dxa" w:w="2806"/>
            <w:tcBorders>
              <w:top w:val="none"/>
              <w:left w:val="none"/>
              <w:bottom w:val="none"/>
              <w:right w:val="none"/>
            </w:tcBorders>
            <w:shd w:fill="FFFFFF" w:val="clear"/>
          </w:tcPr>
          <w:p>
            <w:pPr>
              <w:pStyle w:val="style0"/>
              <w:spacing w:line="263" w:lineRule="atLeast"/>
              <w:jc w:val="both"/>
            </w:pPr>
            <w:r>
              <w:rPr>
                <w:spacing w:val="-2"/>
                <w:lang w:val="en-US"/>
              </w:rPr>
              <w:t xml:space="preserve">(2.4 </w:t>
            </w:r>
            <w:r>
              <w:rPr>
                <w:rFonts w:ascii="Symbol" w:hAnsi="Symbol"/>
                <w:spacing w:val="-2"/>
                <w:lang w:val="en-US"/>
              </w:rPr>
              <w:t></w:t>
            </w:r>
            <w:r>
              <w:rPr>
                <w:spacing w:val="-2"/>
                <w:lang w:val="en-US"/>
              </w:rPr>
              <w:t xml:space="preserve"> 0.7) x 10</w:t>
            </w:r>
            <w:r>
              <w:rPr>
                <w:spacing w:val="-2"/>
                <w:vertAlign w:val="superscript"/>
                <w:lang w:val="en-US"/>
              </w:rPr>
              <w:t>-13</w:t>
            </w:r>
          </w:p>
        </w:tc>
        <w:tc>
          <w:tcPr>
            <w:tcW w:type="dxa" w:w="1037"/>
            <w:tcBorders>
              <w:top w:val="none"/>
              <w:left w:val="none"/>
              <w:bottom w:val="none"/>
              <w:right w:val="none"/>
            </w:tcBorders>
            <w:shd w:fill="FFFFFF" w:val="clear"/>
          </w:tcPr>
          <w:p>
            <w:pPr>
              <w:pStyle w:val="style0"/>
              <w:spacing w:line="263" w:lineRule="atLeast"/>
              <w:jc w:val="both"/>
            </w:pPr>
            <w:r>
              <w:rPr>
                <w:spacing w:val="-2"/>
                <w:lang w:val="en-US"/>
              </w:rPr>
              <w:t>295</w:t>
            </w:r>
          </w:p>
        </w:tc>
        <w:tc>
          <w:tcPr>
            <w:tcW w:type="dxa" w:w="2987"/>
            <w:tcBorders>
              <w:top w:val="none"/>
              <w:left w:val="none"/>
              <w:bottom w:val="none"/>
              <w:right w:val="none"/>
            </w:tcBorders>
            <w:shd w:fill="FFFFFF" w:val="clear"/>
          </w:tcPr>
          <w:p>
            <w:pPr>
              <w:pStyle w:val="style0"/>
              <w:spacing w:line="263" w:lineRule="atLeast"/>
              <w:jc w:val="both"/>
            </w:pPr>
            <w:r>
              <w:rPr>
                <w:spacing w:val="-2"/>
                <w:lang w:val="en-US"/>
              </w:rPr>
              <w:t>Wallington and Hurley, 1992</w:t>
            </w:r>
          </w:p>
        </w:tc>
        <w:tc>
          <w:tcPr>
            <w:tcW w:type="dxa" w:w="2025"/>
            <w:tcBorders>
              <w:top w:val="none"/>
              <w:left w:val="none"/>
              <w:bottom w:val="none"/>
              <w:right w:val="none"/>
            </w:tcBorders>
            <w:shd w:fill="FFFFFF" w:val="clear"/>
          </w:tcPr>
          <w:p>
            <w:pPr>
              <w:pStyle w:val="style0"/>
              <w:spacing w:line="263" w:lineRule="atLeast"/>
              <w:jc w:val="center"/>
            </w:pPr>
            <w:r>
              <w:rPr>
                <w:spacing w:val="-2"/>
                <w:lang w:val="en-US"/>
              </w:rPr>
              <w:t>RR (c)</w:t>
            </w:r>
          </w:p>
        </w:tc>
      </w:tr>
      <w:tr>
        <w:trPr>
          <w:cantSplit w:val="false"/>
        </w:trPr>
        <w:tc>
          <w:tcPr>
            <w:tcW w:type="dxa" w:w="2806"/>
            <w:tcBorders>
              <w:top w:val="none"/>
              <w:left w:val="none"/>
              <w:bottom w:val="none"/>
              <w:right w:val="none"/>
            </w:tcBorders>
            <w:shd w:fill="FFFFFF" w:val="clear"/>
          </w:tcPr>
          <w:p>
            <w:pPr>
              <w:pStyle w:val="style0"/>
              <w:spacing w:after="120" w:before="0" w:line="264" w:lineRule="auto"/>
              <w:contextualSpacing w:val="false"/>
              <w:jc w:val="both"/>
            </w:pPr>
            <w:r>
              <w:rPr>
                <w:spacing w:val="-2"/>
                <w:lang w:val="en-US"/>
              </w:rPr>
              <w:t xml:space="preserve">(2.4 </w:t>
            </w:r>
            <w:r>
              <w:rPr>
                <w:rFonts w:ascii="Symbol" w:hAnsi="Symbol"/>
                <w:spacing w:val="-2"/>
                <w:lang w:val="en-US"/>
              </w:rPr>
              <w:t></w:t>
            </w:r>
            <w:r>
              <w:rPr>
                <w:spacing w:val="-2"/>
                <w:lang w:val="en-US"/>
              </w:rPr>
              <w:t xml:space="preserve"> 0.5) x 10</w:t>
            </w:r>
            <w:r>
              <w:rPr>
                <w:spacing w:val="-2"/>
                <w:vertAlign w:val="superscript"/>
                <w:lang w:val="en-US"/>
              </w:rPr>
              <w:t>-13</w:t>
            </w:r>
          </w:p>
        </w:tc>
        <w:tc>
          <w:tcPr>
            <w:tcW w:type="dxa" w:w="1037"/>
            <w:tcBorders>
              <w:top w:val="none"/>
              <w:left w:val="none"/>
              <w:bottom w:val="none"/>
              <w:right w:val="none"/>
            </w:tcBorders>
            <w:shd w:fill="FFFFFF" w:val="clear"/>
          </w:tcPr>
          <w:p>
            <w:pPr>
              <w:pStyle w:val="style0"/>
              <w:spacing w:after="120" w:before="0" w:line="264" w:lineRule="auto"/>
              <w:contextualSpacing w:val="false"/>
              <w:jc w:val="both"/>
            </w:pPr>
            <w:r>
              <w:rPr>
                <w:spacing w:val="-2"/>
                <w:lang w:val="en-US"/>
              </w:rPr>
              <w:t>298</w:t>
            </w:r>
          </w:p>
        </w:tc>
        <w:tc>
          <w:tcPr>
            <w:tcW w:type="dxa" w:w="2987"/>
            <w:tcBorders>
              <w:top w:val="none"/>
              <w:left w:val="none"/>
              <w:bottom w:val="none"/>
              <w:right w:val="none"/>
            </w:tcBorders>
            <w:shd w:fill="FFFFFF" w:val="clear"/>
          </w:tcPr>
          <w:p>
            <w:pPr>
              <w:pStyle w:val="style0"/>
              <w:spacing w:after="120" w:before="0" w:line="264" w:lineRule="auto"/>
              <w:contextualSpacing w:val="false"/>
              <w:jc w:val="both"/>
            </w:pPr>
            <w:r>
              <w:rPr>
                <w:spacing w:val="-2"/>
                <w:lang w:val="en-US"/>
              </w:rPr>
              <w:t>Tuazon, et al., 1992</w:t>
            </w:r>
          </w:p>
        </w:tc>
        <w:tc>
          <w:tcPr>
            <w:tcW w:type="dxa" w:w="2025"/>
            <w:tcBorders>
              <w:top w:val="none"/>
              <w:left w:val="none"/>
              <w:bottom w:val="none"/>
              <w:right w:val="none"/>
            </w:tcBorders>
            <w:shd w:fill="FFFFFF" w:val="clear"/>
          </w:tcPr>
          <w:p>
            <w:pPr>
              <w:pStyle w:val="style0"/>
              <w:spacing w:after="120" w:before="0" w:line="264" w:lineRule="auto"/>
              <w:contextualSpacing w:val="false"/>
              <w:jc w:val="center"/>
            </w:pPr>
            <w:r>
              <w:rPr>
                <w:spacing w:val="-2"/>
                <w:lang w:val="en-US"/>
              </w:rPr>
              <w:t>RR (d)</w:t>
            </w:r>
          </w:p>
        </w:tc>
      </w:tr>
      <w:tr>
        <w:trPr>
          <w:cantSplit w:val="false"/>
        </w:trPr>
        <w:tc>
          <w:tcPr>
            <w:tcW w:type="dxa" w:w="2806"/>
            <w:tcBorders>
              <w:top w:val="none"/>
              <w:left w:val="none"/>
              <w:bottom w:val="none"/>
              <w:right w:val="none"/>
            </w:tcBorders>
            <w:shd w:fill="FFFFFF" w:val="clear"/>
          </w:tcPr>
          <w:p>
            <w:pPr>
              <w:pStyle w:val="style0"/>
              <w:spacing w:after="120" w:before="0" w:line="264" w:lineRule="auto"/>
              <w:contextualSpacing w:val="false"/>
              <w:jc w:val="both"/>
            </w:pPr>
            <w:r>
              <w:rPr>
                <w:i/>
                <w:spacing w:val="-2"/>
                <w:lang w:val="en-US"/>
              </w:rPr>
              <w:t>k</w:t>
            </w:r>
            <w:r>
              <w:rPr>
                <w:spacing w:val="-2"/>
                <w:vertAlign w:val="subscript"/>
                <w:lang w:val="en-US"/>
              </w:rPr>
              <w:t>1</w:t>
            </w:r>
            <w:r>
              <w:rPr>
                <w:spacing w:val="-2"/>
                <w:lang w:val="en-US"/>
              </w:rPr>
              <w:t xml:space="preserve"> = (2.35 </w:t>
            </w:r>
            <w:r>
              <w:rPr>
                <w:rFonts w:ascii="Symbol" w:hAnsi="Symbol"/>
                <w:spacing w:val="-2"/>
                <w:lang w:val="en-US"/>
              </w:rPr>
              <w:t></w:t>
            </w:r>
            <w:r>
              <w:rPr>
                <w:spacing w:val="-2"/>
                <w:lang w:val="en-US"/>
              </w:rPr>
              <w:t xml:space="preserve"> 0.31) x 10</w:t>
            </w:r>
            <w:r>
              <w:rPr>
                <w:spacing w:val="-2"/>
                <w:vertAlign w:val="superscript"/>
                <w:lang w:val="en-US"/>
              </w:rPr>
              <w:t>-13</w:t>
            </w:r>
          </w:p>
        </w:tc>
        <w:tc>
          <w:tcPr>
            <w:tcW w:type="dxa" w:w="1037"/>
            <w:tcBorders>
              <w:top w:val="none"/>
              <w:left w:val="none"/>
              <w:bottom w:val="none"/>
              <w:right w:val="none"/>
            </w:tcBorders>
            <w:shd w:fill="FFFFFF" w:val="clear"/>
          </w:tcPr>
          <w:p>
            <w:pPr>
              <w:pStyle w:val="style0"/>
              <w:spacing w:after="120" w:before="0" w:line="264" w:lineRule="auto"/>
              <w:contextualSpacing w:val="false"/>
              <w:jc w:val="both"/>
            </w:pPr>
            <w:r>
              <w:rPr>
                <w:spacing w:val="-2"/>
                <w:lang w:val="en-US"/>
              </w:rPr>
              <w:t>295</w:t>
            </w:r>
          </w:p>
        </w:tc>
        <w:tc>
          <w:tcPr>
            <w:tcW w:type="dxa" w:w="2987"/>
            <w:tcBorders>
              <w:top w:val="none"/>
              <w:left w:val="none"/>
              <w:bottom w:val="none"/>
              <w:right w:val="none"/>
            </w:tcBorders>
            <w:shd w:fill="FFFFFF" w:val="clear"/>
          </w:tcPr>
          <w:p>
            <w:pPr>
              <w:pStyle w:val="style0"/>
              <w:spacing w:after="120" w:before="0" w:line="264" w:lineRule="auto"/>
              <w:contextualSpacing w:val="false"/>
              <w:jc w:val="both"/>
            </w:pPr>
            <w:r>
              <w:rPr>
                <w:spacing w:val="-2"/>
                <w:lang w:val="en-US"/>
              </w:rPr>
              <w:t>Taketani et al. (2005)</w:t>
            </w:r>
          </w:p>
        </w:tc>
        <w:tc>
          <w:tcPr>
            <w:tcW w:type="dxa" w:w="2025"/>
            <w:tcBorders>
              <w:top w:val="none"/>
              <w:left w:val="none"/>
              <w:bottom w:val="none"/>
              <w:right w:val="none"/>
            </w:tcBorders>
            <w:shd w:fill="FFFFFF" w:val="clear"/>
          </w:tcPr>
          <w:p>
            <w:pPr>
              <w:pStyle w:val="style0"/>
              <w:spacing w:after="120" w:before="0" w:line="264" w:lineRule="auto"/>
              <w:contextualSpacing w:val="false"/>
              <w:jc w:val="center"/>
            </w:pPr>
            <w:r>
              <w:rPr>
                <w:spacing w:val="-2"/>
                <w:lang w:val="en-US"/>
              </w:rPr>
              <w:t>RR (e)</w:t>
            </w:r>
          </w:p>
        </w:tc>
      </w:tr>
      <w:tr>
        <w:trPr>
          <w:cantSplit w:val="false"/>
        </w:trPr>
        <w:tc>
          <w:tcPr>
            <w:tcW w:type="dxa" w:w="2806"/>
            <w:tcBorders>
              <w:top w:val="none"/>
              <w:left w:val="none"/>
              <w:bottom w:color="000001" w:space="0" w:sz="4" w:val="single"/>
              <w:right w:val="none"/>
            </w:tcBorders>
            <w:shd w:fill="FFFFFF" w:val="clear"/>
          </w:tcPr>
          <w:p>
            <w:pPr>
              <w:pStyle w:val="style0"/>
              <w:spacing w:after="120" w:before="0" w:line="264" w:lineRule="auto"/>
              <w:contextualSpacing w:val="false"/>
              <w:jc w:val="both"/>
            </w:pPr>
            <w:r>
              <w:rPr>
                <w:i/>
                <w:spacing w:val="-2"/>
                <w:lang w:val="en-US"/>
              </w:rPr>
              <w:t>k</w:t>
            </w:r>
            <w:r>
              <w:rPr>
                <w:spacing w:val="-2"/>
                <w:vertAlign w:val="subscript"/>
                <w:lang w:val="en-US"/>
              </w:rPr>
              <w:t>2</w:t>
            </w:r>
            <w:r>
              <w:rPr>
                <w:spacing w:val="-2"/>
                <w:lang w:val="en-US"/>
              </w:rPr>
              <w:t xml:space="preserve"> = (1.92 </w:t>
            </w:r>
            <w:r>
              <w:rPr>
                <w:rFonts w:ascii="Symbol" w:hAnsi="Symbol"/>
                <w:spacing w:val="-2"/>
                <w:lang w:val="en-US"/>
              </w:rPr>
              <w:t></w:t>
            </w:r>
            <w:r>
              <w:rPr>
                <w:spacing w:val="-2"/>
                <w:lang w:val="en-US"/>
              </w:rPr>
              <w:t xml:space="preserve"> 0.30) x 10</w:t>
            </w:r>
            <w:r>
              <w:rPr>
                <w:spacing w:val="-2"/>
                <w:vertAlign w:val="superscript"/>
                <w:lang w:val="en-US"/>
              </w:rPr>
              <w:t>-15</w:t>
            </w:r>
          </w:p>
        </w:tc>
        <w:tc>
          <w:tcPr>
            <w:tcW w:type="dxa" w:w="1037"/>
            <w:tcBorders>
              <w:top w:val="none"/>
              <w:left w:val="none"/>
              <w:bottom w:color="000001" w:space="0" w:sz="4" w:val="single"/>
              <w:right w:val="none"/>
            </w:tcBorders>
            <w:shd w:fill="FFFFFF" w:val="clear"/>
          </w:tcPr>
          <w:p>
            <w:pPr>
              <w:pStyle w:val="style0"/>
              <w:spacing w:after="120" w:before="0" w:line="264" w:lineRule="auto"/>
              <w:contextualSpacing w:val="false"/>
              <w:jc w:val="both"/>
            </w:pPr>
            <w:r>
              <w:rPr>
                <w:spacing w:val="-2"/>
                <w:lang w:val="en-US"/>
              </w:rPr>
              <w:t>295</w:t>
            </w:r>
          </w:p>
        </w:tc>
        <w:tc>
          <w:tcPr>
            <w:tcW w:type="dxa" w:w="2987"/>
            <w:tcBorders>
              <w:top w:val="none"/>
              <w:left w:val="none"/>
              <w:bottom w:color="000001" w:space="0" w:sz="4" w:val="single"/>
              <w:right w:val="none"/>
            </w:tcBorders>
            <w:shd w:fill="FFFFFF" w:val="clear"/>
          </w:tcPr>
          <w:p>
            <w:pPr>
              <w:pStyle w:val="style0"/>
              <w:spacing w:after="120" w:before="0" w:line="264" w:lineRule="auto"/>
              <w:contextualSpacing w:val="false"/>
              <w:jc w:val="both"/>
            </w:pPr>
            <w:r>
              <w:rPr>
                <w:spacing w:val="-2"/>
                <w:lang w:val="en-US"/>
              </w:rPr>
            </w:r>
          </w:p>
        </w:tc>
        <w:tc>
          <w:tcPr>
            <w:tcW w:type="dxa" w:w="2025"/>
            <w:tcBorders>
              <w:top w:val="none"/>
              <w:left w:val="none"/>
              <w:bottom w:color="000001" w:space="0" w:sz="4" w:val="single"/>
              <w:right w:val="none"/>
            </w:tcBorders>
            <w:shd w:fill="FFFFFF" w:val="clear"/>
          </w:tcPr>
          <w:p>
            <w:pPr>
              <w:pStyle w:val="style0"/>
              <w:spacing w:after="120" w:before="0" w:line="264" w:lineRule="auto"/>
              <w:contextualSpacing w:val="false"/>
              <w:jc w:val="center"/>
            </w:pPr>
            <w:r>
              <w:rPr>
                <w:spacing w:val="-2"/>
                <w:lang w:val="en-US"/>
              </w:rPr>
            </w:r>
          </w:p>
        </w:tc>
      </w:tr>
    </w:tbl>
    <w:p>
      <w:pPr>
        <w:pStyle w:val="style0"/>
        <w:tabs>
          <w:tab w:leader="none" w:pos="0" w:val="left"/>
          <w:tab w:leader="none" w:pos="128" w:val="left"/>
          <w:tab w:leader="none" w:pos="3570" w:val="left"/>
          <w:tab w:leader="none" w:pos="4866" w:val="left"/>
          <w:tab w:leader="none" w:pos="8394" w:val="left"/>
          <w:tab w:leader="none" w:pos="8811" w:val="left"/>
          <w:tab w:leader="none" w:pos="9360" w:val="left"/>
        </w:tabs>
        <w:spacing w:line="240" w:lineRule="atLeast"/>
        <w:jc w:val="both"/>
      </w:pPr>
      <w:r>
        <w:rPr>
          <w:spacing w:val="-3"/>
          <w:sz w:val="24"/>
          <w:lang w:val="en-US"/>
        </w:rPr>
      </w:r>
    </w:p>
    <w:p>
      <w:pPr>
        <w:pStyle w:val="style0"/>
        <w:tabs>
          <w:tab w:leader="none" w:pos="4680" w:val="center"/>
        </w:tabs>
        <w:spacing w:line="240" w:lineRule="atLeast"/>
        <w:jc w:val="center"/>
      </w:pPr>
      <w:r>
        <w:rPr>
          <w:b/>
          <w:spacing w:val="-3"/>
          <w:sz w:val="24"/>
          <w:lang w:val="en-US"/>
        </w:rPr>
        <w:t>Comments</w:t>
      </w:r>
    </w:p>
    <w:p>
      <w:pPr>
        <w:pStyle w:val="style0"/>
        <w:tabs>
          <w:tab w:leader="none" w:pos="0" w:val="left"/>
          <w:tab w:leader="none" w:pos="444" w:val="left"/>
          <w:tab w:leader="none" w:pos="720" w:val="left"/>
        </w:tabs>
        <w:spacing w:line="240" w:lineRule="atLeast"/>
        <w:jc w:val="both"/>
      </w:pPr>
      <w:r>
        <w:rPr>
          <w:spacing w:val="-3"/>
          <w:sz w:val="24"/>
          <w:lang w:val="en-US"/>
        </w:rPr>
      </w:r>
    </w:p>
    <w:p>
      <w:pPr>
        <w:pStyle w:val="style0"/>
        <w:tabs>
          <w:tab w:leader="none" w:pos="442" w:val="left"/>
          <w:tab w:leader="none" w:pos="886" w:val="left"/>
          <w:tab w:leader="none" w:pos="1162" w:val="left"/>
        </w:tabs>
        <w:spacing w:line="240" w:lineRule="atLeast"/>
        <w:ind w:hanging="442" w:left="442" w:right="525"/>
        <w:jc w:val="both"/>
      </w:pPr>
      <w:r>
        <w:rPr>
          <w:spacing w:val="-3"/>
          <w:sz w:val="24"/>
          <w:lang w:val="en-US"/>
        </w:rPr>
        <w:t>(a)</w:t>
        <w:tab/>
        <w:t>Laser photolysis of HCl at 193 nm as Cl atom source. Both Cl(</w:t>
      </w:r>
      <w:r>
        <w:rPr>
          <w:spacing w:val="-3"/>
          <w:sz w:val="24"/>
          <w:vertAlign w:val="superscript"/>
          <w:lang w:val="en-US"/>
        </w:rPr>
        <w:t>2</w:t>
      </w:r>
      <w:r>
        <w:rPr>
          <w:spacing w:val="-3"/>
          <w:sz w:val="24"/>
          <w:lang w:val="en-US"/>
        </w:rPr>
        <w:t>P</w:t>
      </w:r>
      <w:r>
        <w:rPr>
          <w:spacing w:val="-3"/>
          <w:sz w:val="24"/>
          <w:vertAlign w:val="subscript"/>
          <w:lang w:val="en-US"/>
        </w:rPr>
        <w:t>3/2</w:t>
      </w:r>
      <w:r>
        <w:rPr>
          <w:spacing w:val="-3"/>
          <w:sz w:val="24"/>
          <w:lang w:val="en-US"/>
        </w:rPr>
        <w:t>) and Cl(</w:t>
      </w:r>
      <w:r>
        <w:rPr>
          <w:spacing w:val="-3"/>
          <w:sz w:val="24"/>
          <w:vertAlign w:val="superscript"/>
          <w:lang w:val="en-US"/>
        </w:rPr>
        <w:t>2</w:t>
      </w:r>
      <w:r>
        <w:rPr>
          <w:spacing w:val="-3"/>
          <w:sz w:val="24"/>
          <w:lang w:val="en-US"/>
        </w:rPr>
        <w:t>P</w:t>
      </w:r>
      <w:r>
        <w:rPr>
          <w:spacing w:val="-3"/>
          <w:sz w:val="24"/>
          <w:vertAlign w:val="subscript"/>
          <w:lang w:val="en-US"/>
        </w:rPr>
        <w:t>1/2</w:t>
      </w:r>
      <w:r>
        <w:rPr>
          <w:spacing w:val="-3"/>
          <w:sz w:val="24"/>
          <w:lang w:val="en-US"/>
        </w:rPr>
        <w:t xml:space="preserve">) detected by VUV-LIF. </w:t>
      </w:r>
    </w:p>
    <w:p>
      <w:pPr>
        <w:pStyle w:val="style0"/>
        <w:tabs>
          <w:tab w:leader="none" w:pos="444" w:val="left"/>
          <w:tab w:leader="none" w:pos="888" w:val="left"/>
          <w:tab w:leader="none" w:pos="1164" w:val="left"/>
        </w:tabs>
        <w:spacing w:line="240" w:lineRule="atLeast"/>
        <w:ind w:hanging="444" w:left="444" w:right="525"/>
        <w:jc w:val="both"/>
      </w:pPr>
      <w:r>
        <w:rPr>
          <w:spacing w:val="-3"/>
          <w:sz w:val="24"/>
          <w:lang w:val="en-US"/>
        </w:rPr>
        <w:t>(b)</w:t>
        <w:tab/>
        <w:t>Cl atoms were generated by the photolysis of Cl</w:t>
      </w:r>
      <w:r>
        <w:rPr>
          <w:spacing w:val="-3"/>
          <w:sz w:val="24"/>
          <w:vertAlign w:val="subscript"/>
          <w:lang w:val="en-US"/>
        </w:rPr>
        <w:t>2</w:t>
      </w:r>
      <w:r>
        <w:rPr>
          <w:spacing w:val="-3"/>
          <w:sz w:val="24"/>
          <w:lang w:val="en-US"/>
        </w:rPr>
        <w:t xml:space="preserve">.  Product yield ratios were determined by GC and the measured rate coefficient ratios ratios of  </w:t>
      </w:r>
      <w:r>
        <w:rPr>
          <w:i/>
          <w:spacing w:val="-3"/>
          <w:sz w:val="24"/>
          <w:lang w:val="en-US"/>
        </w:rPr>
        <w:t>k</w:t>
      </w:r>
      <w:r>
        <w:rPr>
          <w:spacing w:val="-3"/>
          <w:sz w:val="24"/>
          <w:vertAlign w:val="subscript"/>
          <w:lang w:val="en-US"/>
        </w:rPr>
        <w:t>1</w:t>
      </w:r>
      <w:r>
        <w:rPr>
          <w:spacing w:val="-3"/>
          <w:sz w:val="24"/>
          <w:lang w:val="en-US"/>
        </w:rPr>
        <w:t>/</w:t>
      </w:r>
      <w:r>
        <w:rPr>
          <w:i/>
          <w:spacing w:val="-3"/>
          <w:sz w:val="24"/>
          <w:lang w:val="en-US"/>
        </w:rPr>
        <w:t>k</w:t>
      </w:r>
      <w:r>
        <w:rPr>
          <w:spacing w:val="-3"/>
          <w:sz w:val="24"/>
          <w:lang w:val="en-US"/>
        </w:rPr>
        <w:t>(Cl + C</w:t>
      </w:r>
      <w:r>
        <w:rPr>
          <w:spacing w:val="-3"/>
          <w:sz w:val="24"/>
          <w:vertAlign w:val="subscript"/>
          <w:lang w:val="en-US"/>
        </w:rPr>
        <w:t>2</w:t>
      </w:r>
      <w:r>
        <w:rPr>
          <w:spacing w:val="-3"/>
          <w:sz w:val="24"/>
          <w:lang w:val="en-US"/>
        </w:rPr>
        <w:t>H</w:t>
      </w:r>
      <w:r>
        <w:rPr>
          <w:spacing w:val="-3"/>
          <w:sz w:val="24"/>
          <w:vertAlign w:val="subscript"/>
          <w:lang w:val="en-US"/>
        </w:rPr>
        <w:t>6</w:t>
      </w:r>
      <w:r>
        <w:rPr>
          <w:spacing w:val="-3"/>
          <w:sz w:val="24"/>
          <w:lang w:val="en-US"/>
        </w:rPr>
        <w:t xml:space="preserve">) = 0.0835 exp(866/T) and </w:t>
      </w:r>
      <w:r>
        <w:rPr>
          <w:i/>
          <w:spacing w:val="-3"/>
          <w:sz w:val="24"/>
          <w:lang w:val="en-US"/>
        </w:rPr>
        <w:t>k</w:t>
      </w:r>
      <w:r>
        <w:rPr>
          <w:spacing w:val="-3"/>
          <w:sz w:val="24"/>
          <w:vertAlign w:val="subscript"/>
          <w:lang w:val="en-US"/>
        </w:rPr>
        <w:t>2</w:t>
      </w:r>
      <w:r>
        <w:rPr>
          <w:spacing w:val="-3"/>
          <w:sz w:val="24"/>
          <w:lang w:val="en-US"/>
        </w:rPr>
        <w:t>/</w:t>
      </w:r>
      <w:r>
        <w:rPr>
          <w:i/>
          <w:spacing w:val="-3"/>
          <w:sz w:val="24"/>
          <w:lang w:val="en-US"/>
        </w:rPr>
        <w:t>k</w:t>
      </w:r>
      <w:r>
        <w:rPr>
          <w:spacing w:val="-3"/>
          <w:sz w:val="24"/>
          <w:lang w:val="en-US"/>
        </w:rPr>
        <w:t>(Cl + C</w:t>
      </w:r>
      <w:r>
        <w:rPr>
          <w:spacing w:val="-3"/>
          <w:sz w:val="24"/>
          <w:vertAlign w:val="subscript"/>
          <w:lang w:val="en-US"/>
        </w:rPr>
        <w:t>2</w:t>
      </w:r>
      <w:r>
        <w:rPr>
          <w:spacing w:val="-3"/>
          <w:sz w:val="24"/>
          <w:lang w:val="en-US"/>
        </w:rPr>
        <w:t>H</w:t>
      </w:r>
      <w:r>
        <w:rPr>
          <w:spacing w:val="-3"/>
          <w:sz w:val="24"/>
          <w:vertAlign w:val="subscript"/>
          <w:lang w:val="en-US"/>
        </w:rPr>
        <w:t>6</w:t>
      </w:r>
      <w:r>
        <w:rPr>
          <w:spacing w:val="-3"/>
          <w:sz w:val="24"/>
          <w:lang w:val="en-US"/>
        </w:rPr>
        <w:t xml:space="preserve">) = 0.0932 exp(2299/T) were placed on an absolute basis using </w:t>
      </w:r>
      <w:r>
        <w:rPr>
          <w:i/>
          <w:spacing w:val="-3"/>
          <w:sz w:val="24"/>
          <w:lang w:val="en-US"/>
        </w:rPr>
        <w:t>k</w:t>
      </w:r>
      <w:r>
        <w:rPr>
          <w:spacing w:val="-3"/>
          <w:sz w:val="24"/>
          <w:lang w:val="en-US"/>
        </w:rPr>
        <w:t>(Cl + C</w:t>
      </w:r>
      <w:r>
        <w:rPr>
          <w:spacing w:val="-3"/>
          <w:sz w:val="24"/>
          <w:vertAlign w:val="subscript"/>
          <w:lang w:val="en-US"/>
        </w:rPr>
        <w:t>2</w:t>
      </w:r>
      <w:r>
        <w:rPr>
          <w:spacing w:val="-3"/>
          <w:sz w:val="24"/>
          <w:lang w:val="en-US"/>
        </w:rPr>
        <w:t>H</w:t>
      </w:r>
      <w:r>
        <w:rPr>
          <w:spacing w:val="-3"/>
          <w:sz w:val="24"/>
          <w:vertAlign w:val="subscript"/>
          <w:lang w:val="en-US"/>
        </w:rPr>
        <w:t>6</w:t>
      </w:r>
      <w:r>
        <w:rPr>
          <w:spacing w:val="-3"/>
          <w:sz w:val="24"/>
          <w:lang w:val="en-US"/>
        </w:rPr>
        <w:t>) = 8.3 x 10</w:t>
      </w:r>
      <w:r>
        <w:rPr>
          <w:spacing w:val="-3"/>
          <w:sz w:val="24"/>
          <w:vertAlign w:val="superscript"/>
          <w:lang w:val="en-US"/>
        </w:rPr>
        <w:t>-11</w:t>
      </w:r>
      <w:r>
        <w:rPr>
          <w:spacing w:val="-3"/>
          <w:sz w:val="24"/>
          <w:lang w:val="en-US"/>
        </w:rPr>
        <w:t xml:space="preserve"> exp(-100/</w:t>
      </w:r>
      <w:r>
        <w:rPr>
          <w:i/>
          <w:spacing w:val="-3"/>
          <w:sz w:val="24"/>
          <w:lang w:val="en-US"/>
        </w:rPr>
        <w:t>T</w:t>
      </w:r>
      <w:r>
        <w:rPr>
          <w:spacing w:val="-3"/>
          <w:sz w:val="24"/>
          <w:lang w:val="en-US"/>
        </w:rPr>
        <w:t>)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(Atkinson et al., 2006).</w:t>
      </w:r>
    </w:p>
    <w:p>
      <w:pPr>
        <w:pStyle w:val="style0"/>
        <w:tabs>
          <w:tab w:leader="none" w:pos="444" w:val="left"/>
          <w:tab w:leader="none" w:pos="888" w:val="left"/>
          <w:tab w:leader="none" w:pos="1164" w:val="left"/>
        </w:tabs>
        <w:spacing w:line="240" w:lineRule="atLeast"/>
        <w:ind w:hanging="444" w:left="444" w:right="525"/>
        <w:jc w:val="both"/>
      </w:pPr>
      <w:r>
        <w:rPr>
          <w:spacing w:val="-3"/>
          <w:sz w:val="24"/>
          <w:lang w:val="en-US"/>
        </w:rPr>
        <w:t>(c)</w:t>
        <w:tab/>
        <w:t>Cl atoms were generated by the photolysis of Cl</w:t>
      </w:r>
      <w:r>
        <w:rPr>
          <w:spacing w:val="-3"/>
          <w:sz w:val="24"/>
          <w:vertAlign w:val="subscript"/>
          <w:lang w:val="en-US"/>
        </w:rPr>
        <w:t>2</w:t>
      </w:r>
      <w:r>
        <w:rPr>
          <w:spacing w:val="-3"/>
          <w:sz w:val="24"/>
          <w:lang w:val="en-US"/>
        </w:rPr>
        <w:t>.  The decays of the reactant and reference organic measured by FTIR spectroscopy.  The measured rate coefficient ratio is placed on an absolute basis using</w:t>
      </w:r>
      <w:r>
        <w:rPr>
          <w:i/>
          <w:spacing w:val="-3"/>
          <w:sz w:val="24"/>
          <w:lang w:val="en-US"/>
        </w:rPr>
        <w:t>k</w:t>
      </w:r>
      <w:r>
        <w:rPr>
          <w:spacing w:val="-3"/>
          <w:sz w:val="24"/>
          <w:lang w:val="en-US"/>
        </w:rPr>
        <w:t>(Cl + CH</w:t>
      </w:r>
      <w:r>
        <w:rPr>
          <w:spacing w:val="-3"/>
          <w:sz w:val="24"/>
          <w:vertAlign w:val="subscript"/>
          <w:lang w:val="en-US"/>
        </w:rPr>
        <w:t>4</w:t>
      </w:r>
      <w:r>
        <w:rPr>
          <w:spacing w:val="-3"/>
          <w:sz w:val="24"/>
          <w:lang w:val="en-US"/>
        </w:rPr>
        <w:t>) = 1.0 x 10</w:t>
      </w:r>
      <w:r>
        <w:rPr>
          <w:spacing w:val="-3"/>
          <w:sz w:val="24"/>
          <w:vertAlign w:val="superscript"/>
          <w:lang w:val="en-US"/>
        </w:rPr>
        <w:t>-13</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(Atkinson et al., 2006).</w:t>
      </w:r>
    </w:p>
    <w:p>
      <w:pPr>
        <w:pStyle w:val="style0"/>
        <w:tabs>
          <w:tab w:leader="none" w:pos="444" w:val="left"/>
          <w:tab w:leader="none" w:pos="888" w:val="left"/>
          <w:tab w:leader="none" w:pos="1164" w:val="left"/>
        </w:tabs>
        <w:spacing w:line="240" w:lineRule="atLeast"/>
        <w:ind w:hanging="444" w:left="444" w:right="525"/>
        <w:jc w:val="both"/>
      </w:pPr>
      <w:r>
        <w:rPr>
          <w:spacing w:val="-3"/>
          <w:sz w:val="24"/>
          <w:lang w:val="en-US"/>
        </w:rPr>
        <w:t>(d)</w:t>
        <w:tab/>
        <w:t>Cl atoms were generated by the photolysis of Cl</w:t>
      </w:r>
      <w:r>
        <w:rPr>
          <w:spacing w:val="-3"/>
          <w:sz w:val="24"/>
          <w:vertAlign w:val="subscript"/>
          <w:lang w:val="en-US"/>
        </w:rPr>
        <w:t>2</w:t>
      </w:r>
      <w:r>
        <w:rPr>
          <w:spacing w:val="-3"/>
          <w:sz w:val="24"/>
          <w:lang w:val="en-US"/>
        </w:rPr>
        <w:t xml:space="preserve"> in the presence of CH</w:t>
      </w:r>
      <w:r>
        <w:rPr>
          <w:spacing w:val="-3"/>
          <w:sz w:val="24"/>
          <w:vertAlign w:val="subscript"/>
          <w:lang w:val="en-US"/>
        </w:rPr>
        <w:t>3</w:t>
      </w:r>
      <w:r>
        <w:rPr>
          <w:spacing w:val="-3"/>
          <w:sz w:val="24"/>
          <w:lang w:val="en-US"/>
        </w:rPr>
        <w:t>CHF</w:t>
      </w:r>
      <w:r>
        <w:rPr>
          <w:spacing w:val="-3"/>
          <w:sz w:val="24"/>
          <w:vertAlign w:val="subscript"/>
          <w:lang w:val="en-US"/>
        </w:rPr>
        <w:t>2</w:t>
      </w:r>
      <w:r>
        <w:rPr>
          <w:spacing w:val="-3"/>
          <w:sz w:val="24"/>
          <w:lang w:val="en-US"/>
        </w:rPr>
        <w:t xml:space="preserve"> and CH</w:t>
      </w:r>
      <w:r>
        <w:rPr>
          <w:spacing w:val="-3"/>
          <w:sz w:val="24"/>
          <w:vertAlign w:val="subscript"/>
          <w:lang w:val="en-US"/>
        </w:rPr>
        <w:t>4</w:t>
      </w:r>
      <w:r>
        <w:rPr>
          <w:spacing w:val="-3"/>
          <w:sz w:val="24"/>
          <w:lang w:val="en-US"/>
        </w:rPr>
        <w:t xml:space="preserve"> in 986 mbar of air.  The decays of CH</w:t>
      </w:r>
      <w:r>
        <w:rPr>
          <w:spacing w:val="-3"/>
          <w:sz w:val="24"/>
          <w:vertAlign w:val="subscript"/>
          <w:lang w:val="en-US"/>
        </w:rPr>
        <w:t>3</w:t>
      </w:r>
      <w:r>
        <w:rPr>
          <w:spacing w:val="-3"/>
          <w:sz w:val="24"/>
          <w:lang w:val="en-US"/>
        </w:rPr>
        <w:t>CHF</w:t>
      </w:r>
      <w:r>
        <w:rPr>
          <w:spacing w:val="-3"/>
          <w:sz w:val="24"/>
          <w:vertAlign w:val="subscript"/>
          <w:lang w:val="en-US"/>
        </w:rPr>
        <w:t>2</w:t>
      </w:r>
      <w:r>
        <w:rPr>
          <w:spacing w:val="-3"/>
          <w:sz w:val="24"/>
          <w:lang w:val="en-US"/>
        </w:rPr>
        <w:t xml:space="preserve"> and CH</w:t>
      </w:r>
      <w:r>
        <w:rPr>
          <w:spacing w:val="-3"/>
          <w:sz w:val="24"/>
          <w:vertAlign w:val="subscript"/>
          <w:lang w:val="en-US"/>
        </w:rPr>
        <w:t>4</w:t>
      </w:r>
      <w:r>
        <w:rPr>
          <w:spacing w:val="-3"/>
          <w:sz w:val="24"/>
          <w:lang w:val="en-US"/>
        </w:rPr>
        <w:t xml:space="preserve"> were measured by FTIR spectroscopy.  The measured rate coefficient ratio </w:t>
      </w:r>
      <w:r>
        <w:rPr>
          <w:i/>
          <w:spacing w:val="-3"/>
          <w:sz w:val="24"/>
          <w:lang w:val="en-US"/>
        </w:rPr>
        <w:t>k</w:t>
      </w:r>
      <w:r>
        <w:rPr>
          <w:spacing w:val="-3"/>
          <w:sz w:val="24"/>
          <w:lang w:val="en-US"/>
        </w:rPr>
        <w:t>(Cl + CH</w:t>
      </w:r>
      <w:r>
        <w:rPr>
          <w:spacing w:val="-3"/>
          <w:sz w:val="24"/>
          <w:vertAlign w:val="subscript"/>
          <w:lang w:val="en-US"/>
        </w:rPr>
        <w:t>3</w:t>
      </w:r>
      <w:r>
        <w:rPr>
          <w:spacing w:val="-3"/>
          <w:sz w:val="24"/>
          <w:lang w:val="en-US"/>
        </w:rPr>
        <w:t>CHF</w:t>
      </w:r>
      <w:r>
        <w:rPr>
          <w:spacing w:val="-3"/>
          <w:sz w:val="24"/>
          <w:vertAlign w:val="subscript"/>
          <w:lang w:val="en-US"/>
        </w:rPr>
        <w:t>2</w:t>
      </w:r>
      <w:r>
        <w:rPr>
          <w:spacing w:val="-3"/>
          <w:sz w:val="24"/>
          <w:lang w:val="en-US"/>
        </w:rPr>
        <w:t>)/</w:t>
      </w:r>
      <w:r>
        <w:rPr>
          <w:i/>
          <w:spacing w:val="-3"/>
          <w:sz w:val="24"/>
          <w:lang w:val="en-US"/>
        </w:rPr>
        <w:t>k</w:t>
      </w:r>
      <w:r>
        <w:rPr>
          <w:spacing w:val="-3"/>
          <w:sz w:val="24"/>
          <w:lang w:val="en-US"/>
        </w:rPr>
        <w:t>(Cl +CH</w:t>
      </w:r>
      <w:r>
        <w:rPr>
          <w:spacing w:val="-3"/>
          <w:sz w:val="24"/>
          <w:vertAlign w:val="subscript"/>
          <w:lang w:val="en-US"/>
        </w:rPr>
        <w:t>4</w:t>
      </w:r>
      <w:r>
        <w:rPr>
          <w:spacing w:val="-3"/>
          <w:sz w:val="24"/>
          <w:lang w:val="en-US"/>
        </w:rPr>
        <w:t xml:space="preserve">) = 2.36 </w:t>
      </w:r>
      <w:r>
        <w:rPr>
          <w:rFonts w:ascii="Symbol" w:hAnsi="Symbol"/>
          <w:spacing w:val="-3"/>
          <w:sz w:val="24"/>
          <w:lang w:val="en-US"/>
        </w:rPr>
        <w:t></w:t>
      </w:r>
      <w:r>
        <w:rPr>
          <w:spacing w:val="-3"/>
          <w:sz w:val="24"/>
          <w:lang w:val="en-US"/>
        </w:rPr>
        <w:t xml:space="preserve"> 0.02 is placed on an absolute basis using </w:t>
      </w:r>
      <w:r>
        <w:rPr>
          <w:i/>
          <w:spacing w:val="-3"/>
          <w:sz w:val="24"/>
          <w:lang w:val="en-US"/>
        </w:rPr>
        <w:t>k</w:t>
      </w:r>
      <w:r>
        <w:rPr>
          <w:spacing w:val="-3"/>
          <w:sz w:val="24"/>
          <w:lang w:val="en-US"/>
        </w:rPr>
        <w:t>(Cl + CH</w:t>
      </w:r>
      <w:r>
        <w:rPr>
          <w:spacing w:val="-3"/>
          <w:sz w:val="24"/>
          <w:vertAlign w:val="subscript"/>
          <w:lang w:val="en-US"/>
        </w:rPr>
        <w:t>4</w:t>
      </w:r>
      <w:r>
        <w:rPr>
          <w:spacing w:val="-3"/>
          <w:sz w:val="24"/>
          <w:lang w:val="en-US"/>
        </w:rPr>
        <w:t>) = 1.0 x 10</w:t>
      </w:r>
      <w:r>
        <w:rPr>
          <w:spacing w:val="-3"/>
          <w:sz w:val="24"/>
          <w:vertAlign w:val="superscript"/>
          <w:lang w:val="en-US"/>
        </w:rPr>
        <w:t>-13</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(Atkinson et al., 2006).</w:t>
      </w:r>
    </w:p>
    <w:p>
      <w:pPr>
        <w:pStyle w:val="style0"/>
        <w:tabs>
          <w:tab w:leader="none" w:pos="444" w:val="left"/>
          <w:tab w:leader="none" w:pos="888" w:val="left"/>
          <w:tab w:leader="none" w:pos="1164" w:val="left"/>
        </w:tabs>
        <w:spacing w:line="240" w:lineRule="atLeast"/>
        <w:ind w:hanging="444" w:left="444" w:right="525"/>
        <w:jc w:val="both"/>
      </w:pPr>
      <w:r>
        <w:rPr>
          <w:spacing w:val="-3"/>
          <w:sz w:val="24"/>
          <w:lang w:val="en-US"/>
        </w:rPr>
        <w:t>(e)</w:t>
        <w:tab/>
        <w:t>Cl atoms were generated by the photolysis of Cl</w:t>
      </w:r>
      <w:r>
        <w:rPr>
          <w:spacing w:val="-3"/>
          <w:sz w:val="24"/>
          <w:vertAlign w:val="subscript"/>
          <w:lang w:val="en-US"/>
        </w:rPr>
        <w:t>2</w:t>
      </w:r>
      <w:r>
        <w:rPr>
          <w:spacing w:val="-3"/>
          <w:sz w:val="24"/>
          <w:lang w:val="en-US"/>
        </w:rPr>
        <w:t xml:space="preserve"> in the UV irradiation of  CH</w:t>
      </w:r>
      <w:r>
        <w:rPr>
          <w:spacing w:val="-3"/>
          <w:sz w:val="24"/>
          <w:vertAlign w:val="subscript"/>
          <w:lang w:val="en-US"/>
        </w:rPr>
        <w:t>3</w:t>
      </w:r>
      <w:r>
        <w:rPr>
          <w:spacing w:val="-3"/>
          <w:sz w:val="24"/>
          <w:lang w:val="en-US"/>
        </w:rPr>
        <w:t>CHF</w:t>
      </w:r>
      <w:r>
        <w:rPr>
          <w:spacing w:val="-3"/>
          <w:sz w:val="24"/>
          <w:vertAlign w:val="subscript"/>
          <w:lang w:val="en-US"/>
        </w:rPr>
        <w:t>2</w:t>
      </w:r>
      <w:r>
        <w:rPr>
          <w:spacing w:val="-3"/>
          <w:sz w:val="24"/>
          <w:lang w:val="en-US"/>
        </w:rPr>
        <w:t xml:space="preserve"> – CH</w:t>
      </w:r>
      <w:r>
        <w:rPr>
          <w:spacing w:val="-3"/>
          <w:sz w:val="24"/>
          <w:vertAlign w:val="subscript"/>
          <w:lang w:val="en-US"/>
        </w:rPr>
        <w:t>4</w:t>
      </w:r>
      <w:r>
        <w:rPr>
          <w:spacing w:val="-3"/>
          <w:sz w:val="24"/>
          <w:lang w:val="en-US"/>
        </w:rPr>
        <w:t xml:space="preserve"> – Cl</w:t>
      </w:r>
      <w:r>
        <w:rPr>
          <w:spacing w:val="-3"/>
          <w:sz w:val="24"/>
          <w:vertAlign w:val="subscript"/>
          <w:lang w:val="en-US"/>
        </w:rPr>
        <w:t>2</w:t>
      </w:r>
      <w:r>
        <w:rPr>
          <w:spacing w:val="-3"/>
          <w:sz w:val="24"/>
          <w:lang w:val="en-US"/>
        </w:rPr>
        <w:t xml:space="preserve"> and CH</w:t>
      </w:r>
      <w:r>
        <w:rPr>
          <w:spacing w:val="-3"/>
          <w:sz w:val="24"/>
          <w:vertAlign w:val="subscript"/>
          <w:lang w:val="en-US"/>
        </w:rPr>
        <w:t>3</w:t>
      </w:r>
      <w:r>
        <w:rPr>
          <w:spacing w:val="-3"/>
          <w:sz w:val="24"/>
          <w:lang w:val="en-US"/>
        </w:rPr>
        <w:t>CHF</w:t>
      </w:r>
      <w:r>
        <w:rPr>
          <w:spacing w:val="-3"/>
          <w:sz w:val="24"/>
          <w:vertAlign w:val="subscript"/>
          <w:lang w:val="en-US"/>
        </w:rPr>
        <w:t>2</w:t>
      </w:r>
      <w:r>
        <w:rPr>
          <w:spacing w:val="-3"/>
          <w:sz w:val="24"/>
          <w:lang w:val="en-US"/>
        </w:rPr>
        <w:t xml:space="preserve"> – CH</w:t>
      </w:r>
      <w:r>
        <w:rPr>
          <w:spacing w:val="-3"/>
          <w:sz w:val="24"/>
          <w:vertAlign w:val="subscript"/>
          <w:lang w:val="en-US"/>
        </w:rPr>
        <w:t>3</w:t>
      </w:r>
      <w:r>
        <w:rPr>
          <w:spacing w:val="-3"/>
          <w:sz w:val="24"/>
          <w:lang w:val="en-US"/>
        </w:rPr>
        <w:t>Cl – Cl</w:t>
      </w:r>
      <w:r>
        <w:rPr>
          <w:spacing w:val="-3"/>
          <w:sz w:val="24"/>
          <w:vertAlign w:val="subscript"/>
          <w:lang w:val="en-US"/>
        </w:rPr>
        <w:t>2</w:t>
      </w:r>
      <w:r>
        <w:rPr>
          <w:spacing w:val="-3"/>
          <w:sz w:val="24"/>
          <w:lang w:val="en-US"/>
        </w:rPr>
        <w:t xml:space="preserve"> in 920 mbar of N</w:t>
      </w:r>
      <w:r>
        <w:rPr>
          <w:spacing w:val="-3"/>
          <w:sz w:val="24"/>
          <w:vertAlign w:val="subscript"/>
          <w:lang w:val="en-US"/>
        </w:rPr>
        <w:t>2</w:t>
      </w:r>
      <w:r>
        <w:rPr>
          <w:spacing w:val="-3"/>
          <w:sz w:val="24"/>
          <w:lang w:val="en-US"/>
        </w:rPr>
        <w:t xml:space="preserve">, or air, diluent.  Ratios of </w:t>
      </w:r>
      <w:r>
        <w:rPr>
          <w:i/>
          <w:spacing w:val="-3"/>
          <w:sz w:val="24"/>
          <w:lang w:val="en-US"/>
        </w:rPr>
        <w:t>k</w:t>
      </w:r>
      <w:r>
        <w:rPr>
          <w:spacing w:val="-3"/>
          <w:sz w:val="24"/>
          <w:lang w:val="en-US"/>
        </w:rPr>
        <w:t>(Cl + CH</w:t>
      </w:r>
      <w:r>
        <w:rPr>
          <w:spacing w:val="-3"/>
          <w:sz w:val="24"/>
          <w:vertAlign w:val="subscript"/>
          <w:lang w:val="en-US"/>
        </w:rPr>
        <w:t>3</w:t>
      </w:r>
      <w:r>
        <w:rPr>
          <w:spacing w:val="-3"/>
          <w:sz w:val="24"/>
          <w:lang w:val="en-US"/>
        </w:rPr>
        <w:t>CHF</w:t>
      </w:r>
      <w:r>
        <w:rPr>
          <w:spacing w:val="-3"/>
          <w:sz w:val="24"/>
          <w:vertAlign w:val="subscript"/>
          <w:lang w:val="en-US"/>
        </w:rPr>
        <w:t>2</w:t>
      </w:r>
      <w:r>
        <w:rPr>
          <w:spacing w:val="-3"/>
          <w:sz w:val="24"/>
          <w:lang w:val="en-US"/>
        </w:rPr>
        <w:t>)/</w:t>
      </w:r>
      <w:r>
        <w:rPr>
          <w:i/>
          <w:spacing w:val="-3"/>
          <w:sz w:val="24"/>
          <w:lang w:val="en-US"/>
        </w:rPr>
        <w:t>k</w:t>
      </w:r>
      <w:r>
        <w:rPr>
          <w:spacing w:val="-3"/>
          <w:sz w:val="24"/>
          <w:lang w:val="en-US"/>
        </w:rPr>
        <w:t>(Cl +CH</w:t>
      </w:r>
      <w:r>
        <w:rPr>
          <w:spacing w:val="-3"/>
          <w:sz w:val="24"/>
          <w:vertAlign w:val="subscript"/>
          <w:lang w:val="en-US"/>
        </w:rPr>
        <w:t>4</w:t>
      </w:r>
      <w:r>
        <w:rPr>
          <w:spacing w:val="-3"/>
          <w:sz w:val="24"/>
          <w:lang w:val="en-US"/>
        </w:rPr>
        <w:t xml:space="preserve">) = 2.39 </w:t>
      </w:r>
      <w:r>
        <w:rPr>
          <w:rFonts w:ascii="Symbol" w:hAnsi="Symbol"/>
          <w:spacing w:val="-3"/>
          <w:sz w:val="24"/>
          <w:lang w:val="en-US"/>
        </w:rPr>
        <w:t></w:t>
      </w:r>
      <w:r>
        <w:rPr>
          <w:spacing w:val="-3"/>
          <w:sz w:val="24"/>
          <w:lang w:val="en-US"/>
        </w:rPr>
        <w:t xml:space="preserve"> 0.15 and </w:t>
      </w:r>
      <w:r>
        <w:rPr>
          <w:i/>
          <w:spacing w:val="-3"/>
          <w:sz w:val="24"/>
          <w:lang w:val="en-US"/>
        </w:rPr>
        <w:t>k</w:t>
      </w:r>
      <w:r>
        <w:rPr>
          <w:spacing w:val="-3"/>
          <w:sz w:val="24"/>
          <w:lang w:val="en-US"/>
        </w:rPr>
        <w:t>(Cl + CH</w:t>
      </w:r>
      <w:r>
        <w:rPr>
          <w:spacing w:val="-3"/>
          <w:sz w:val="24"/>
          <w:vertAlign w:val="subscript"/>
          <w:lang w:val="en-US"/>
        </w:rPr>
        <w:t>3</w:t>
      </w:r>
      <w:r>
        <w:rPr>
          <w:spacing w:val="-3"/>
          <w:sz w:val="24"/>
          <w:lang w:val="en-US"/>
        </w:rPr>
        <w:t>CHF</w:t>
      </w:r>
      <w:r>
        <w:rPr>
          <w:spacing w:val="-3"/>
          <w:sz w:val="24"/>
          <w:vertAlign w:val="subscript"/>
          <w:lang w:val="en-US"/>
        </w:rPr>
        <w:t>2</w:t>
      </w:r>
      <w:r>
        <w:rPr>
          <w:spacing w:val="-3"/>
          <w:sz w:val="24"/>
          <w:lang w:val="en-US"/>
        </w:rPr>
        <w:t>)/</w:t>
      </w:r>
      <w:r>
        <w:rPr>
          <w:i/>
          <w:spacing w:val="-3"/>
          <w:sz w:val="24"/>
          <w:lang w:val="en-US"/>
        </w:rPr>
        <w:t>k</w:t>
      </w:r>
      <w:r>
        <w:rPr>
          <w:spacing w:val="-3"/>
          <w:sz w:val="24"/>
          <w:lang w:val="en-US"/>
        </w:rPr>
        <w:t>(Cl + CH</w:t>
      </w:r>
      <w:r>
        <w:rPr>
          <w:spacing w:val="-3"/>
          <w:sz w:val="24"/>
          <w:vertAlign w:val="subscript"/>
          <w:lang w:val="en-US"/>
        </w:rPr>
        <w:t>3</w:t>
      </w:r>
      <w:r>
        <w:rPr>
          <w:spacing w:val="-3"/>
          <w:sz w:val="24"/>
          <w:lang w:val="en-US"/>
        </w:rPr>
        <w:t xml:space="preserve">Cl) = 0.49 </w:t>
      </w:r>
      <w:r>
        <w:rPr>
          <w:rFonts w:ascii="Symbol" w:hAnsi="Symbol"/>
          <w:spacing w:val="-3"/>
          <w:sz w:val="24"/>
          <w:lang w:val="en-US"/>
        </w:rPr>
        <w:t></w:t>
      </w:r>
      <w:r>
        <w:rPr>
          <w:spacing w:val="-3"/>
          <w:sz w:val="24"/>
          <w:lang w:val="en-US"/>
        </w:rPr>
        <w:t xml:space="preserve"> 0.01 were placed on an absolute basis using rate coefficients of </w:t>
      </w:r>
      <w:r>
        <w:rPr>
          <w:i/>
          <w:spacing w:val="-3"/>
          <w:sz w:val="24"/>
          <w:lang w:val="en-US"/>
        </w:rPr>
        <w:t>k</w:t>
      </w:r>
      <w:r>
        <w:rPr>
          <w:spacing w:val="-3"/>
          <w:sz w:val="24"/>
          <w:lang w:val="en-US"/>
        </w:rPr>
        <w:t>(Cl + CH</w:t>
      </w:r>
      <w:r>
        <w:rPr>
          <w:spacing w:val="-3"/>
          <w:sz w:val="24"/>
          <w:vertAlign w:val="subscript"/>
          <w:lang w:val="en-US"/>
        </w:rPr>
        <w:t>4</w:t>
      </w:r>
      <w:r>
        <w:rPr>
          <w:spacing w:val="-3"/>
          <w:sz w:val="24"/>
          <w:lang w:val="en-US"/>
        </w:rPr>
        <w:t>) = 1.0 x 10</w:t>
      </w:r>
      <w:r>
        <w:rPr>
          <w:spacing w:val="-3"/>
          <w:sz w:val="24"/>
          <w:vertAlign w:val="superscript"/>
          <w:lang w:val="en-US"/>
        </w:rPr>
        <w:t>-13</w:t>
      </w:r>
      <w:r>
        <w:rPr>
          <w:spacing w:val="-3"/>
          <w:sz w:val="24"/>
          <w:lang w:val="en-US"/>
        </w:rPr>
        <w:t xml:space="preserve"> and </w:t>
      </w:r>
      <w:r>
        <w:rPr>
          <w:i/>
          <w:spacing w:val="-3"/>
          <w:sz w:val="24"/>
          <w:lang w:val="en-US"/>
        </w:rPr>
        <w:t>k</w:t>
      </w:r>
      <w:r>
        <w:rPr>
          <w:spacing w:val="-3"/>
          <w:sz w:val="24"/>
          <w:lang w:val="en-US"/>
        </w:rPr>
        <w:t>(Cl + CH</w:t>
      </w:r>
      <w:r>
        <w:rPr>
          <w:spacing w:val="-3"/>
          <w:sz w:val="24"/>
          <w:vertAlign w:val="subscript"/>
          <w:lang w:val="en-US"/>
        </w:rPr>
        <w:t>3</w:t>
      </w:r>
      <w:r>
        <w:rPr>
          <w:spacing w:val="-3"/>
          <w:sz w:val="24"/>
          <w:lang w:val="en-US"/>
        </w:rPr>
        <w:t>Cl) = 4.8 x 10</w:t>
      </w:r>
      <w:r>
        <w:rPr>
          <w:spacing w:val="-3"/>
          <w:sz w:val="24"/>
          <w:vertAlign w:val="superscript"/>
          <w:lang w:val="en-US"/>
        </w:rPr>
        <w:t>-13</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(Atkinson et al., 2006) leading to a value of </w:t>
      </w:r>
      <w:r>
        <w:rPr>
          <w:i/>
          <w:spacing w:val="-3"/>
          <w:sz w:val="24"/>
          <w:lang w:val="en-US"/>
        </w:rPr>
        <w:t>k</w:t>
      </w:r>
      <w:r>
        <w:rPr>
          <w:spacing w:val="-3"/>
          <w:sz w:val="24"/>
          <w:lang w:val="en-US"/>
        </w:rPr>
        <w:t>(Cl + CH</w:t>
      </w:r>
      <w:r>
        <w:rPr>
          <w:spacing w:val="-3"/>
          <w:sz w:val="24"/>
          <w:vertAlign w:val="subscript"/>
          <w:lang w:val="en-US"/>
        </w:rPr>
        <w:t>3</w:t>
      </w:r>
      <w:r>
        <w:rPr>
          <w:spacing w:val="-3"/>
          <w:sz w:val="24"/>
          <w:lang w:val="en-US"/>
        </w:rPr>
        <w:t>CHF</w:t>
      </w:r>
      <w:r>
        <w:rPr>
          <w:spacing w:val="-3"/>
          <w:sz w:val="24"/>
          <w:vertAlign w:val="subscript"/>
          <w:lang w:val="en-US"/>
        </w:rPr>
        <w:t>2</w:t>
      </w:r>
      <w:r>
        <w:rPr>
          <w:spacing w:val="-3"/>
          <w:sz w:val="24"/>
          <w:lang w:val="en-US"/>
        </w:rPr>
        <w:t xml:space="preserve">) = (2.37 </w:t>
      </w:r>
      <w:r>
        <w:rPr>
          <w:rFonts w:ascii="Symbol" w:hAnsi="Symbol"/>
          <w:spacing w:val="-3"/>
          <w:sz w:val="24"/>
          <w:lang w:val="en-US"/>
        </w:rPr>
        <w:t></w:t>
      </w:r>
      <w:r>
        <w:rPr>
          <w:spacing w:val="-3"/>
          <w:sz w:val="24"/>
          <w:lang w:val="en-US"/>
        </w:rPr>
        <w:t xml:space="preserve"> 0.31) x 10</w:t>
      </w:r>
      <w:r>
        <w:rPr>
          <w:spacing w:val="-3"/>
          <w:sz w:val="24"/>
          <w:vertAlign w:val="superscript"/>
          <w:lang w:val="en-US"/>
        </w:rPr>
        <w:t>-13</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The UV irradiation of CH</w:t>
      </w:r>
      <w:r>
        <w:rPr>
          <w:spacing w:val="-3"/>
          <w:sz w:val="24"/>
          <w:vertAlign w:val="subscript"/>
          <w:lang w:val="en-US"/>
        </w:rPr>
        <w:t>3</w:t>
      </w:r>
      <w:r>
        <w:rPr>
          <w:spacing w:val="-3"/>
          <w:sz w:val="24"/>
          <w:lang w:val="en-US"/>
        </w:rPr>
        <w:t>CHF</w:t>
      </w:r>
      <w:r>
        <w:rPr>
          <w:spacing w:val="-3"/>
          <w:sz w:val="24"/>
          <w:vertAlign w:val="subscript"/>
          <w:lang w:val="en-US"/>
        </w:rPr>
        <w:t>2</w:t>
      </w:r>
      <w:r>
        <w:rPr>
          <w:spacing w:val="-3"/>
          <w:sz w:val="24"/>
          <w:lang w:val="en-US"/>
        </w:rPr>
        <w:t xml:space="preserve"> – Cl</w:t>
      </w:r>
      <w:r>
        <w:rPr>
          <w:spacing w:val="-3"/>
          <w:sz w:val="24"/>
          <w:vertAlign w:val="subscript"/>
          <w:lang w:val="en-US"/>
        </w:rPr>
        <w:t>2</w:t>
      </w:r>
      <w:r>
        <w:rPr>
          <w:spacing w:val="-3"/>
          <w:sz w:val="24"/>
          <w:lang w:val="en-US"/>
        </w:rPr>
        <w:t xml:space="preserve"> – N</w:t>
      </w:r>
      <w:r>
        <w:rPr>
          <w:spacing w:val="-3"/>
          <w:sz w:val="24"/>
          <w:vertAlign w:val="subscript"/>
          <w:lang w:val="en-US"/>
        </w:rPr>
        <w:t>2</w:t>
      </w:r>
      <w:r>
        <w:rPr>
          <w:spacing w:val="-3"/>
          <w:sz w:val="24"/>
          <w:lang w:val="en-US"/>
        </w:rPr>
        <w:t xml:space="preserve"> mixtures led to the formation of CH</w:t>
      </w:r>
      <w:r>
        <w:rPr>
          <w:spacing w:val="-3"/>
          <w:sz w:val="24"/>
          <w:vertAlign w:val="subscript"/>
          <w:lang w:val="en-US"/>
        </w:rPr>
        <w:t>3</w:t>
      </w:r>
      <w:r>
        <w:rPr>
          <w:spacing w:val="-3"/>
          <w:sz w:val="24"/>
          <w:lang w:val="en-US"/>
        </w:rPr>
        <w:t>CF</w:t>
      </w:r>
      <w:r>
        <w:rPr>
          <w:spacing w:val="-3"/>
          <w:sz w:val="24"/>
          <w:vertAlign w:val="subscript"/>
          <w:lang w:val="en-US"/>
        </w:rPr>
        <w:t>2</w:t>
      </w:r>
      <w:r>
        <w:rPr>
          <w:spacing w:val="-3"/>
          <w:sz w:val="24"/>
          <w:lang w:val="en-US"/>
        </w:rPr>
        <w:t>Cl and CH</w:t>
      </w:r>
      <w:r>
        <w:rPr>
          <w:spacing w:val="-3"/>
          <w:sz w:val="24"/>
          <w:vertAlign w:val="subscript"/>
          <w:lang w:val="en-US"/>
        </w:rPr>
        <w:t>2</w:t>
      </w:r>
      <w:r>
        <w:rPr>
          <w:spacing w:val="-3"/>
          <w:sz w:val="24"/>
          <w:lang w:val="en-US"/>
        </w:rPr>
        <w:t>ClCHF</w:t>
      </w:r>
      <w:r>
        <w:rPr>
          <w:spacing w:val="-3"/>
          <w:sz w:val="24"/>
          <w:vertAlign w:val="subscript"/>
          <w:lang w:val="en-US"/>
        </w:rPr>
        <w:t>2</w:t>
      </w:r>
      <w:r>
        <w:rPr>
          <w:spacing w:val="-3"/>
          <w:sz w:val="24"/>
          <w:lang w:val="en-US"/>
        </w:rPr>
        <w:t xml:space="preserve"> in molar yields of 99 </w:t>
      </w:r>
      <w:r>
        <w:rPr>
          <w:rFonts w:ascii="Symbol" w:hAnsi="Symbol"/>
          <w:spacing w:val="-3"/>
          <w:sz w:val="24"/>
          <w:lang w:val="en-US"/>
        </w:rPr>
        <w:t></w:t>
      </w:r>
      <w:r>
        <w:rPr>
          <w:spacing w:val="-3"/>
          <w:sz w:val="24"/>
          <w:lang w:val="en-US"/>
        </w:rPr>
        <w:t xml:space="preserve"> 4 % and 0.81 </w:t>
      </w:r>
      <w:r>
        <w:rPr>
          <w:rFonts w:ascii="Symbol" w:hAnsi="Symbol"/>
          <w:spacing w:val="-3"/>
          <w:sz w:val="24"/>
          <w:lang w:val="en-US"/>
        </w:rPr>
        <w:t></w:t>
      </w:r>
      <w:r>
        <w:rPr>
          <w:spacing w:val="-3"/>
          <w:sz w:val="24"/>
          <w:lang w:val="en-US"/>
        </w:rPr>
        <w:t xml:space="preserve"> 0.07 %, respectively. Rate coefficients in the table above were derived from the measured value of </w:t>
      </w:r>
      <w:r>
        <w:rPr>
          <w:i/>
          <w:spacing w:val="-3"/>
          <w:sz w:val="24"/>
          <w:lang w:val="en-US"/>
        </w:rPr>
        <w:t>k</w:t>
      </w:r>
      <w:r>
        <w:rPr>
          <w:spacing w:val="-3"/>
          <w:sz w:val="24"/>
          <w:lang w:val="en-US"/>
        </w:rPr>
        <w:t>(Cl + CH</w:t>
      </w:r>
      <w:r>
        <w:rPr>
          <w:spacing w:val="-3"/>
          <w:sz w:val="24"/>
          <w:vertAlign w:val="subscript"/>
          <w:lang w:val="en-US"/>
        </w:rPr>
        <w:t>3</w:t>
      </w:r>
      <w:r>
        <w:rPr>
          <w:spacing w:val="-3"/>
          <w:sz w:val="24"/>
          <w:lang w:val="en-US"/>
        </w:rPr>
        <w:t>CHF</w:t>
      </w:r>
      <w:r>
        <w:rPr>
          <w:spacing w:val="-3"/>
          <w:sz w:val="24"/>
          <w:vertAlign w:val="subscript"/>
          <w:lang w:val="en-US"/>
        </w:rPr>
        <w:t>2</w:t>
      </w:r>
      <w:r>
        <w:rPr>
          <w:spacing w:val="-3"/>
          <w:sz w:val="24"/>
          <w:lang w:val="en-US"/>
        </w:rPr>
        <w:t xml:space="preserve">) = (2.37 </w:t>
      </w:r>
      <w:r>
        <w:rPr>
          <w:rFonts w:ascii="Symbol" w:hAnsi="Symbol"/>
          <w:spacing w:val="-3"/>
          <w:sz w:val="24"/>
          <w:lang w:val="en-US"/>
        </w:rPr>
        <w:t></w:t>
      </w:r>
      <w:r>
        <w:rPr>
          <w:spacing w:val="-3"/>
          <w:sz w:val="24"/>
          <w:lang w:val="en-US"/>
        </w:rPr>
        <w:t xml:space="preserve"> 0.31) x 10</w:t>
      </w:r>
      <w:r>
        <w:rPr>
          <w:spacing w:val="-3"/>
          <w:sz w:val="24"/>
          <w:vertAlign w:val="superscript"/>
          <w:lang w:val="en-US"/>
        </w:rPr>
        <w:t>-13</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the yield of CH</w:t>
      </w:r>
      <w:r>
        <w:rPr>
          <w:spacing w:val="-3"/>
          <w:sz w:val="24"/>
          <w:vertAlign w:val="subscript"/>
          <w:lang w:val="en-US"/>
        </w:rPr>
        <w:t>2</w:t>
      </w:r>
      <w:r>
        <w:rPr>
          <w:spacing w:val="-3"/>
          <w:sz w:val="24"/>
          <w:lang w:val="en-US"/>
        </w:rPr>
        <w:t>ClCHF</w:t>
      </w:r>
      <w:r>
        <w:rPr>
          <w:spacing w:val="-3"/>
          <w:sz w:val="24"/>
          <w:vertAlign w:val="subscript"/>
          <w:lang w:val="en-US"/>
        </w:rPr>
        <w:t>2</w:t>
      </w:r>
      <w:r>
        <w:rPr>
          <w:spacing w:val="-3"/>
          <w:sz w:val="24"/>
          <w:lang w:val="en-US"/>
        </w:rPr>
        <w:t xml:space="preserve"> </w:t>
      </w:r>
      <w:r>
        <w:rPr>
          <w:spacing w:val="-3"/>
          <w:sz w:val="24"/>
          <w:vertAlign w:val="subscript"/>
          <w:lang w:val="en-US"/>
        </w:rPr>
        <w:t xml:space="preserve"> </w:t>
      </w:r>
      <w:r>
        <w:rPr>
          <w:spacing w:val="-3"/>
          <w:sz w:val="24"/>
          <w:lang w:val="en-US"/>
        </w:rPr>
        <w:t xml:space="preserve"> = </w:t>
      </w:r>
      <w:r>
        <w:rPr>
          <w:i/>
          <w:spacing w:val="-3"/>
          <w:sz w:val="24"/>
          <w:lang w:val="en-US"/>
        </w:rPr>
        <w:t>k</w:t>
      </w:r>
      <w:r>
        <w:rPr>
          <w:i/>
          <w:spacing w:val="-3"/>
          <w:sz w:val="24"/>
          <w:vertAlign w:val="subscript"/>
          <w:lang w:val="en-US"/>
        </w:rPr>
        <w:t>2</w:t>
      </w:r>
      <w:r>
        <w:rPr>
          <w:spacing w:val="-3"/>
          <w:sz w:val="24"/>
          <w:lang w:val="en-US"/>
        </w:rPr>
        <w:t>/</w:t>
      </w:r>
      <w:r>
        <w:rPr>
          <w:i/>
          <w:spacing w:val="-3"/>
          <w:sz w:val="24"/>
          <w:lang w:val="en-US"/>
        </w:rPr>
        <w:t>k</w:t>
      </w:r>
      <w:r>
        <w:rPr>
          <w:spacing w:val="-3"/>
          <w:sz w:val="24"/>
          <w:lang w:val="en-US"/>
        </w:rPr>
        <w:t xml:space="preserve"> = 0.0081 </w:t>
      </w:r>
      <w:r>
        <w:rPr>
          <w:rFonts w:ascii="Symbol" w:hAnsi="Symbol"/>
          <w:spacing w:val="-3"/>
          <w:sz w:val="24"/>
          <w:lang w:val="en-US"/>
        </w:rPr>
        <w:t></w:t>
      </w:r>
      <w:r>
        <w:rPr>
          <w:spacing w:val="-3"/>
          <w:sz w:val="24"/>
          <w:lang w:val="en-US"/>
        </w:rPr>
        <w:t xml:space="preserve"> 0.0007, and  the assumption that </w:t>
      </w:r>
      <w:r>
        <w:rPr>
          <w:i/>
          <w:spacing w:val="-3"/>
          <w:sz w:val="24"/>
          <w:lang w:val="en-US"/>
        </w:rPr>
        <w:t>k</w:t>
      </w:r>
      <w:r>
        <w:rPr>
          <w:i/>
          <w:spacing w:val="-3"/>
          <w:sz w:val="24"/>
          <w:vertAlign w:val="subscript"/>
          <w:lang w:val="en-US"/>
        </w:rPr>
        <w:t>1</w:t>
      </w:r>
      <w:r>
        <w:rPr>
          <w:spacing w:val="-3"/>
          <w:sz w:val="24"/>
          <w:lang w:val="en-US"/>
        </w:rPr>
        <w:t>/</w:t>
      </w:r>
      <w:r>
        <w:rPr>
          <w:i/>
          <w:spacing w:val="-3"/>
          <w:sz w:val="24"/>
          <w:lang w:val="en-US"/>
        </w:rPr>
        <w:t>k</w:t>
      </w:r>
      <w:r>
        <w:rPr>
          <w:spacing w:val="-3"/>
          <w:sz w:val="24"/>
          <w:lang w:val="en-US"/>
        </w:rPr>
        <w:t xml:space="preserve"> + </w:t>
      </w:r>
      <w:r>
        <w:rPr>
          <w:i/>
          <w:spacing w:val="-3"/>
          <w:sz w:val="24"/>
          <w:lang w:val="en-US"/>
        </w:rPr>
        <w:t>k</w:t>
      </w:r>
      <w:r>
        <w:rPr>
          <w:i/>
          <w:spacing w:val="-3"/>
          <w:sz w:val="24"/>
          <w:vertAlign w:val="subscript"/>
          <w:lang w:val="en-US"/>
        </w:rPr>
        <w:t>2</w:t>
      </w:r>
      <w:r>
        <w:rPr>
          <w:spacing w:val="-3"/>
          <w:sz w:val="24"/>
          <w:lang w:val="en-US"/>
        </w:rPr>
        <w:t>/</w:t>
      </w:r>
      <w:r>
        <w:rPr>
          <w:i/>
          <w:spacing w:val="-3"/>
          <w:sz w:val="24"/>
          <w:lang w:val="en-US"/>
        </w:rPr>
        <w:t>k</w:t>
      </w:r>
      <w:r>
        <w:rPr>
          <w:spacing w:val="-3"/>
          <w:sz w:val="24"/>
          <w:lang w:val="en-US"/>
        </w:rPr>
        <w:t>. = 1.</w:t>
      </w:r>
    </w:p>
    <w:p>
      <w:pPr>
        <w:pStyle w:val="style0"/>
        <w:tabs>
          <w:tab w:leader="none" w:pos="444" w:val="left"/>
          <w:tab w:leader="none" w:pos="888" w:val="left"/>
          <w:tab w:leader="none" w:pos="1164" w:val="left"/>
        </w:tabs>
        <w:spacing w:line="240" w:lineRule="atLeast"/>
        <w:ind w:hanging="444" w:left="444" w:right="0"/>
        <w:jc w:val="both"/>
      </w:pPr>
      <w:r>
        <w:rPr>
          <w:spacing w:val="-3"/>
          <w:sz w:val="24"/>
          <w:lang w:val="en-US"/>
        </w:rPr>
      </w:r>
    </w:p>
    <w:p>
      <w:pPr>
        <w:pStyle w:val="style0"/>
        <w:tabs>
          <w:tab w:leader="none" w:pos="4680" w:val="center"/>
        </w:tabs>
        <w:spacing w:line="240" w:lineRule="atLeast"/>
        <w:jc w:val="center"/>
      </w:pPr>
      <w:r>
        <w:rPr>
          <w:b/>
          <w:spacing w:val="-3"/>
          <w:sz w:val="24"/>
          <w:lang w:val="en-US"/>
        </w:rPr>
        <w:t>Preferred Values</w:t>
      </w:r>
    </w:p>
    <w:p>
      <w:pPr>
        <w:pStyle w:val="style0"/>
        <w:tabs>
          <w:tab w:leader="none" w:pos="0" w:val="left"/>
          <w:tab w:leader="none" w:pos="444" w:val="left"/>
          <w:tab w:leader="none" w:pos="720" w:val="left"/>
        </w:tabs>
        <w:spacing w:line="240" w:lineRule="atLeast"/>
        <w:jc w:val="both"/>
      </w:pPr>
      <w:r>
        <w:rPr>
          <w:spacing w:val="-3"/>
          <w:sz w:val="24"/>
          <w:lang w:val="en-US"/>
        </w:rPr>
      </w:r>
    </w:p>
    <w:tbl>
      <w:tblPr>
        <w:jc w:val="left"/>
        <w:tblInd w:type="dxa" w:w="827"/>
        <w:tblBorders>
          <w:top w:color="000001" w:space="0" w:sz="4" w:val="single"/>
          <w:left w:val="none"/>
          <w:bottom w:color="000001" w:space="0" w:sz="4" w:val="single"/>
          <w:insideH w:color="000001" w:space="0" w:sz="4" w:val="single"/>
          <w:right w:val="none"/>
          <w:insideV w:val="none"/>
        </w:tblBorders>
        <w:tblCellMar>
          <w:top w:type="dxa" w:w="0"/>
          <w:left w:type="dxa" w:w="108"/>
          <w:bottom w:type="dxa" w:w="0"/>
          <w:right w:type="dxa" w:w="108"/>
        </w:tblCellMar>
      </w:tblPr>
      <w:tblGrid>
        <w:gridCol w:w="3244"/>
        <w:gridCol w:w="3119"/>
        <w:gridCol w:w="2210"/>
      </w:tblGrid>
      <w:tr>
        <w:trPr>
          <w:cantSplit w:val="false"/>
        </w:trPr>
        <w:tc>
          <w:tcPr>
            <w:tcW w:type="dxa" w:w="3244"/>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spacing w:val="-3"/>
                <w:sz w:val="24"/>
                <w:lang w:val="en-US"/>
              </w:rPr>
              <w:t>Parameter</w:t>
            </w:r>
          </w:p>
        </w:tc>
        <w:tc>
          <w:tcPr>
            <w:tcW w:type="dxa" w:w="3119"/>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spacing w:val="-3"/>
                <w:sz w:val="24"/>
                <w:lang w:val="en-US"/>
              </w:rPr>
              <w:t>Value</w:t>
            </w:r>
          </w:p>
        </w:tc>
        <w:tc>
          <w:tcPr>
            <w:tcW w:type="dxa" w:w="2210"/>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i/>
                <w:iCs/>
                <w:spacing w:val="-3"/>
                <w:sz w:val="24"/>
                <w:lang w:val="en-US"/>
              </w:rPr>
              <w:t>T</w:t>
            </w:r>
            <w:r>
              <w:rPr>
                <w:b/>
                <w:spacing w:val="-3"/>
                <w:sz w:val="24"/>
                <w:lang w:val="en-US"/>
              </w:rPr>
              <w:t>/K</w:t>
            </w:r>
          </w:p>
        </w:tc>
      </w:tr>
      <w:tr>
        <w:trPr>
          <w:cantSplit w:val="false"/>
        </w:trPr>
        <w:tc>
          <w:tcPr>
            <w:tcW w:type="dxa" w:w="3244"/>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b/>
                <w:i/>
                <w:spacing w:val="-3"/>
                <w:sz w:val="24"/>
                <w:lang w:val="en-US"/>
              </w:rPr>
            </w:r>
          </w:p>
        </w:tc>
        <w:tc>
          <w:tcPr>
            <w:tcW w:type="dxa" w:w="3119"/>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pPr>
            <w:r>
              <w:rPr>
                <w:spacing w:val="-3"/>
                <w:sz w:val="24"/>
                <w:lang w:val="en-US"/>
              </w:rPr>
            </w:r>
          </w:p>
        </w:tc>
        <w:tc>
          <w:tcPr>
            <w:tcW w:type="dxa" w:w="2210"/>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r>
          </w:p>
        </w:tc>
      </w:tr>
      <w:tr>
        <w:trPr>
          <w:cantSplit w:val="false"/>
        </w:trPr>
        <w:tc>
          <w:tcPr>
            <w:tcW w:type="dxa" w:w="324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i/>
                <w:spacing w:val="-3"/>
                <w:sz w:val="24"/>
                <w:lang w:val="en-US"/>
              </w:rPr>
              <w:t>k</w:t>
            </w:r>
            <w:r>
              <w:rPr>
                <w:iCs/>
                <w:spacing w:val="-3"/>
                <w:sz w:val="24"/>
                <w:vertAlign w:val="subscript"/>
                <w:lang w:val="en-US"/>
              </w:rPr>
              <w:t>1</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p>
        </w:tc>
        <w:tc>
          <w:tcPr>
            <w:tcW w:type="dxa" w:w="3119"/>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2.5 x 10</w:t>
            </w:r>
            <w:r>
              <w:rPr>
                <w:spacing w:val="-3"/>
                <w:sz w:val="24"/>
                <w:vertAlign w:val="superscript"/>
                <w:lang w:val="en-US"/>
              </w:rPr>
              <w:t>-13</w:t>
            </w:r>
          </w:p>
        </w:tc>
        <w:tc>
          <w:tcPr>
            <w:tcW w:type="dxa" w:w="2210"/>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298</w:t>
            </w:r>
          </w:p>
        </w:tc>
      </w:tr>
      <w:tr>
        <w:trPr>
          <w:cantSplit w:val="false"/>
        </w:trPr>
        <w:tc>
          <w:tcPr>
            <w:tcW w:type="dxa" w:w="324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i/>
                <w:spacing w:val="-3"/>
                <w:sz w:val="24"/>
                <w:lang w:val="en-US"/>
              </w:rPr>
              <w:t>k</w:t>
            </w:r>
            <w:r>
              <w:rPr>
                <w:iCs/>
                <w:spacing w:val="-3"/>
                <w:sz w:val="24"/>
                <w:vertAlign w:val="subscript"/>
                <w:lang w:val="en-US"/>
              </w:rPr>
              <w:t>1</w:t>
            </w:r>
            <w:r>
              <w:rPr>
                <w:i/>
                <w:spacing w:val="-3"/>
                <w:sz w:val="24"/>
                <w:lang w:val="en-US"/>
              </w:rPr>
              <w:t xml:space="preserve"> </w:t>
            </w:r>
            <w:r>
              <w:rPr>
                <w:iCs/>
                <w:spacing w:val="-3"/>
                <w:sz w:val="24"/>
                <w:lang w:val="en-US"/>
              </w:rPr>
              <w:t>/</w:t>
            </w:r>
            <w:r>
              <w:rPr>
                <w:spacing w:val="-3"/>
                <w:sz w:val="24"/>
                <w:lang w:val="en-US"/>
              </w:rPr>
              <w:t>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p>
        </w:tc>
        <w:tc>
          <w:tcPr>
            <w:tcW w:type="dxa" w:w="3119"/>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6.3 x 10</w:t>
            </w:r>
            <w:r>
              <w:rPr>
                <w:spacing w:val="-3"/>
                <w:sz w:val="24"/>
                <w:vertAlign w:val="superscript"/>
                <w:lang w:val="en-US"/>
              </w:rPr>
              <w:t>-12</w:t>
            </w:r>
            <w:r>
              <w:rPr>
                <w:spacing w:val="-3"/>
                <w:sz w:val="24"/>
                <w:lang w:val="en-US"/>
              </w:rPr>
              <w:t xml:space="preserve"> exp(-965/</w:t>
            </w:r>
            <w:r>
              <w:rPr>
                <w:i/>
                <w:spacing w:val="-3"/>
                <w:sz w:val="24"/>
                <w:lang w:val="en-US"/>
              </w:rPr>
              <w:t>T</w:t>
            </w:r>
            <w:r>
              <w:rPr>
                <w:spacing w:val="-3"/>
                <w:sz w:val="24"/>
                <w:lang w:val="en-US"/>
              </w:rPr>
              <w:t>)</w:t>
            </w:r>
          </w:p>
        </w:tc>
        <w:tc>
          <w:tcPr>
            <w:tcW w:type="dxa" w:w="2210"/>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280-360</w:t>
            </w:r>
          </w:p>
        </w:tc>
      </w:tr>
      <w:tr>
        <w:trPr>
          <w:cantSplit w:val="false"/>
        </w:trPr>
        <w:tc>
          <w:tcPr>
            <w:tcW w:type="dxa" w:w="324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i/>
                <w:spacing w:val="-3"/>
                <w:sz w:val="24"/>
                <w:lang w:val="en-US"/>
              </w:rPr>
              <w:t>k</w:t>
            </w:r>
            <w:r>
              <w:rPr>
                <w:iCs/>
                <w:spacing w:val="-3"/>
                <w:sz w:val="24"/>
                <w:vertAlign w:val="subscript"/>
                <w:lang w:val="en-US"/>
              </w:rPr>
              <w:t>2</w:t>
            </w:r>
            <w:r>
              <w:rPr>
                <w:i/>
                <w:spacing w:val="-3"/>
                <w:sz w:val="24"/>
                <w:lang w:val="en-US"/>
              </w:rPr>
              <w:t xml:space="preserve"> </w:t>
            </w:r>
            <w:r>
              <w:rPr>
                <w:iCs/>
                <w:spacing w:val="-3"/>
                <w:sz w:val="24"/>
                <w:lang w:val="en-US"/>
              </w:rPr>
              <w:t>/</w:t>
            </w:r>
            <w:r>
              <w:rPr>
                <w:spacing w:val="-3"/>
                <w:sz w:val="24"/>
                <w:lang w:val="en-US"/>
              </w:rPr>
              <w:t>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p>
        </w:tc>
        <w:tc>
          <w:tcPr>
            <w:tcW w:type="dxa" w:w="3119"/>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2.3 x 10</w:t>
            </w:r>
            <w:r>
              <w:rPr>
                <w:spacing w:val="-3"/>
                <w:sz w:val="24"/>
                <w:vertAlign w:val="superscript"/>
                <w:lang w:val="en-US"/>
              </w:rPr>
              <w:t>-15</w:t>
            </w:r>
          </w:p>
        </w:tc>
        <w:tc>
          <w:tcPr>
            <w:tcW w:type="dxa" w:w="2210"/>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298</w:t>
            </w:r>
          </w:p>
        </w:tc>
      </w:tr>
      <w:tr>
        <w:trPr>
          <w:cantSplit w:val="false"/>
        </w:trPr>
        <w:tc>
          <w:tcPr>
            <w:tcW w:type="dxa" w:w="324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i/>
                <w:spacing w:val="-3"/>
                <w:sz w:val="24"/>
                <w:lang w:val="en-US"/>
              </w:rPr>
              <w:t>k</w:t>
            </w:r>
            <w:r>
              <w:rPr>
                <w:iCs/>
                <w:spacing w:val="-3"/>
                <w:sz w:val="24"/>
                <w:vertAlign w:val="subscript"/>
                <w:lang w:val="en-US"/>
              </w:rPr>
              <w:t>2</w:t>
            </w:r>
            <w:r>
              <w:rPr>
                <w:i/>
                <w:spacing w:val="-3"/>
                <w:sz w:val="24"/>
                <w:lang w:val="en-US"/>
              </w:rPr>
              <w:t xml:space="preserve"> </w:t>
            </w:r>
            <w:r>
              <w:rPr>
                <w:iCs/>
                <w:spacing w:val="-3"/>
                <w:sz w:val="24"/>
                <w:lang w:val="en-US"/>
              </w:rPr>
              <w:t>/</w:t>
            </w:r>
            <w:r>
              <w:rPr>
                <w:spacing w:val="-3"/>
                <w:sz w:val="24"/>
                <w:lang w:val="en-US"/>
              </w:rPr>
              <w:t>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p>
        </w:tc>
        <w:tc>
          <w:tcPr>
            <w:tcW w:type="dxa" w:w="3119"/>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7.0 x 10</w:t>
            </w:r>
            <w:r>
              <w:rPr>
                <w:spacing w:val="-3"/>
                <w:sz w:val="24"/>
                <w:vertAlign w:val="superscript"/>
                <w:lang w:val="en-US"/>
              </w:rPr>
              <w:t>-12</w:t>
            </w:r>
            <w:r>
              <w:rPr>
                <w:spacing w:val="-3"/>
                <w:sz w:val="24"/>
                <w:lang w:val="en-US"/>
              </w:rPr>
              <w:t xml:space="preserve"> exp(-2400/</w:t>
            </w:r>
            <w:r>
              <w:rPr>
                <w:i/>
                <w:spacing w:val="-3"/>
                <w:sz w:val="24"/>
                <w:lang w:val="en-US"/>
              </w:rPr>
              <w:t>T</w:t>
            </w:r>
            <w:r>
              <w:rPr>
                <w:spacing w:val="-3"/>
                <w:sz w:val="24"/>
                <w:lang w:val="en-US"/>
              </w:rPr>
              <w:t>)</w:t>
            </w:r>
          </w:p>
        </w:tc>
        <w:tc>
          <w:tcPr>
            <w:tcW w:type="dxa" w:w="2210"/>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280-360</w:t>
            </w:r>
          </w:p>
        </w:tc>
      </w:tr>
    </w:tbl>
    <w:p>
      <w:pPr>
        <w:pStyle w:val="style0"/>
        <w:tabs>
          <w:tab w:leader="none" w:pos="0" w:val="left"/>
          <w:tab w:leader="none" w:pos="444" w:val="left"/>
          <w:tab w:leader="none" w:pos="720" w:val="left"/>
        </w:tabs>
        <w:spacing w:line="240" w:lineRule="atLeast"/>
        <w:jc w:val="both"/>
      </w:pPr>
      <w:r>
        <w:rPr/>
      </w:r>
    </w:p>
    <w:p>
      <w:pPr>
        <w:pStyle w:val="style0"/>
        <w:tabs>
          <w:tab w:leader="none" w:pos="719" w:val="left"/>
          <w:tab w:leader="none" w:pos="1163" w:val="left"/>
          <w:tab w:leader="none" w:pos="1439" w:val="left"/>
        </w:tabs>
        <w:spacing w:line="240" w:lineRule="atLeast"/>
        <w:ind w:hanging="0" w:left="719" w:right="0"/>
        <w:jc w:val="both"/>
      </w:pPr>
      <w:r>
        <w:rPr>
          <w:i/>
          <w:spacing w:val="-3"/>
          <w:sz w:val="24"/>
          <w:lang w:val="en-US"/>
        </w:rPr>
        <w:t>Reliability</w:t>
      </w:r>
    </w:p>
    <w:tbl>
      <w:tblPr>
        <w:jc w:val="left"/>
        <w:tblInd w:type="dxa" w:w="841"/>
        <w:tblBorders>
          <w:top w:val="none"/>
          <w:left w:val="none"/>
          <w:bottom w:val="none"/>
          <w:insideH w:val="none"/>
          <w:right w:val="none"/>
          <w:insideV w:val="none"/>
        </w:tblBorders>
        <w:tblCellMar>
          <w:top w:type="dxa" w:w="0"/>
          <w:left w:type="dxa" w:w="108"/>
          <w:bottom w:type="dxa" w:w="0"/>
          <w:right w:type="dxa" w:w="108"/>
        </w:tblCellMar>
      </w:tblPr>
      <w:tblGrid>
        <w:gridCol w:w="3230"/>
        <w:gridCol w:w="3119"/>
        <w:gridCol w:w="2210"/>
      </w:tblGrid>
      <w:tr>
        <w:trPr>
          <w:cantSplit w:val="false"/>
        </w:trPr>
        <w:tc>
          <w:tcPr>
            <w:tcW w:type="dxa" w:w="3230"/>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rFonts w:ascii="Symbol" w:hAnsi="Symbol"/>
                <w:spacing w:val="-3"/>
                <w:sz w:val="24"/>
                <w:lang w:val="en-US"/>
              </w:rPr>
              <w:t></w:t>
            </w:r>
            <w:r>
              <w:rPr>
                <w:spacing w:val="-3"/>
                <w:sz w:val="24"/>
                <w:lang w:val="en-US"/>
              </w:rPr>
              <w:t xml:space="preserve"> </w:t>
            </w:r>
            <w:r>
              <w:rPr>
                <w:spacing w:val="-3"/>
                <w:sz w:val="24"/>
                <w:lang w:val="en-US"/>
              </w:rPr>
              <w:t>log</w:t>
            </w:r>
            <w:r>
              <w:rPr>
                <w:i/>
                <w:spacing w:val="-3"/>
                <w:sz w:val="24"/>
                <w:lang w:val="en-US"/>
              </w:rPr>
              <w:t xml:space="preserve"> k</w:t>
            </w:r>
            <w:r>
              <w:rPr>
                <w:iCs/>
                <w:spacing w:val="-3"/>
                <w:sz w:val="24"/>
                <w:vertAlign w:val="subscript"/>
                <w:lang w:val="en-US"/>
              </w:rPr>
              <w:t>1</w:t>
            </w:r>
            <w:r>
              <w:rPr>
                <w:spacing w:val="-3"/>
                <w:sz w:val="24"/>
                <w:lang w:val="da-DK"/>
              </w:rPr>
              <w:t xml:space="preserve"> </w:t>
            </w:r>
          </w:p>
        </w:tc>
        <w:tc>
          <w:tcPr>
            <w:tcW w:type="dxa" w:w="3119"/>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 0.15</w:t>
            </w:r>
          </w:p>
        </w:tc>
        <w:tc>
          <w:tcPr>
            <w:tcW w:type="dxa" w:w="2210"/>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298</w:t>
            </w:r>
          </w:p>
        </w:tc>
      </w:tr>
      <w:tr>
        <w:trPr>
          <w:cantSplit w:val="false"/>
        </w:trPr>
        <w:tc>
          <w:tcPr>
            <w:tcW w:type="dxa" w:w="3230"/>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Δ</w:t>
            </w:r>
            <w:r>
              <w:rPr>
                <w:spacing w:val="-3"/>
                <w:sz w:val="24"/>
                <w:lang w:val="da-DK"/>
              </w:rPr>
              <w:t xml:space="preserve">log </w:t>
            </w:r>
            <w:r>
              <w:rPr>
                <w:i/>
                <w:spacing w:val="-3"/>
                <w:sz w:val="24"/>
                <w:lang w:val="da-DK"/>
              </w:rPr>
              <w:t>k</w:t>
            </w:r>
            <w:r>
              <w:rPr>
                <w:spacing w:val="-3"/>
                <w:sz w:val="24"/>
                <w:vertAlign w:val="subscript"/>
                <w:lang w:val="da-DK"/>
              </w:rPr>
              <w:t>2</w:t>
            </w:r>
          </w:p>
        </w:tc>
        <w:tc>
          <w:tcPr>
            <w:tcW w:type="dxa" w:w="3119"/>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 0.15</w:t>
            </w:r>
          </w:p>
        </w:tc>
        <w:tc>
          <w:tcPr>
            <w:tcW w:type="dxa" w:w="2210"/>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298</w:t>
            </w:r>
          </w:p>
        </w:tc>
      </w:tr>
      <w:tr>
        <w:trPr>
          <w:cantSplit w:val="false"/>
        </w:trPr>
        <w:tc>
          <w:tcPr>
            <w:tcW w:type="dxa" w:w="3230"/>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Δ</w:t>
            </w:r>
            <w:r>
              <w:rPr>
                <w:spacing w:val="-3"/>
                <w:sz w:val="24"/>
                <w:lang w:val="pt-BR"/>
              </w:rPr>
              <w:t>(</w:t>
            </w:r>
            <w:r>
              <w:rPr>
                <w:i/>
                <w:spacing w:val="-3"/>
                <w:sz w:val="24"/>
                <w:lang w:val="pt-BR"/>
              </w:rPr>
              <w:t>E</w:t>
            </w:r>
            <w:r>
              <w:rPr>
                <w:spacing w:val="-3"/>
                <w:sz w:val="24"/>
                <w:vertAlign w:val="subscript"/>
                <w:lang w:val="pt-BR"/>
              </w:rPr>
              <w:t>1</w:t>
            </w:r>
            <w:r>
              <w:rPr>
                <w:spacing w:val="-3"/>
                <w:sz w:val="24"/>
                <w:lang w:val="pt-BR"/>
              </w:rPr>
              <w:t>/</w:t>
            </w:r>
            <w:r>
              <w:rPr>
                <w:i/>
                <w:spacing w:val="-3"/>
                <w:sz w:val="24"/>
                <w:lang w:val="pt-BR"/>
              </w:rPr>
              <w:t>R</w:t>
            </w:r>
            <w:r>
              <w:rPr>
                <w:spacing w:val="-3"/>
                <w:sz w:val="24"/>
                <w:lang w:val="pt-BR"/>
              </w:rPr>
              <w:t xml:space="preserve">) </w:t>
            </w:r>
          </w:p>
        </w:tc>
        <w:tc>
          <w:tcPr>
            <w:tcW w:type="dxa" w:w="3119"/>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 500</w:t>
            </w:r>
          </w:p>
        </w:tc>
        <w:tc>
          <w:tcPr>
            <w:tcW w:type="dxa" w:w="2210"/>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r>
          </w:p>
        </w:tc>
      </w:tr>
      <w:tr>
        <w:trPr>
          <w:cantSplit w:val="false"/>
        </w:trPr>
        <w:tc>
          <w:tcPr>
            <w:tcW w:type="dxa" w:w="3230"/>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Δ</w:t>
            </w:r>
            <w:r>
              <w:rPr>
                <w:spacing w:val="-3"/>
                <w:sz w:val="24"/>
                <w:lang w:val="pt-BR"/>
              </w:rPr>
              <w:t>(</w:t>
            </w:r>
            <w:r>
              <w:rPr>
                <w:i/>
                <w:spacing w:val="-3"/>
                <w:sz w:val="24"/>
                <w:lang w:val="pt-BR"/>
              </w:rPr>
              <w:t>E</w:t>
            </w:r>
            <w:r>
              <w:rPr>
                <w:spacing w:val="-3"/>
                <w:sz w:val="24"/>
                <w:vertAlign w:val="subscript"/>
                <w:lang w:val="pt-BR"/>
              </w:rPr>
              <w:t>2</w:t>
            </w:r>
            <w:r>
              <w:rPr>
                <w:spacing w:val="-3"/>
                <w:sz w:val="24"/>
                <w:lang w:val="pt-BR"/>
              </w:rPr>
              <w:t>/</w:t>
            </w:r>
            <w:r>
              <w:rPr>
                <w:i/>
                <w:spacing w:val="-3"/>
                <w:sz w:val="24"/>
                <w:lang w:val="pt-BR"/>
              </w:rPr>
              <w:t>R</w:t>
            </w:r>
            <w:r>
              <w:rPr>
                <w:spacing w:val="-3"/>
                <w:sz w:val="24"/>
                <w:lang w:val="pt-BR"/>
              </w:rPr>
              <w:t>)</w:t>
            </w:r>
          </w:p>
        </w:tc>
        <w:tc>
          <w:tcPr>
            <w:tcW w:type="dxa" w:w="3119"/>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 500</w:t>
            </w:r>
          </w:p>
        </w:tc>
        <w:tc>
          <w:tcPr>
            <w:tcW w:type="dxa" w:w="2210"/>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r>
          </w:p>
        </w:tc>
      </w:tr>
    </w:tbl>
    <w:p>
      <w:pPr>
        <w:pStyle w:val="style0"/>
        <w:tabs>
          <w:tab w:leader="none" w:pos="0" w:val="left"/>
          <w:tab w:leader="none" w:pos="444" w:val="left"/>
          <w:tab w:leader="none" w:pos="720" w:val="left"/>
        </w:tabs>
        <w:spacing w:line="240" w:lineRule="atLeast"/>
        <w:jc w:val="both"/>
      </w:pPr>
      <w:r>
        <w:rPr/>
      </w:r>
    </w:p>
    <w:p>
      <w:pPr>
        <w:pStyle w:val="style0"/>
        <w:tabs>
          <w:tab w:leader="none" w:pos="0" w:val="left"/>
          <w:tab w:leader="none" w:pos="444" w:val="left"/>
          <w:tab w:leader="none" w:pos="720" w:val="left"/>
        </w:tabs>
        <w:spacing w:line="240" w:lineRule="atLeast"/>
        <w:jc w:val="both"/>
      </w:pPr>
      <w:r>
        <w:rPr>
          <w:i/>
          <w:spacing w:val="-3"/>
          <w:sz w:val="24"/>
          <w:lang w:val="en-US"/>
        </w:rPr>
        <w:t>Comments on Preferred Values</w:t>
      </w:r>
    </w:p>
    <w:p>
      <w:pPr>
        <w:pStyle w:val="style0"/>
        <w:tabs>
          <w:tab w:leader="none" w:pos="346" w:val="left"/>
          <w:tab w:leader="none" w:pos="790" w:val="left"/>
          <w:tab w:leader="none" w:pos="1066" w:val="left"/>
        </w:tabs>
        <w:spacing w:line="240" w:lineRule="atLeast"/>
        <w:ind w:hanging="0" w:left="346" w:right="525"/>
        <w:jc w:val="both"/>
      </w:pPr>
      <w:r>
        <w:rPr>
          <w:spacing w:val="-3"/>
          <w:sz w:val="24"/>
          <w:lang w:val="en-US"/>
        </w:rPr>
        <w:t xml:space="preserve">The recommended value of the overall rate constant at room temperature is an average of the absolute rate and all four relative rate studies, which show good agreement. The temperature dependence of </w:t>
      </w:r>
      <w:r>
        <w:rPr>
          <w:i/>
          <w:spacing w:val="-3"/>
          <w:sz w:val="24"/>
          <w:lang w:val="en-US"/>
        </w:rPr>
        <w:t>k</w:t>
      </w:r>
      <w:r>
        <w:rPr>
          <w:spacing w:val="-3"/>
          <w:sz w:val="24"/>
          <w:lang w:val="en-US"/>
        </w:rPr>
        <w:t xml:space="preserve">, </w:t>
      </w:r>
      <w:r>
        <w:rPr>
          <w:i/>
          <w:spacing w:val="-3"/>
          <w:sz w:val="24"/>
          <w:lang w:val="en-US"/>
        </w:rPr>
        <w:t>k</w:t>
      </w:r>
      <w:r>
        <w:rPr>
          <w:spacing w:val="-3"/>
          <w:sz w:val="24"/>
          <w:vertAlign w:val="subscript"/>
          <w:lang w:val="en-US"/>
        </w:rPr>
        <w:t>1</w:t>
      </w:r>
      <w:r>
        <w:rPr>
          <w:spacing w:val="-3"/>
          <w:sz w:val="24"/>
          <w:lang w:val="en-US"/>
        </w:rPr>
        <w:t xml:space="preserve"> and </w:t>
      </w:r>
      <w:r>
        <w:rPr>
          <w:i/>
          <w:spacing w:val="-3"/>
          <w:sz w:val="24"/>
          <w:lang w:val="en-US"/>
        </w:rPr>
        <w:t>k</w:t>
      </w:r>
      <w:r>
        <w:rPr>
          <w:spacing w:val="-3"/>
          <w:sz w:val="24"/>
          <w:vertAlign w:val="subscript"/>
          <w:lang w:val="en-US"/>
        </w:rPr>
        <w:t>2</w:t>
      </w:r>
      <w:r>
        <w:rPr>
          <w:spacing w:val="-3"/>
          <w:sz w:val="24"/>
          <w:lang w:val="en-US"/>
        </w:rPr>
        <w:t xml:space="preserve"> are taken from work of Yano and Tschuikow-Roux, (1986), which supersedes their previous data (Tschuikow-Roux et al. 1985). </w:t>
      </w:r>
    </w:p>
    <w:p>
      <w:pPr>
        <w:pStyle w:val="style0"/>
        <w:tabs>
          <w:tab w:leader="none" w:pos="0" w:val="left"/>
          <w:tab w:leader="none" w:pos="444" w:val="left"/>
          <w:tab w:leader="none" w:pos="720" w:val="left"/>
        </w:tabs>
        <w:spacing w:line="240" w:lineRule="atLeast"/>
        <w:jc w:val="both"/>
      </w:pPr>
      <w:r>
        <w:rPr>
          <w:spacing w:val="-3"/>
          <w:sz w:val="24"/>
          <w:lang w:val="en-US"/>
        </w:rPr>
      </w:r>
    </w:p>
    <w:p>
      <w:pPr>
        <w:pStyle w:val="style0"/>
        <w:tabs>
          <w:tab w:leader="none" w:pos="4680" w:val="center"/>
        </w:tabs>
        <w:spacing w:line="240" w:lineRule="atLeast"/>
        <w:jc w:val="center"/>
      </w:pPr>
      <w:r>
        <w:rPr>
          <w:b/>
          <w:spacing w:val="-3"/>
          <w:sz w:val="24"/>
          <w:lang w:val="en-US"/>
        </w:rPr>
        <w:t>References</w:t>
      </w:r>
    </w:p>
    <w:p>
      <w:pPr>
        <w:pStyle w:val="style0"/>
        <w:tabs>
          <w:tab w:leader="none" w:pos="0" w:val="left"/>
          <w:tab w:leader="none" w:pos="288" w:val="left"/>
          <w:tab w:leader="none" w:pos="720" w:val="left"/>
        </w:tabs>
        <w:spacing w:line="240" w:lineRule="atLeast"/>
        <w:jc w:val="both"/>
      </w:pPr>
      <w:r>
        <w:rPr>
          <w:spacing w:val="-3"/>
          <w:sz w:val="24"/>
          <w:lang w:val="en-US"/>
        </w:rPr>
      </w:r>
    </w:p>
    <w:p>
      <w:pPr>
        <w:pStyle w:val="style0"/>
        <w:widowControl/>
        <w:ind w:hanging="0" w:left="346" w:right="525"/>
      </w:pPr>
      <w:r>
        <w:rPr>
          <w:spacing w:val="-3"/>
          <w:sz w:val="24"/>
          <w:lang w:val="en-US"/>
        </w:rPr>
        <w:t xml:space="preserve">Atkinson, R., Baulch, D. L., Cox, R. A., Crowley, J. N., Hampson, R. F., Hynes, R. G., Jenkin, M. E., Rossi, M. J., and Troe, J.: </w:t>
      </w:r>
      <w:bookmarkStart w:id="0" w:name="_GoBack"/>
      <w:r>
        <w:rPr>
          <w:spacing w:val="-3"/>
          <w:sz w:val="24"/>
          <w:szCs w:val="24"/>
          <w:lang w:val="en-US"/>
        </w:rPr>
        <w:t xml:space="preserve">Atmos. Chem. Phys., 6, 3625, 2006; IUPAC Task Group on Atmospheric Chemical Kinetic Data Evaluation, </w:t>
      </w:r>
      <w:hyperlink r:id="rId4">
        <w:r>
          <w:rPr>
            <w:rStyle w:val="style17"/>
            <w:sz w:val="24"/>
            <w:szCs w:val="24"/>
          </w:rPr>
          <w:t>http://iupac.pole-ether.fr</w:t>
        </w:r>
      </w:hyperlink>
    </w:p>
    <w:p>
      <w:pPr>
        <w:pStyle w:val="style0"/>
        <w:tabs>
          <w:tab w:leader="none" w:pos="346" w:val="left"/>
          <w:tab w:leader="none" w:pos="706" w:val="left"/>
          <w:tab w:leader="none" w:pos="1066" w:val="left"/>
        </w:tabs>
        <w:spacing w:line="240" w:lineRule="atLeast"/>
        <w:ind w:hanging="0" w:left="346" w:right="525"/>
        <w:jc w:val="both"/>
      </w:pPr>
      <w:r>
        <w:rPr>
          <w:spacing w:val="-3"/>
          <w:sz w:val="24"/>
          <w:szCs w:val="24"/>
          <w:lang w:val="en-US"/>
        </w:rPr>
        <w:t xml:space="preserve">Taketani, F., Nakayama, T., Takahashi, K., Matsumi, Y., Hurley, M. D. Wallington, T. J., Toft, A., </w:t>
        <w:tab/>
        <w:t>Sulbaek Andersen M. P.: J. Phys. Chem. A, 109, 9061, 2005.</w:t>
      </w:r>
    </w:p>
    <w:p>
      <w:pPr>
        <w:pStyle w:val="style0"/>
        <w:tabs>
          <w:tab w:leader="none" w:pos="346" w:val="left"/>
          <w:tab w:leader="none" w:pos="634" w:val="left"/>
          <w:tab w:leader="none" w:pos="1066" w:val="left"/>
        </w:tabs>
        <w:spacing w:line="240" w:lineRule="atLeast"/>
        <w:ind w:hanging="0" w:left="346" w:right="525"/>
        <w:jc w:val="both"/>
      </w:pPr>
      <w:r>
        <w:rPr>
          <w:spacing w:val="-3"/>
          <w:sz w:val="24"/>
          <w:szCs w:val="24"/>
          <w:lang w:val="en-US"/>
        </w:rPr>
        <w:t>Tschuikow-Roux, E., Yano, T. and Niedzielski, J.: J. Chem. Phys., 82, 65, 1985.</w:t>
      </w:r>
    </w:p>
    <w:p>
      <w:pPr>
        <w:pStyle w:val="style0"/>
        <w:tabs>
          <w:tab w:leader="none" w:pos="346" w:val="left"/>
          <w:tab w:leader="none" w:pos="634" w:val="left"/>
          <w:tab w:leader="none" w:pos="1066" w:val="left"/>
        </w:tabs>
        <w:spacing w:line="240" w:lineRule="atLeast"/>
        <w:ind w:hanging="0" w:left="346" w:right="525"/>
        <w:jc w:val="both"/>
      </w:pPr>
      <w:r>
        <w:rPr>
          <w:spacing w:val="-3"/>
          <w:sz w:val="24"/>
          <w:szCs w:val="24"/>
          <w:lang w:val="en-US"/>
        </w:rPr>
        <w:t>Tuazon, E. C., Atkinson, R. and Corchnoy</w:t>
      </w:r>
      <w:bookmarkEnd w:id="0"/>
      <w:r>
        <w:rPr>
          <w:spacing w:val="-3"/>
          <w:sz w:val="24"/>
          <w:lang w:val="en-US"/>
        </w:rPr>
        <w:t>, S. B: Int. J. Chem. Kinet.,24, 639, 1992.</w:t>
      </w:r>
    </w:p>
    <w:p>
      <w:pPr>
        <w:pStyle w:val="style0"/>
        <w:tabs>
          <w:tab w:leader="none" w:pos="346" w:val="left"/>
          <w:tab w:leader="none" w:pos="634" w:val="left"/>
          <w:tab w:leader="none" w:pos="1066" w:val="left"/>
        </w:tabs>
        <w:spacing w:line="240" w:lineRule="atLeast"/>
        <w:ind w:hanging="0" w:left="346" w:right="525"/>
        <w:jc w:val="both"/>
      </w:pPr>
      <w:r>
        <w:rPr>
          <w:spacing w:val="-3"/>
          <w:sz w:val="24"/>
          <w:lang w:val="en-US"/>
        </w:rPr>
        <w:t>Wallington. T. J. and Hurley, M. D.: Chem. Phys. Lett., 189, 437, 1992.</w:t>
      </w:r>
    </w:p>
    <w:p>
      <w:pPr>
        <w:pStyle w:val="style0"/>
        <w:tabs>
          <w:tab w:leader="none" w:pos="346" w:val="left"/>
          <w:tab w:leader="none" w:pos="634" w:val="left"/>
          <w:tab w:leader="none" w:pos="1066" w:val="left"/>
        </w:tabs>
        <w:spacing w:line="240" w:lineRule="atLeast"/>
        <w:ind w:hanging="0" w:left="346" w:right="525"/>
        <w:jc w:val="both"/>
      </w:pPr>
      <w:r>
        <w:rPr>
          <w:spacing w:val="-3"/>
          <w:sz w:val="24"/>
          <w:lang w:val="en-US"/>
        </w:rPr>
        <w:t>Yano, T. and Tschuikow-Roux, E.: J. Photochem., 32, 25, 1986.</w:t>
      </w:r>
    </w:p>
    <w:p>
      <w:pPr>
        <w:pStyle w:val="style0"/>
        <w:ind w:hanging="0" w:left="595" w:right="0"/>
      </w:pPr>
      <w:r>
        <w:rPr/>
        <w:drawing>
          <wp:inline distB="0" distL="0" distR="0" distT="0">
            <wp:extent cx="5544820" cy="550608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5"/>
                    <a:srcRect/>
                    <a:stretch>
                      <a:fillRect/>
                    </a:stretch>
                  </pic:blipFill>
                  <pic:spPr bwMode="auto">
                    <a:xfrm>
                      <a:off x="0" y="0"/>
                      <a:ext cx="5544820" cy="5506085"/>
                    </a:xfrm>
                    <a:prstGeom prst="rect">
                      <a:avLst/>
                    </a:prstGeom>
                    <a:noFill/>
                    <a:ln w="9525">
                      <a:noFill/>
                      <a:miter lim="800000"/>
                      <a:headEnd/>
                      <a:tailEnd/>
                    </a:ln>
                  </pic:spPr>
                </pic:pic>
              </a:graphicData>
            </a:graphic>
          </wp:inline>
        </w:drawing>
      </w:r>
    </w:p>
    <w:sectPr>
      <w:type w:val="nextPage"/>
      <w:pgSz w:h="15840" w:w="12240"/>
      <w:pgMar w:bottom="965" w:footer="0" w:gutter="0" w:header="0" w:left="1120" w:right="1412" w:top="965"/>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Liberation Sans">
    <w:altName w:val="Arial"/>
    <w:charset w:val="80"/>
    <w:family w:val="swiss"/>
    <w:pitch w:val="variable"/>
  </w:font>
  <w:font w:name="Tahoma">
    <w:charset w:val="80"/>
    <w:family w:val="roman"/>
    <w:pitch w:val="variable"/>
  </w:font>
  <w:font w:name="Symbol">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Times New Roman" w:eastAsia="Times New Roman" w:hAnsi="Times New Roman"/>
      <w:color w:val="auto"/>
      <w:sz w:val="20"/>
      <w:szCs w:val="20"/>
      <w:lang w:bidi="ar-SA" w:eastAsia="ar-SA" w:val="en-GB"/>
    </w:rPr>
  </w:style>
  <w:style w:styleId="style2" w:type="paragraph">
    <w:name w:val="Heading 2"/>
    <w:basedOn w:val="style0"/>
    <w:next w:val="style2"/>
    <w:pPr>
      <w:keepNext/>
      <w:widowControl/>
      <w:spacing w:line="264" w:lineRule="auto"/>
    </w:pPr>
    <w:rPr>
      <w:spacing w:val="-2"/>
      <w:sz w:val="24"/>
      <w:lang w:val="en-US"/>
    </w:rPr>
  </w:style>
  <w:style w:styleId="style3" w:type="paragraph">
    <w:name w:val="Heading 3"/>
    <w:basedOn w:val="style0"/>
    <w:next w:val="style3"/>
    <w:pPr>
      <w:keepNext/>
      <w:tabs>
        <w:tab w:leader="none" w:pos="720" w:val="left"/>
      </w:tabs>
      <w:spacing w:line="240" w:lineRule="atLeast"/>
      <w:jc w:val="both"/>
    </w:pPr>
    <w:rPr>
      <w:spacing w:val="-3"/>
      <w:sz w:val="24"/>
      <w:lang w:val="en-US"/>
    </w:rPr>
  </w:style>
  <w:style w:styleId="style15" w:type="character">
    <w:name w:val="Default Paragraph Font"/>
    <w:next w:val="style15"/>
    <w:rPr/>
  </w:style>
  <w:style w:styleId="style16" w:type="character">
    <w:name w:val="WW8Num1z0"/>
    <w:next w:val="style16"/>
    <w:rPr>
      <w:strike w:val="false"/>
      <w:dstrike w:val="false"/>
      <w:vertAlign w:val="superscript"/>
    </w:rPr>
  </w:style>
  <w:style w:styleId="style17" w:type="character">
    <w:name w:val="Internet Link"/>
    <w:basedOn w:val="style15"/>
    <w:next w:val="style17"/>
    <w:rPr>
      <w:color w:val="0000FF"/>
      <w:u w:val="single"/>
      <w:lang w:bidi="zxx-" w:eastAsia="zxx-" w:val="zxx-"/>
    </w:rPr>
  </w:style>
  <w:style w:styleId="style18" w:type="paragraph">
    <w:name w:val="Heading"/>
    <w:basedOn w:val="style0"/>
    <w:next w:val="style19"/>
    <w:pPr>
      <w:keepNext/>
      <w:spacing w:after="120" w:before="240"/>
      <w:contextualSpacing w:val="false"/>
    </w:pPr>
    <w:rPr>
      <w:rFonts w:ascii="Liberation Sans" w:cs="Lohit Devanagari" w:eastAsia="DejaVu Sans" w:hAnsi="Liberation Sans"/>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Lohit Devanagari"/>
    </w:rPr>
  </w:style>
  <w:style w:styleId="style21" w:type="paragraph">
    <w:name w:val="Caption"/>
    <w:basedOn w:val="style0"/>
    <w:next w:val="style21"/>
    <w:pPr>
      <w:suppressLineNumbers/>
      <w:spacing w:after="120" w:before="120"/>
      <w:contextualSpacing w:val="false"/>
    </w:pPr>
    <w:rPr>
      <w:rFonts w:cs="Lohit Devanagari"/>
      <w:i/>
      <w:iCs/>
      <w:sz w:val="24"/>
      <w:szCs w:val="24"/>
    </w:rPr>
  </w:style>
  <w:style w:styleId="style22" w:type="paragraph">
    <w:name w:val="Index"/>
    <w:basedOn w:val="style0"/>
    <w:next w:val="style22"/>
    <w:pPr>
      <w:suppressLineNumbers/>
    </w:pPr>
    <w:rPr>
      <w:rFonts w:cs="Lohit Devanagari"/>
    </w:rPr>
  </w:style>
  <w:style w:styleId="style23" w:type="paragraph">
    <w:name w:val="caption"/>
    <w:basedOn w:val="style0"/>
    <w:next w:val="style23"/>
    <w:pPr>
      <w:suppressLineNumbers/>
      <w:spacing w:after="120" w:before="120"/>
      <w:contextualSpacing w:val="false"/>
    </w:pPr>
    <w:rPr>
      <w:rFonts w:cs="Lohit Devanagari"/>
      <w:i/>
      <w:iCs/>
      <w:sz w:val="24"/>
      <w:szCs w:val="24"/>
    </w:rPr>
  </w:style>
  <w:style w:styleId="style24" w:type="paragraph">
    <w:name w:val="Balloon Text"/>
    <w:basedOn w:val="style0"/>
    <w:next w:val="style24"/>
    <w:pPr/>
    <w:rPr>
      <w:rFonts w:ascii="Tahoma" w:hAnsi="Tahoma"/>
      <w:sz w:val="16"/>
      <w:szCs w:val="16"/>
    </w:rPr>
  </w:style>
  <w:style w:styleId="style25" w:type="paragraph">
    <w:name w:val="Table Contents"/>
    <w:basedOn w:val="style0"/>
    <w:next w:val="style25"/>
    <w:pPr>
      <w:suppressLineNumbers/>
    </w:pPr>
    <w:rPr/>
  </w:style>
  <w:style w:styleId="style26" w:type="paragraph">
    <w:name w:val="Table Heading"/>
    <w:basedOn w:val="style25"/>
    <w:next w:val="style26"/>
    <w:pPr>
      <w:jc w:val="center"/>
    </w:pPr>
    <w:rPr>
      <w:b/>
      <w:bCs/>
    </w:rPr>
  </w:style>
  <w:style w:styleId="style27" w:type="paragraph">
    <w:name w:val="Text Body Indent"/>
    <w:basedOn w:val="style19"/>
    <w:next w:val="style27"/>
    <w:pPr>
      <w:ind w:hanging="0" w:left="283"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upac.pole-ether.fr/" TargetMode="External"/><Relationship Id="rId3" Type="http://schemas.openxmlformats.org/officeDocument/2006/relationships/hyperlink" Target="http://www.iupac.pole-ether.fr/" TargetMode="External"/><Relationship Id="rId4" Type="http://schemas.openxmlformats.org/officeDocument/2006/relationships/hyperlink" Target="http://iupac.pole-ether.fr/" TargetMode="External"/><Relationship Id="rId5" Type="http://schemas.openxmlformats.org/officeDocument/2006/relationships/image" Target="media/image7.w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2014-06-10T22:58:00.00Z</dcterms:created>
  <dc:creator>idreger</dc:creator>
  <cp:lastModifiedBy>Wallington, Timothy (T.J.)</cp:lastModifiedBy>
  <cp:lastPrinted>2011-07-26T20:22:00.00Z</cp:lastPrinted>
  <dcterms:modified xsi:type="dcterms:W3CDTF">2014-06-10T22:58:00.00Z</dcterms:modified>
  <cp:revision>2</cp:revision>
  <dc:title>IUPAC Task Group on Atmospheric Chemical Kinetic Data Evaluation – Data Sheet IV.A2.99 oClOx25</dc:title>
</cp:coreProperties>
</file>