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6.wmf" ContentType="image/x-wmf"/>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3"/>
        <w:ind w:hanging="0" w:left="147" w:right="544"/>
      </w:pPr>
      <w:r>
        <w:rPr>
          <w:b/>
          <w:bCs/>
          <w:sz w:val="24"/>
          <w:szCs w:val="24"/>
        </w:rPr>
        <w:t>Task Group on Atmospheric Chemical Kinetic Data Evaluation – Data Sheet oClOx24</w:t>
      </w:r>
    </w:p>
    <w:p>
      <w:pPr>
        <w:pStyle w:val="style0"/>
        <w:ind w:hanging="0" w:left="177" w:right="429"/>
        <w:jc w:val="both"/>
      </w:pPr>
      <w:r>
        <w:rPr>
          <w:sz w:val="24"/>
          <w:szCs w:val="24"/>
        </w:rPr>
        <w:t xml:space="preserve">Website: </w:t>
      </w:r>
      <w:hyperlink r:id="rId2">
        <w:r>
          <w:rPr>
            <w:rStyle w:val="style18"/>
            <w:sz w:val="24"/>
            <w:szCs w:val="24"/>
          </w:rPr>
          <w:t>http://iupac.pole-ether.fr</w:t>
        </w:r>
      </w:hyperlink>
      <w:r>
        <w:rPr>
          <w:sz w:val="24"/>
          <w:szCs w:val="24"/>
        </w:rPr>
        <w:t xml:space="preserve">. See website for latest evaluated data. Data sheets can be downloaded for personal use only and must not be retransmitted or disseminated either electronically or in hardcopy without explicit written permission. The citation for this data sheet is: </w:t>
      </w:r>
      <w:r>
        <w:rPr>
          <w:spacing w:val="-3"/>
          <w:sz w:val="24"/>
          <w:szCs w:val="24"/>
          <w:lang w:val="en-US"/>
        </w:rPr>
        <w:t xml:space="preserve">Atkinson, R., Baulch, D. L., Cox, R. A., Crowley, J. N., Hampson, R. F., Hynes, R. G., Jenkin, M. E., Rossi, M. J., Troe, J., and Wallington, T. J.: Atmos. Chem. Phys., 9, 4141, 2008; IUPAC Task Group on Atmospheric Chemical Kinetic Data Evaluation, </w:t>
      </w:r>
      <w:hyperlink r:id="rId3">
        <w:r>
          <w:rPr>
            <w:rStyle w:val="style18"/>
            <w:sz w:val="24"/>
            <w:szCs w:val="24"/>
          </w:rPr>
          <w:t>http://iupac.pole-ether.fr</w:t>
        </w:r>
      </w:hyperlink>
      <w:r>
        <w:rPr>
          <w:sz w:val="24"/>
          <w:szCs w:val="24"/>
        </w:rPr>
        <w:t xml:space="preserve">. </w:t>
      </w:r>
    </w:p>
    <w:p>
      <w:pPr>
        <w:pStyle w:val="style0"/>
        <w:ind w:hanging="0" w:left="191" w:right="353"/>
        <w:jc w:val="both"/>
      </w:pPr>
      <w:r>
        <w:rPr>
          <w:sz w:val="24"/>
          <w:szCs w:val="24"/>
        </w:rPr>
        <w:t>This data sheet last evaluated: June 2014; last change in preferred values: December 2007.</w:t>
      </w:r>
    </w:p>
    <w:p>
      <w:pPr>
        <w:pStyle w:val="style0"/>
        <w:jc w:val="center"/>
      </w:pPr>
      <w:r>
        <w:rPr>
          <w:b/>
          <w:color w:val="000000"/>
        </w:rPr>
        <w:pict>
          <v:line from="-49.75pt,11.4pt" id="shape_0" style="position:absolute" to="545.4pt,11.4pt">
            <v:stroke color="black" endcap="flat" joinstyle="miter" weight="9360"/>
            <v:fill detectmouseclick="t"/>
          </v:line>
        </w:pict>
      </w:r>
    </w:p>
    <w:p>
      <w:pPr>
        <w:pStyle w:val="style0"/>
        <w:tabs>
          <w:tab w:leader="none" w:pos="4680" w:val="center"/>
          <w:tab w:leader="none" w:pos="8640" w:val="right"/>
        </w:tabs>
        <w:spacing w:line="240" w:lineRule="atLeast"/>
        <w:jc w:val="both"/>
      </w:pPr>
      <w:r>
        <w:rPr/>
      </w:r>
    </w:p>
    <w:p>
      <w:pPr>
        <w:pStyle w:val="style0"/>
        <w:tabs>
          <w:tab w:leader="none" w:pos="4680" w:val="center"/>
          <w:tab w:leader="none" w:pos="8640" w:val="right"/>
        </w:tabs>
        <w:spacing w:line="240" w:lineRule="atLeast"/>
        <w:jc w:val="both"/>
      </w:pPr>
      <w:r>
        <w:rPr>
          <w:b/>
          <w:spacing w:val="-3"/>
          <w:sz w:val="24"/>
          <w:lang w:val="en-US"/>
        </w:rPr>
        <w:tab/>
        <w:t>Cl + CH</w:t>
      </w:r>
      <w:r>
        <w:rPr>
          <w:b/>
          <w:spacing w:val="-3"/>
          <w:sz w:val="24"/>
          <w:vertAlign w:val="subscript"/>
          <w:lang w:val="en-US"/>
        </w:rPr>
        <w:t>3</w:t>
      </w:r>
      <w:r>
        <w:rPr>
          <w:b/>
          <w:spacing w:val="-3"/>
          <w:sz w:val="24"/>
          <w:lang w:val="en-US"/>
        </w:rPr>
        <w:t>CH</w:t>
      </w:r>
      <w:r>
        <w:rPr>
          <w:b/>
          <w:spacing w:val="-3"/>
          <w:sz w:val="24"/>
          <w:vertAlign w:val="subscript"/>
          <w:lang w:val="en-US"/>
        </w:rPr>
        <w:t>2</w:t>
      </w:r>
      <w:r>
        <w:rPr>
          <w:b/>
          <w:spacing w:val="-3"/>
          <w:sz w:val="24"/>
          <w:lang w:val="en-US"/>
        </w:rPr>
        <w:t xml:space="preserve">F (HFC-161) </w:t>
      </w:r>
      <w:r>
        <w:rPr>
          <w:rFonts w:ascii="Symbol" w:hAnsi="Symbol"/>
          <w:b/>
          <w:spacing w:val="-3"/>
          <w:sz w:val="24"/>
          <w:lang w:val="en-US"/>
        </w:rPr>
        <w:t></w:t>
      </w:r>
      <w:r>
        <w:rPr>
          <w:b/>
          <w:spacing w:val="-3"/>
          <w:sz w:val="24"/>
          <w:lang w:val="en-US"/>
        </w:rPr>
        <w:t xml:space="preserve"> HCl + CH</w:t>
      </w:r>
      <w:r>
        <w:rPr>
          <w:b/>
          <w:spacing w:val="-3"/>
          <w:sz w:val="24"/>
          <w:vertAlign w:val="subscript"/>
          <w:lang w:val="en-US"/>
        </w:rPr>
        <w:t>3</w:t>
      </w:r>
      <w:r>
        <w:rPr>
          <w:b/>
          <w:spacing w:val="-3"/>
          <w:sz w:val="24"/>
          <w:lang w:val="en-US"/>
        </w:rPr>
        <w:t>CHF</w:t>
        <w:tab/>
        <w:t>(1)</w:t>
      </w:r>
    </w:p>
    <w:p>
      <w:pPr>
        <w:pStyle w:val="style0"/>
        <w:tabs>
          <w:tab w:leader="none" w:pos="288" w:val="left"/>
          <w:tab w:leader="none" w:pos="5040" w:val="left"/>
          <w:tab w:leader="none" w:pos="5045" w:val="center"/>
          <w:tab w:leader="none" w:pos="8640" w:val="right"/>
        </w:tabs>
        <w:spacing w:line="240" w:lineRule="atLeast"/>
        <w:jc w:val="both"/>
      </w:pPr>
      <w:r>
        <w:rPr>
          <w:b/>
          <w:spacing w:val="-3"/>
          <w:sz w:val="24"/>
          <w:lang w:val="en-US"/>
        </w:rPr>
        <w:tab/>
        <w:tab/>
        <w:t xml:space="preserve"> </w:t>
      </w:r>
      <w:r>
        <w:rPr>
          <w:rFonts w:ascii="Symbol" w:hAnsi="Symbol"/>
          <w:b/>
          <w:spacing w:val="-3"/>
          <w:sz w:val="24"/>
          <w:lang w:val="en-US"/>
        </w:rPr>
        <w:t></w:t>
      </w:r>
      <w:r>
        <w:rPr>
          <w:b/>
          <w:spacing w:val="-3"/>
          <w:sz w:val="24"/>
          <w:lang w:val="en-US"/>
        </w:rPr>
        <w:t xml:space="preserve"> HCl + CH</w:t>
      </w:r>
      <w:r>
        <w:rPr>
          <w:b/>
          <w:spacing w:val="-3"/>
          <w:sz w:val="24"/>
          <w:vertAlign w:val="subscript"/>
          <w:lang w:val="en-US"/>
        </w:rPr>
        <w:t>2</w:t>
      </w:r>
      <w:r>
        <w:rPr>
          <w:b/>
          <w:spacing w:val="-3"/>
          <w:sz w:val="24"/>
          <w:lang w:val="en-US"/>
        </w:rPr>
        <w:t>CH</w:t>
      </w:r>
      <w:r>
        <w:rPr>
          <w:b/>
          <w:spacing w:val="-3"/>
          <w:sz w:val="24"/>
          <w:vertAlign w:val="subscript"/>
          <w:lang w:val="en-US"/>
        </w:rPr>
        <w:t>2</w:t>
      </w:r>
      <w:r>
        <w:rPr>
          <w:b/>
          <w:spacing w:val="-3"/>
          <w:sz w:val="24"/>
          <w:lang w:val="en-US"/>
        </w:rPr>
        <w:t>F</w:t>
        <w:tab/>
        <w:t>(2)</w:t>
      </w:r>
    </w:p>
    <w:p>
      <w:pPr>
        <w:pStyle w:val="style0"/>
        <w:tabs>
          <w:tab w:leader="none" w:pos="0" w:val="left"/>
          <w:tab w:leader="none" w:pos="288" w:val="left"/>
          <w:tab w:leader="none" w:pos="720" w:val="left"/>
        </w:tabs>
        <w:spacing w:line="240" w:lineRule="atLeast"/>
        <w:jc w:val="both"/>
      </w:pPr>
      <w:r>
        <w:rPr>
          <w:spacing w:val="-3"/>
          <w:sz w:val="24"/>
          <w:lang w:val="en-US"/>
        </w:rPr>
      </w:r>
    </w:p>
    <w:p>
      <w:pPr>
        <w:pStyle w:val="style0"/>
        <w:tabs>
          <w:tab w:leader="none" w:pos="788" w:val="left"/>
          <w:tab w:leader="none" w:pos="1076" w:val="left"/>
          <w:tab w:leader="none" w:pos="1508" w:val="left"/>
        </w:tabs>
        <w:spacing w:line="240" w:lineRule="atLeast"/>
        <w:ind w:hanging="0" w:left="788" w:right="0"/>
        <w:jc w:val="both"/>
      </w:pPr>
      <w:r>
        <w:rPr>
          <w:spacing w:val="-3"/>
          <w:sz w:val="24"/>
          <w:lang w:val="en-US"/>
        </w:rPr>
        <w:t>Δ</w:t>
      </w:r>
      <w:r>
        <w:rPr>
          <w:i/>
          <w:spacing w:val="-3"/>
          <w:sz w:val="24"/>
          <w:lang w:val="en-US"/>
        </w:rPr>
        <w:t>H</w:t>
      </w:r>
      <w:r>
        <w:rPr>
          <w:rFonts w:ascii="Symbol" w:hAnsi="Symbol"/>
          <w:spacing w:val="-3"/>
          <w:sz w:val="24"/>
          <w:lang w:val="en-US"/>
        </w:rPr>
        <w:t></w:t>
      </w:r>
      <w:r>
        <w:rPr>
          <w:spacing w:val="-3"/>
          <w:sz w:val="24"/>
          <w:lang w:val="en-US"/>
        </w:rPr>
        <w:t>(1) = -9.6 kJ mol</w:t>
      </w:r>
      <w:r>
        <w:rPr>
          <w:spacing w:val="-3"/>
          <w:sz w:val="24"/>
          <w:vertAlign w:val="superscript"/>
          <w:lang w:val="en-US"/>
        </w:rPr>
        <w:t>-1</w:t>
      </w:r>
    </w:p>
    <w:p>
      <w:pPr>
        <w:pStyle w:val="style0"/>
        <w:tabs>
          <w:tab w:leader="none" w:pos="788" w:val="left"/>
          <w:tab w:leader="none" w:pos="1076" w:val="left"/>
          <w:tab w:leader="none" w:pos="1508" w:val="left"/>
        </w:tabs>
        <w:spacing w:line="240" w:lineRule="atLeast"/>
        <w:ind w:hanging="0" w:left="788" w:right="0"/>
        <w:jc w:val="both"/>
      </w:pPr>
      <w:r>
        <w:rPr>
          <w:spacing w:val="-3"/>
          <w:sz w:val="24"/>
          <w:lang w:val="en-US"/>
        </w:rPr>
        <w:t>Δ</w:t>
      </w:r>
      <w:r>
        <w:rPr>
          <w:i/>
          <w:spacing w:val="-3"/>
          <w:sz w:val="24"/>
          <w:lang w:val="en-US"/>
        </w:rPr>
        <w:t>H</w:t>
      </w:r>
      <w:r>
        <w:rPr>
          <w:rFonts w:ascii="Symbol" w:hAnsi="Symbol"/>
          <w:spacing w:val="-3"/>
          <w:sz w:val="24"/>
          <w:lang w:val="en-US"/>
        </w:rPr>
        <w:t></w:t>
      </w:r>
      <w:r>
        <w:rPr>
          <w:spacing w:val="-3"/>
          <w:sz w:val="24"/>
          <w:lang w:val="en-US"/>
        </w:rPr>
        <w:t>(2) = 5.3 kJ mol</w:t>
      </w:r>
      <w:r>
        <w:rPr>
          <w:spacing w:val="-3"/>
          <w:sz w:val="24"/>
          <w:vertAlign w:val="superscript"/>
          <w:lang w:val="en-US"/>
        </w:rPr>
        <w:t>-1</w:t>
      </w:r>
    </w:p>
    <w:p>
      <w:pPr>
        <w:pStyle w:val="style0"/>
        <w:tabs>
          <w:tab w:leader="none" w:pos="4680" w:val="center"/>
        </w:tabs>
        <w:spacing w:line="240" w:lineRule="atLeast"/>
        <w:jc w:val="center"/>
      </w:pPr>
      <w:r>
        <w:rPr>
          <w:b/>
          <w:spacing w:val="-3"/>
          <w:sz w:val="24"/>
          <w:lang w:val="en-US"/>
        </w:rPr>
        <w:t>Rate coefficient data</w:t>
      </w:r>
    </w:p>
    <w:p>
      <w:pPr>
        <w:pStyle w:val="style0"/>
        <w:tabs>
          <w:tab w:leader="none" w:pos="0" w:val="left"/>
          <w:tab w:leader="none" w:pos="288" w:val="left"/>
          <w:tab w:leader="none" w:pos="720" w:val="left"/>
        </w:tabs>
        <w:spacing w:line="240" w:lineRule="atLeast"/>
        <w:jc w:val="both"/>
      </w:pPr>
      <w:r>
        <w:rPr>
          <w:spacing w:val="-3"/>
          <w:sz w:val="24"/>
          <w:lang w:val="en-US"/>
        </w:rPr>
      </w:r>
    </w:p>
    <w:tbl>
      <w:tblPr>
        <w:jc w:val="left"/>
        <w:tblInd w:type="dxa" w:w="896"/>
        <w:tblBorders>
          <w:top w:color="000001" w:space="0" w:sz="2" w:val="double"/>
          <w:left w:val="none"/>
          <w:bottom w:color="000001" w:space="0" w:sz="4" w:val="single"/>
          <w:insideH w:color="000001" w:space="0" w:sz="4" w:val="single"/>
          <w:right w:val="none"/>
          <w:insideV w:val="none"/>
        </w:tblBorders>
        <w:tblCellMar>
          <w:top w:type="dxa" w:w="0"/>
          <w:left w:type="dxa" w:w="108"/>
          <w:bottom w:type="dxa" w:w="0"/>
          <w:right w:type="dxa" w:w="108"/>
        </w:tblCellMar>
      </w:tblPr>
      <w:tblGrid>
        <w:gridCol w:w="2516"/>
        <w:gridCol w:w="1218"/>
        <w:gridCol w:w="2530"/>
        <w:gridCol w:w="2120"/>
      </w:tblGrid>
      <w:tr>
        <w:trPr>
          <w:cantSplit w:val="false"/>
        </w:trPr>
        <w:tc>
          <w:tcPr>
            <w:tcW w:type="dxa" w:w="2516"/>
            <w:tcBorders>
              <w:top w:color="000001" w:space="0" w:sz="2" w:val="double"/>
              <w:left w:val="none"/>
              <w:bottom w:color="000001" w:space="0" w:sz="4" w:val="single"/>
              <w:right w:val="none"/>
            </w:tcBorders>
            <w:shd w:fill="FFFFFF" w:val="clear"/>
          </w:tcPr>
          <w:p>
            <w:pPr>
              <w:pStyle w:val="style0"/>
              <w:spacing w:after="120" w:before="120" w:line="264" w:lineRule="auto"/>
              <w:contextualSpacing w:val="false"/>
              <w:jc w:val="both"/>
            </w:pPr>
            <w:r>
              <w:rPr>
                <w:i/>
                <w:spacing w:val="-2"/>
                <w:lang w:val="en-US"/>
              </w:rPr>
              <w:t>k</w:t>
            </w:r>
            <w:r>
              <w:rPr>
                <w:spacing w:val="-2"/>
                <w:lang w:val="en-US"/>
              </w:rPr>
              <w:t>/cm</w:t>
            </w:r>
            <w:r>
              <w:rPr>
                <w:spacing w:val="-2"/>
                <w:vertAlign w:val="superscript"/>
                <w:lang w:val="en-US"/>
              </w:rPr>
              <w:t>3</w:t>
            </w:r>
            <w:r>
              <w:rPr>
                <w:spacing w:val="-2"/>
                <w:lang w:val="en-US"/>
              </w:rPr>
              <w:t xml:space="preserve"> molecule</w:t>
            </w:r>
            <w:r>
              <w:rPr>
                <w:spacing w:val="-2"/>
                <w:vertAlign w:val="superscript"/>
                <w:lang w:val="en-US"/>
              </w:rPr>
              <w:t>-1</w:t>
            </w:r>
            <w:r>
              <w:rPr>
                <w:spacing w:val="-2"/>
                <w:lang w:val="en-US"/>
              </w:rPr>
              <w:t xml:space="preserve"> s</w:t>
            </w:r>
            <w:r>
              <w:rPr>
                <w:spacing w:val="-2"/>
                <w:vertAlign w:val="superscript"/>
                <w:lang w:val="en-US"/>
              </w:rPr>
              <w:t>-1</w:t>
            </w:r>
            <w:r>
              <w:rPr>
                <w:spacing w:val="-2"/>
                <w:lang w:val="en-US"/>
              </w:rPr>
              <w:t xml:space="preserve"> </w:t>
            </w:r>
          </w:p>
        </w:tc>
        <w:tc>
          <w:tcPr>
            <w:tcW w:type="dxa" w:w="1218"/>
            <w:tcBorders>
              <w:top w:color="000001" w:space="0" w:sz="2" w:val="double"/>
              <w:left w:val="none"/>
              <w:bottom w:color="000001" w:space="0" w:sz="4" w:val="single"/>
              <w:right w:val="none"/>
            </w:tcBorders>
            <w:shd w:fill="FFFFFF" w:val="clear"/>
          </w:tcPr>
          <w:p>
            <w:pPr>
              <w:pStyle w:val="style0"/>
              <w:spacing w:after="120" w:before="120" w:line="264" w:lineRule="auto"/>
              <w:contextualSpacing w:val="false"/>
              <w:jc w:val="both"/>
            </w:pPr>
            <w:r>
              <w:rPr>
                <w:spacing w:val="-2"/>
                <w:lang w:val="en-US"/>
              </w:rPr>
              <w:t>Temp./K</w:t>
            </w:r>
          </w:p>
        </w:tc>
        <w:tc>
          <w:tcPr>
            <w:tcW w:type="dxa" w:w="2530"/>
            <w:tcBorders>
              <w:top w:color="000001" w:space="0" w:sz="2" w:val="double"/>
              <w:left w:val="none"/>
              <w:bottom w:color="000001" w:space="0" w:sz="4" w:val="single"/>
              <w:right w:val="none"/>
            </w:tcBorders>
            <w:shd w:fill="FFFFFF" w:val="clear"/>
          </w:tcPr>
          <w:p>
            <w:pPr>
              <w:pStyle w:val="style2"/>
              <w:numPr>
                <w:ilvl w:val="1"/>
                <w:numId w:val="1"/>
              </w:numPr>
              <w:spacing w:after="120" w:before="120"/>
              <w:contextualSpacing w:val="false"/>
            </w:pPr>
            <w:r>
              <w:rPr>
                <w:sz w:val="20"/>
              </w:rPr>
              <w:t>Reference</w:t>
            </w:r>
          </w:p>
        </w:tc>
        <w:tc>
          <w:tcPr>
            <w:tcW w:type="dxa" w:w="2120"/>
            <w:gridSpan w:val="2"/>
            <w:tcBorders>
              <w:top w:color="000001" w:space="0" w:sz="2" w:val="double"/>
              <w:left w:val="none"/>
              <w:bottom w:color="000001" w:space="0" w:sz="4" w:val="single"/>
              <w:right w:val="none"/>
            </w:tcBorders>
            <w:shd w:fill="FFFFFF" w:val="clear"/>
          </w:tcPr>
          <w:p>
            <w:pPr>
              <w:pStyle w:val="style0"/>
              <w:spacing w:after="120" w:before="120" w:line="264" w:lineRule="auto"/>
              <w:contextualSpacing w:val="false"/>
              <w:jc w:val="both"/>
            </w:pPr>
            <w:r>
              <w:rPr>
                <w:spacing w:val="-2"/>
                <w:lang w:val="en-US"/>
              </w:rPr>
              <w:t>Technique/ Comments</w:t>
            </w:r>
          </w:p>
        </w:tc>
      </w:tr>
      <w:tr>
        <w:trPr>
          <w:cantSplit w:val="false"/>
        </w:trPr>
        <w:tc>
          <w:tcPr>
            <w:tcW w:type="dxa" w:w="2516"/>
            <w:tcBorders>
              <w:top w:color="000001" w:space="0" w:sz="4" w:val="single"/>
              <w:left w:val="none"/>
              <w:bottom w:val="none"/>
              <w:right w:val="none"/>
            </w:tcBorders>
            <w:shd w:fill="FFFFFF" w:val="clear"/>
          </w:tcPr>
          <w:p>
            <w:pPr>
              <w:pStyle w:val="style0"/>
              <w:spacing w:after="0" w:before="20" w:line="264" w:lineRule="auto"/>
              <w:contextualSpacing w:val="false"/>
              <w:jc w:val="both"/>
            </w:pPr>
            <w:r>
              <w:rPr>
                <w:i/>
                <w:spacing w:val="-2"/>
                <w:lang w:val="en-US"/>
              </w:rPr>
              <w:t>Absolute Rate Coefficients</w:t>
            </w:r>
          </w:p>
        </w:tc>
        <w:tc>
          <w:tcPr>
            <w:tcW w:type="dxa" w:w="1218"/>
            <w:tcBorders>
              <w:top w:color="000001" w:space="0" w:sz="4" w:val="single"/>
              <w:left w:val="none"/>
              <w:bottom w:val="none"/>
              <w:right w:val="none"/>
            </w:tcBorders>
            <w:shd w:fill="FFFFFF" w:val="clear"/>
          </w:tcPr>
          <w:p>
            <w:pPr>
              <w:pStyle w:val="style0"/>
              <w:spacing w:after="0" w:before="20" w:line="264" w:lineRule="auto"/>
              <w:contextualSpacing w:val="false"/>
              <w:jc w:val="both"/>
            </w:pPr>
            <w:r>
              <w:rPr>
                <w:spacing w:val="-2"/>
                <w:lang w:val="en-US"/>
              </w:rPr>
            </w:r>
          </w:p>
        </w:tc>
        <w:tc>
          <w:tcPr>
            <w:tcW w:type="dxa" w:w="2530"/>
            <w:tcBorders>
              <w:top w:color="000001" w:space="0" w:sz="4" w:val="single"/>
              <w:left w:val="none"/>
              <w:bottom w:val="none"/>
              <w:right w:val="none"/>
            </w:tcBorders>
            <w:shd w:fill="FFFFFF" w:val="clear"/>
          </w:tcPr>
          <w:p>
            <w:pPr>
              <w:pStyle w:val="style0"/>
              <w:spacing w:after="0" w:before="20" w:line="264" w:lineRule="auto"/>
              <w:contextualSpacing w:val="false"/>
            </w:pPr>
            <w:r>
              <w:rPr>
                <w:spacing w:val="-2"/>
                <w:lang w:val="en-US"/>
              </w:rPr>
            </w:r>
          </w:p>
        </w:tc>
        <w:tc>
          <w:tcPr>
            <w:tcW w:type="dxa" w:w="2120"/>
            <w:gridSpan w:val="2"/>
            <w:tcBorders>
              <w:top w:color="000001" w:space="0" w:sz="4" w:val="single"/>
              <w:left w:val="none"/>
              <w:bottom w:val="none"/>
              <w:right w:val="none"/>
            </w:tcBorders>
            <w:shd w:fill="FFFFFF" w:val="clear"/>
          </w:tcPr>
          <w:p>
            <w:pPr>
              <w:pStyle w:val="style0"/>
              <w:spacing w:after="0" w:before="20" w:line="264" w:lineRule="auto"/>
              <w:contextualSpacing w:val="false"/>
              <w:jc w:val="both"/>
            </w:pPr>
            <w:r>
              <w:rPr>
                <w:spacing w:val="-2"/>
                <w:lang w:val="en-US"/>
              </w:rPr>
            </w:r>
          </w:p>
        </w:tc>
      </w:tr>
      <w:tr>
        <w:trPr>
          <w:cantSplit w:val="false"/>
        </w:trPr>
        <w:tc>
          <w:tcPr>
            <w:tcW w:type="dxa" w:w="2516"/>
            <w:tcBorders>
              <w:top w:val="none"/>
              <w:left w:val="none"/>
              <w:bottom w:val="none"/>
              <w:right w:val="none"/>
            </w:tcBorders>
            <w:shd w:fill="FFFFFF" w:val="clear"/>
          </w:tcPr>
          <w:p>
            <w:pPr>
              <w:pStyle w:val="style0"/>
              <w:spacing w:after="0" w:before="20" w:line="263" w:lineRule="atLeast"/>
              <w:contextualSpacing w:val="false"/>
              <w:jc w:val="both"/>
            </w:pPr>
            <w:r>
              <w:rPr>
                <w:spacing w:val="-2"/>
                <w:lang w:val="en-US"/>
              </w:rPr>
              <w:t xml:space="preserve">(6.8 </w:t>
            </w:r>
            <w:r>
              <w:rPr>
                <w:rFonts w:ascii="Symbol" w:hAnsi="Symbol"/>
                <w:spacing w:val="-2"/>
                <w:lang w:val="en-US"/>
              </w:rPr>
              <w:t></w:t>
            </w:r>
            <w:r>
              <w:rPr>
                <w:spacing w:val="-2"/>
                <w:lang w:val="en-US"/>
              </w:rPr>
              <w:t xml:space="preserve"> 0.5) x 10</w:t>
            </w:r>
            <w:r>
              <w:rPr>
                <w:spacing w:val="-2"/>
                <w:vertAlign w:val="superscript"/>
                <w:lang w:val="en-US"/>
              </w:rPr>
              <w:t>-12</w:t>
            </w:r>
          </w:p>
        </w:tc>
        <w:tc>
          <w:tcPr>
            <w:tcW w:type="dxa" w:w="1218"/>
            <w:tcBorders>
              <w:top w:val="none"/>
              <w:left w:val="none"/>
              <w:bottom w:val="none"/>
              <w:right w:val="none"/>
            </w:tcBorders>
            <w:shd w:fill="FFFFFF" w:val="clear"/>
          </w:tcPr>
          <w:p>
            <w:pPr>
              <w:pStyle w:val="style0"/>
              <w:spacing w:after="0" w:before="20" w:line="263" w:lineRule="atLeast"/>
              <w:contextualSpacing w:val="false"/>
              <w:jc w:val="both"/>
            </w:pPr>
            <w:r>
              <w:rPr>
                <w:spacing w:val="-2"/>
                <w:lang w:val="en-US"/>
              </w:rPr>
              <w:t>298</w:t>
            </w:r>
          </w:p>
        </w:tc>
        <w:tc>
          <w:tcPr>
            <w:tcW w:type="dxa" w:w="2530"/>
            <w:tcBorders>
              <w:top w:val="none"/>
              <w:left w:val="none"/>
              <w:bottom w:val="none"/>
              <w:right w:val="none"/>
            </w:tcBorders>
            <w:shd w:fill="FFFFFF" w:val="clear"/>
          </w:tcPr>
          <w:p>
            <w:pPr>
              <w:pStyle w:val="style0"/>
              <w:spacing w:after="0" w:before="20" w:line="263" w:lineRule="atLeast"/>
              <w:contextualSpacing w:val="false"/>
              <w:jc w:val="both"/>
            </w:pPr>
            <w:r>
              <w:rPr>
                <w:spacing w:val="-2"/>
                <w:lang w:val="en-US"/>
              </w:rPr>
              <w:t>Hitsuda et al., 2001</w:t>
            </w:r>
          </w:p>
        </w:tc>
        <w:tc>
          <w:tcPr>
            <w:tcW w:type="dxa" w:w="2047"/>
            <w:tcBorders>
              <w:top w:val="none"/>
              <w:left w:val="none"/>
              <w:bottom w:val="none"/>
              <w:right w:val="none"/>
            </w:tcBorders>
            <w:shd w:fill="FFFFFF" w:val="clear"/>
          </w:tcPr>
          <w:p>
            <w:pPr>
              <w:pStyle w:val="style0"/>
              <w:spacing w:after="0" w:before="20" w:line="263" w:lineRule="atLeast"/>
              <w:contextualSpacing w:val="false"/>
              <w:jc w:val="center"/>
            </w:pPr>
            <w:r>
              <w:rPr>
                <w:spacing w:val="-2"/>
                <w:lang w:val="en-US"/>
              </w:rPr>
              <w:t>PLP-LIF (a)</w:t>
            </w:r>
          </w:p>
        </w:tc>
        <w:tc>
          <w:tcPr>
            <w:tcW w:type="dxa" w:w="73"/>
            <w:tcBorders>
              <w:top w:val="none"/>
              <w:left w:val="none"/>
              <w:bottom w:val="none"/>
              <w:right w:val="none"/>
            </w:tcBorders>
            <w:shd w:fill="FFFFFF" w:val="clear"/>
          </w:tcPr>
          <w:p>
            <w:pPr>
              <w:pStyle w:val="style0"/>
            </w:pPr>
            <w:r>
              <w:rPr>
                <w:spacing w:val="-2"/>
                <w:lang w:val="en-US"/>
              </w:rPr>
            </w:r>
          </w:p>
        </w:tc>
      </w:tr>
      <w:tr>
        <w:trPr>
          <w:cantSplit w:val="false"/>
        </w:trPr>
        <w:tc>
          <w:tcPr>
            <w:tcW w:type="dxa" w:w="2516"/>
            <w:tcBorders>
              <w:top w:val="none"/>
              <w:left w:val="none"/>
              <w:bottom w:val="none"/>
              <w:right w:val="none"/>
            </w:tcBorders>
            <w:shd w:fill="FFFFFF" w:val="clear"/>
          </w:tcPr>
          <w:p>
            <w:pPr>
              <w:pStyle w:val="style1"/>
              <w:numPr>
                <w:ilvl w:val="0"/>
                <w:numId w:val="1"/>
              </w:numPr>
              <w:spacing w:after="0" w:before="120"/>
              <w:contextualSpacing w:val="false"/>
            </w:pPr>
            <w:r>
              <w:rPr/>
              <w:t>Relative Rate Coefficients</w:t>
            </w:r>
          </w:p>
        </w:tc>
        <w:tc>
          <w:tcPr>
            <w:tcW w:type="dxa" w:w="1218"/>
            <w:tcBorders>
              <w:top w:val="none"/>
              <w:left w:val="none"/>
              <w:bottom w:val="none"/>
              <w:right w:val="none"/>
            </w:tcBorders>
            <w:shd w:fill="FFFFFF" w:val="clear"/>
          </w:tcPr>
          <w:p>
            <w:pPr>
              <w:pStyle w:val="style0"/>
              <w:spacing w:after="0" w:before="120" w:line="264" w:lineRule="auto"/>
              <w:contextualSpacing w:val="false"/>
              <w:jc w:val="both"/>
            </w:pPr>
            <w:r>
              <w:rPr>
                <w:spacing w:val="-2"/>
                <w:lang w:val="en-US"/>
              </w:rPr>
            </w:r>
          </w:p>
        </w:tc>
        <w:tc>
          <w:tcPr>
            <w:tcW w:type="dxa" w:w="2530"/>
            <w:tcBorders>
              <w:top w:val="none"/>
              <w:left w:val="none"/>
              <w:bottom w:val="none"/>
              <w:right w:val="none"/>
            </w:tcBorders>
            <w:shd w:fill="FFFFFF" w:val="clear"/>
          </w:tcPr>
          <w:p>
            <w:pPr>
              <w:pStyle w:val="style0"/>
              <w:spacing w:after="0" w:before="120" w:line="264" w:lineRule="auto"/>
              <w:contextualSpacing w:val="false"/>
            </w:pPr>
            <w:r>
              <w:rPr>
                <w:spacing w:val="-2"/>
                <w:lang w:val="en-US"/>
              </w:rPr>
            </w:r>
          </w:p>
        </w:tc>
        <w:tc>
          <w:tcPr>
            <w:tcW w:type="dxa" w:w="2047"/>
            <w:tcBorders>
              <w:top w:val="none"/>
              <w:left w:val="none"/>
              <w:bottom w:val="none"/>
              <w:right w:val="none"/>
            </w:tcBorders>
            <w:shd w:fill="FFFFFF" w:val="clear"/>
          </w:tcPr>
          <w:p>
            <w:pPr>
              <w:pStyle w:val="style0"/>
              <w:spacing w:after="0" w:before="120" w:line="264" w:lineRule="auto"/>
              <w:contextualSpacing w:val="false"/>
              <w:jc w:val="both"/>
            </w:pPr>
            <w:r>
              <w:rPr>
                <w:spacing w:val="-2"/>
                <w:lang w:val="en-US"/>
              </w:rPr>
            </w:r>
          </w:p>
        </w:tc>
        <w:tc>
          <w:tcPr>
            <w:tcW w:type="dxa" w:w="73"/>
            <w:tcBorders>
              <w:top w:val="none"/>
              <w:left w:val="none"/>
              <w:bottom w:val="none"/>
              <w:right w:val="none"/>
            </w:tcBorders>
            <w:shd w:fill="FFFFFF" w:val="clear"/>
          </w:tcPr>
          <w:p>
            <w:pPr>
              <w:pStyle w:val="style0"/>
            </w:pPr>
            <w:r>
              <w:rPr>
                <w:spacing w:val="-2"/>
                <w:lang w:val="en-US"/>
              </w:rPr>
            </w:r>
          </w:p>
        </w:tc>
      </w:tr>
      <w:tr>
        <w:trPr>
          <w:cantSplit w:val="false"/>
        </w:trPr>
        <w:tc>
          <w:tcPr>
            <w:tcW w:type="dxa" w:w="2516"/>
            <w:tcBorders>
              <w:top w:val="none"/>
              <w:left w:val="none"/>
              <w:bottom w:val="none"/>
              <w:right w:val="none"/>
            </w:tcBorders>
            <w:shd w:fill="FFFFFF" w:val="clear"/>
          </w:tcPr>
          <w:p>
            <w:pPr>
              <w:pStyle w:val="style0"/>
              <w:spacing w:after="0" w:before="20" w:line="263" w:lineRule="atLeast"/>
              <w:contextualSpacing w:val="false"/>
              <w:jc w:val="both"/>
            </w:pPr>
            <w:r>
              <w:rPr>
                <w:i/>
                <w:spacing w:val="-2"/>
                <w:lang w:val="en-US"/>
              </w:rPr>
              <w:t>k</w:t>
            </w:r>
            <w:r>
              <w:rPr>
                <w:spacing w:val="-2"/>
                <w:vertAlign w:val="subscript"/>
                <w:lang w:val="en-US"/>
              </w:rPr>
              <w:t>1</w:t>
            </w:r>
            <w:r>
              <w:rPr>
                <w:spacing w:val="-2"/>
                <w:lang w:val="en-US"/>
              </w:rPr>
              <w:t xml:space="preserve"> = 1.0 x 10</w:t>
            </w:r>
            <w:r>
              <w:rPr>
                <w:spacing w:val="-2"/>
                <w:vertAlign w:val="superscript"/>
                <w:lang w:val="en-US"/>
              </w:rPr>
              <w:t>-11</w:t>
            </w:r>
            <w:r>
              <w:rPr>
                <w:spacing w:val="-2"/>
                <w:lang w:val="en-US"/>
              </w:rPr>
              <w:t xml:space="preserve"> exp(-130/</w:t>
            </w:r>
            <w:r>
              <w:rPr>
                <w:i/>
                <w:spacing w:val="-2"/>
                <w:lang w:val="en-US"/>
              </w:rPr>
              <w:t>T</w:t>
            </w:r>
            <w:r>
              <w:rPr>
                <w:spacing w:val="-2"/>
                <w:lang w:val="en-US"/>
              </w:rPr>
              <w:t>)</w:t>
            </w:r>
          </w:p>
        </w:tc>
        <w:tc>
          <w:tcPr>
            <w:tcW w:type="dxa" w:w="1218"/>
            <w:tcBorders>
              <w:top w:val="none"/>
              <w:left w:val="none"/>
              <w:bottom w:val="none"/>
              <w:right w:val="none"/>
            </w:tcBorders>
            <w:shd w:fill="FFFFFF" w:val="clear"/>
          </w:tcPr>
          <w:p>
            <w:pPr>
              <w:pStyle w:val="style0"/>
              <w:spacing w:after="0" w:before="20" w:line="263" w:lineRule="atLeast"/>
              <w:contextualSpacing w:val="false"/>
              <w:jc w:val="both"/>
            </w:pPr>
            <w:r>
              <w:rPr>
                <w:spacing w:val="-2"/>
                <w:lang w:val="en-US"/>
              </w:rPr>
              <w:t>281-368</w:t>
            </w:r>
          </w:p>
        </w:tc>
        <w:tc>
          <w:tcPr>
            <w:tcW w:type="dxa" w:w="2530"/>
            <w:tcBorders>
              <w:top w:val="none"/>
              <w:left w:val="none"/>
              <w:bottom w:val="none"/>
              <w:right w:val="none"/>
            </w:tcBorders>
            <w:shd w:fill="FFFFFF" w:val="clear"/>
          </w:tcPr>
          <w:p>
            <w:pPr>
              <w:pStyle w:val="style0"/>
              <w:spacing w:after="0" w:before="20" w:line="263" w:lineRule="atLeast"/>
              <w:ind w:hanging="0" w:left="3" w:right="-232"/>
              <w:contextualSpacing w:val="false"/>
              <w:jc w:val="both"/>
            </w:pPr>
            <w:r>
              <w:rPr>
                <w:spacing w:val="-2"/>
                <w:lang w:val="en-US"/>
              </w:rPr>
              <w:t>Tschuikow-Roux et al., 1985</w:t>
            </w:r>
          </w:p>
        </w:tc>
        <w:tc>
          <w:tcPr>
            <w:tcW w:type="dxa" w:w="2047"/>
            <w:tcBorders>
              <w:top w:val="none"/>
              <w:left w:val="none"/>
              <w:bottom w:val="none"/>
              <w:right w:val="none"/>
            </w:tcBorders>
            <w:shd w:fill="FFFFFF" w:val="clear"/>
          </w:tcPr>
          <w:p>
            <w:pPr>
              <w:pStyle w:val="style0"/>
              <w:spacing w:after="0" w:before="20" w:line="263" w:lineRule="atLeast"/>
              <w:contextualSpacing w:val="false"/>
              <w:jc w:val="both"/>
            </w:pPr>
            <w:r>
              <w:rPr>
                <w:spacing w:val="-2"/>
                <w:lang w:val="en-US"/>
              </w:rPr>
            </w:r>
          </w:p>
        </w:tc>
        <w:tc>
          <w:tcPr>
            <w:tcW w:type="dxa" w:w="73"/>
            <w:tcBorders>
              <w:top w:val="none"/>
              <w:left w:val="none"/>
              <w:bottom w:val="none"/>
              <w:right w:val="none"/>
            </w:tcBorders>
            <w:shd w:fill="FFFFFF" w:val="clear"/>
          </w:tcPr>
          <w:p>
            <w:pPr>
              <w:pStyle w:val="style0"/>
            </w:pPr>
            <w:r>
              <w:rPr>
                <w:spacing w:val="-2"/>
                <w:lang w:val="en-US"/>
              </w:rPr>
            </w:r>
          </w:p>
        </w:tc>
      </w:tr>
      <w:tr>
        <w:trPr>
          <w:cantSplit w:val="false"/>
        </w:trPr>
        <w:tc>
          <w:tcPr>
            <w:tcW w:type="dxa" w:w="2516"/>
            <w:tcBorders>
              <w:top w:val="none"/>
              <w:left w:val="none"/>
              <w:bottom w:val="none"/>
              <w:right w:val="none"/>
            </w:tcBorders>
            <w:shd w:fill="FFFFFF" w:val="clear"/>
          </w:tcPr>
          <w:p>
            <w:pPr>
              <w:pStyle w:val="style0"/>
              <w:spacing w:after="0" w:before="20" w:line="263" w:lineRule="atLeast"/>
              <w:contextualSpacing w:val="false"/>
              <w:jc w:val="both"/>
            </w:pPr>
            <w:r>
              <w:rPr>
                <w:i/>
                <w:spacing w:val="-2"/>
                <w:lang w:val="de-DE"/>
              </w:rPr>
              <w:t>k</w:t>
            </w:r>
            <w:r>
              <w:rPr>
                <w:spacing w:val="-2"/>
                <w:vertAlign w:val="subscript"/>
                <w:lang w:val="de-DE"/>
              </w:rPr>
              <w:t>1</w:t>
            </w:r>
            <w:r>
              <w:rPr>
                <w:spacing w:val="-2"/>
                <w:lang w:val="de-DE"/>
              </w:rPr>
              <w:t xml:space="preserve"> = 6.5 x 10</w:t>
            </w:r>
            <w:r>
              <w:rPr>
                <w:spacing w:val="-2"/>
                <w:vertAlign w:val="superscript"/>
                <w:lang w:val="de-DE"/>
              </w:rPr>
              <w:t>-12</w:t>
            </w:r>
          </w:p>
        </w:tc>
        <w:tc>
          <w:tcPr>
            <w:tcW w:type="dxa" w:w="1218"/>
            <w:tcBorders>
              <w:top w:val="none"/>
              <w:left w:val="none"/>
              <w:bottom w:val="none"/>
              <w:right w:val="none"/>
            </w:tcBorders>
            <w:shd w:fill="FFFFFF" w:val="clear"/>
          </w:tcPr>
          <w:p>
            <w:pPr>
              <w:pStyle w:val="style0"/>
              <w:spacing w:after="0" w:before="20" w:line="263" w:lineRule="atLeast"/>
              <w:contextualSpacing w:val="false"/>
              <w:jc w:val="both"/>
            </w:pPr>
            <w:r>
              <w:rPr>
                <w:spacing w:val="-2"/>
                <w:lang w:val="de-DE"/>
              </w:rPr>
              <w:t>298</w:t>
            </w:r>
          </w:p>
        </w:tc>
        <w:tc>
          <w:tcPr>
            <w:tcW w:type="dxa" w:w="2530"/>
            <w:tcBorders>
              <w:top w:val="none"/>
              <w:left w:val="none"/>
              <w:bottom w:val="none"/>
              <w:right w:val="none"/>
            </w:tcBorders>
            <w:shd w:fill="FFFFFF" w:val="clear"/>
          </w:tcPr>
          <w:p>
            <w:pPr>
              <w:pStyle w:val="style0"/>
              <w:spacing w:after="0" w:before="20" w:line="263" w:lineRule="atLeast"/>
              <w:contextualSpacing w:val="false"/>
              <w:jc w:val="both"/>
            </w:pPr>
            <w:r>
              <w:rPr>
                <w:spacing w:val="-2"/>
                <w:lang w:val="de-DE"/>
              </w:rPr>
            </w:r>
          </w:p>
        </w:tc>
        <w:tc>
          <w:tcPr>
            <w:tcW w:type="dxa" w:w="2047"/>
            <w:tcBorders>
              <w:top w:val="none"/>
              <w:left w:val="none"/>
              <w:bottom w:val="none"/>
              <w:right w:val="none"/>
            </w:tcBorders>
            <w:shd w:fill="FFFFFF" w:val="clear"/>
          </w:tcPr>
          <w:p>
            <w:pPr>
              <w:pStyle w:val="style0"/>
              <w:spacing w:after="0" w:before="20" w:line="263" w:lineRule="atLeast"/>
              <w:contextualSpacing w:val="false"/>
              <w:jc w:val="center"/>
            </w:pPr>
            <w:r>
              <w:rPr>
                <w:spacing w:val="-2"/>
                <w:lang w:val="de-DE"/>
              </w:rPr>
              <w:t>RR (b)</w:t>
            </w:r>
          </w:p>
        </w:tc>
        <w:tc>
          <w:tcPr>
            <w:tcW w:type="dxa" w:w="73"/>
            <w:tcBorders>
              <w:top w:val="none"/>
              <w:left w:val="none"/>
              <w:bottom w:val="none"/>
              <w:right w:val="none"/>
            </w:tcBorders>
            <w:shd w:fill="FFFFFF" w:val="clear"/>
          </w:tcPr>
          <w:p>
            <w:pPr>
              <w:pStyle w:val="style0"/>
            </w:pPr>
            <w:r>
              <w:rPr>
                <w:spacing w:val="-2"/>
                <w:lang w:val="de-DE"/>
              </w:rPr>
            </w:r>
          </w:p>
        </w:tc>
      </w:tr>
      <w:tr>
        <w:trPr>
          <w:cantSplit w:val="false"/>
        </w:trPr>
        <w:tc>
          <w:tcPr>
            <w:tcW w:type="dxa" w:w="2516"/>
            <w:tcBorders>
              <w:top w:val="none"/>
              <w:left w:val="none"/>
              <w:bottom w:val="none"/>
              <w:right w:val="none"/>
            </w:tcBorders>
            <w:shd w:fill="FFFFFF" w:val="clear"/>
          </w:tcPr>
          <w:p>
            <w:pPr>
              <w:pStyle w:val="style0"/>
              <w:spacing w:after="0" w:before="20" w:line="263" w:lineRule="atLeast"/>
              <w:contextualSpacing w:val="false"/>
              <w:jc w:val="both"/>
            </w:pPr>
            <w:r>
              <w:rPr>
                <w:i/>
                <w:spacing w:val="-2"/>
                <w:lang w:val="de-DE"/>
              </w:rPr>
              <w:t>k</w:t>
            </w:r>
            <w:r>
              <w:rPr>
                <w:spacing w:val="-2"/>
                <w:vertAlign w:val="subscript"/>
                <w:lang w:val="de-DE"/>
              </w:rPr>
              <w:t>2</w:t>
            </w:r>
            <w:r>
              <w:rPr>
                <w:spacing w:val="-2"/>
                <w:lang w:val="de-DE"/>
              </w:rPr>
              <w:t xml:space="preserve"> = 8.3 x 10</w:t>
            </w:r>
            <w:r>
              <w:rPr>
                <w:spacing w:val="-2"/>
                <w:vertAlign w:val="superscript"/>
                <w:lang w:val="de-DE"/>
              </w:rPr>
              <w:t>-12</w:t>
            </w:r>
            <w:r>
              <w:rPr>
                <w:spacing w:val="-2"/>
                <w:lang w:val="de-DE"/>
              </w:rPr>
              <w:t xml:space="preserve"> exp(-720/</w:t>
            </w:r>
            <w:r>
              <w:rPr>
                <w:i/>
                <w:spacing w:val="-2"/>
                <w:lang w:val="de-DE"/>
              </w:rPr>
              <w:t>T</w:t>
            </w:r>
            <w:r>
              <w:rPr>
                <w:spacing w:val="-2"/>
                <w:lang w:val="de-DE"/>
              </w:rPr>
              <w:t>)</w:t>
            </w:r>
          </w:p>
        </w:tc>
        <w:tc>
          <w:tcPr>
            <w:tcW w:type="dxa" w:w="1218"/>
            <w:tcBorders>
              <w:top w:val="none"/>
              <w:left w:val="none"/>
              <w:bottom w:val="none"/>
              <w:right w:val="none"/>
            </w:tcBorders>
            <w:shd w:fill="FFFFFF" w:val="clear"/>
          </w:tcPr>
          <w:p>
            <w:pPr>
              <w:pStyle w:val="style0"/>
              <w:spacing w:after="0" w:before="20" w:line="263" w:lineRule="atLeast"/>
              <w:contextualSpacing w:val="false"/>
              <w:jc w:val="both"/>
            </w:pPr>
            <w:r>
              <w:rPr>
                <w:spacing w:val="-2"/>
                <w:lang w:val="de-DE"/>
              </w:rPr>
              <w:t>281-368</w:t>
            </w:r>
          </w:p>
        </w:tc>
        <w:tc>
          <w:tcPr>
            <w:tcW w:type="dxa" w:w="2530"/>
            <w:tcBorders>
              <w:top w:val="none"/>
              <w:left w:val="none"/>
              <w:bottom w:val="none"/>
              <w:right w:val="none"/>
            </w:tcBorders>
            <w:shd w:fill="FFFFFF" w:val="clear"/>
          </w:tcPr>
          <w:p>
            <w:pPr>
              <w:pStyle w:val="style0"/>
              <w:spacing w:after="0" w:before="20" w:line="263" w:lineRule="atLeast"/>
              <w:contextualSpacing w:val="false"/>
              <w:jc w:val="both"/>
            </w:pPr>
            <w:r>
              <w:rPr>
                <w:spacing w:val="-2"/>
                <w:lang w:val="de-DE"/>
              </w:rPr>
            </w:r>
          </w:p>
        </w:tc>
        <w:tc>
          <w:tcPr>
            <w:tcW w:type="dxa" w:w="2047"/>
            <w:tcBorders>
              <w:top w:val="none"/>
              <w:left w:val="none"/>
              <w:bottom w:val="none"/>
              <w:right w:val="none"/>
            </w:tcBorders>
            <w:shd w:fill="FFFFFF" w:val="clear"/>
          </w:tcPr>
          <w:p>
            <w:pPr>
              <w:pStyle w:val="style0"/>
              <w:spacing w:after="0" w:before="20" w:line="263" w:lineRule="atLeast"/>
              <w:contextualSpacing w:val="false"/>
              <w:jc w:val="both"/>
            </w:pPr>
            <w:r>
              <w:rPr>
                <w:spacing w:val="-2"/>
                <w:lang w:val="de-DE"/>
              </w:rPr>
            </w:r>
          </w:p>
        </w:tc>
        <w:tc>
          <w:tcPr>
            <w:tcW w:type="dxa" w:w="73"/>
            <w:tcBorders>
              <w:top w:val="none"/>
              <w:left w:val="none"/>
              <w:bottom w:val="none"/>
              <w:right w:val="none"/>
            </w:tcBorders>
            <w:shd w:fill="FFFFFF" w:val="clear"/>
          </w:tcPr>
          <w:p>
            <w:pPr>
              <w:pStyle w:val="style0"/>
            </w:pPr>
            <w:r>
              <w:rPr>
                <w:spacing w:val="-2"/>
                <w:lang w:val="de-DE"/>
              </w:rPr>
            </w:r>
          </w:p>
        </w:tc>
      </w:tr>
      <w:tr>
        <w:trPr>
          <w:cantSplit w:val="false"/>
        </w:trPr>
        <w:tc>
          <w:tcPr>
            <w:tcW w:type="dxa" w:w="2516"/>
            <w:tcBorders>
              <w:top w:val="none"/>
              <w:left w:val="none"/>
              <w:bottom w:color="000001" w:space="0" w:sz="4" w:val="single"/>
              <w:right w:val="none"/>
            </w:tcBorders>
            <w:shd w:fill="FFFFFF" w:val="clear"/>
          </w:tcPr>
          <w:p>
            <w:pPr>
              <w:pStyle w:val="style0"/>
              <w:spacing w:after="120" w:before="20" w:line="264" w:lineRule="auto"/>
              <w:contextualSpacing w:val="false"/>
              <w:jc w:val="both"/>
            </w:pPr>
            <w:r>
              <w:rPr>
                <w:i/>
                <w:spacing w:val="-2"/>
                <w:lang w:val="en-US"/>
              </w:rPr>
              <w:t>k</w:t>
            </w:r>
            <w:r>
              <w:rPr>
                <w:spacing w:val="-2"/>
                <w:vertAlign w:val="subscript"/>
                <w:lang w:val="en-US"/>
              </w:rPr>
              <w:t>2</w:t>
            </w:r>
            <w:r>
              <w:rPr>
                <w:spacing w:val="-2"/>
                <w:lang w:val="en-US"/>
              </w:rPr>
              <w:t xml:space="preserve"> = 7.4 x 10</w:t>
            </w:r>
            <w:r>
              <w:rPr>
                <w:spacing w:val="-2"/>
                <w:vertAlign w:val="superscript"/>
                <w:lang w:val="en-US"/>
              </w:rPr>
              <w:t>-13</w:t>
            </w:r>
          </w:p>
        </w:tc>
        <w:tc>
          <w:tcPr>
            <w:tcW w:type="dxa" w:w="1218"/>
            <w:tcBorders>
              <w:top w:val="none"/>
              <w:left w:val="none"/>
              <w:bottom w:color="000001" w:space="0" w:sz="4" w:val="single"/>
              <w:right w:val="none"/>
            </w:tcBorders>
            <w:shd w:fill="FFFFFF" w:val="clear"/>
          </w:tcPr>
          <w:p>
            <w:pPr>
              <w:pStyle w:val="style0"/>
              <w:spacing w:after="120" w:before="20" w:line="264" w:lineRule="auto"/>
              <w:contextualSpacing w:val="false"/>
              <w:jc w:val="both"/>
            </w:pPr>
            <w:r>
              <w:rPr>
                <w:spacing w:val="-2"/>
                <w:lang w:val="en-US"/>
              </w:rPr>
              <w:t>298</w:t>
            </w:r>
          </w:p>
        </w:tc>
        <w:tc>
          <w:tcPr>
            <w:tcW w:type="dxa" w:w="2530"/>
            <w:tcBorders>
              <w:top w:val="none"/>
              <w:left w:val="none"/>
              <w:bottom w:color="000001" w:space="0" w:sz="4" w:val="single"/>
              <w:right w:val="none"/>
            </w:tcBorders>
            <w:shd w:fill="FFFFFF" w:val="clear"/>
          </w:tcPr>
          <w:p>
            <w:pPr>
              <w:pStyle w:val="style0"/>
              <w:spacing w:after="120" w:before="20" w:line="264" w:lineRule="auto"/>
              <w:contextualSpacing w:val="false"/>
              <w:jc w:val="both"/>
            </w:pPr>
            <w:r>
              <w:rPr>
                <w:spacing w:val="-2"/>
                <w:lang w:val="en-US"/>
              </w:rPr>
            </w:r>
          </w:p>
        </w:tc>
        <w:tc>
          <w:tcPr>
            <w:tcW w:type="dxa" w:w="2047"/>
            <w:tcBorders>
              <w:top w:val="none"/>
              <w:left w:val="none"/>
              <w:bottom w:color="000001" w:space="0" w:sz="4" w:val="single"/>
              <w:right w:val="none"/>
            </w:tcBorders>
            <w:shd w:fill="FFFFFF" w:val="clear"/>
          </w:tcPr>
          <w:p>
            <w:pPr>
              <w:pStyle w:val="style0"/>
              <w:spacing w:after="120" w:before="20" w:line="264" w:lineRule="auto"/>
              <w:contextualSpacing w:val="false"/>
              <w:jc w:val="both"/>
            </w:pPr>
            <w:r>
              <w:rPr>
                <w:spacing w:val="-2"/>
                <w:lang w:val="en-US"/>
              </w:rPr>
            </w:r>
          </w:p>
        </w:tc>
        <w:tc>
          <w:tcPr>
            <w:tcW w:type="dxa" w:w="73"/>
            <w:tcBorders>
              <w:top w:val="none"/>
              <w:left w:val="none"/>
              <w:bottom w:val="none"/>
              <w:right w:val="none"/>
            </w:tcBorders>
            <w:shd w:fill="FFFFFF" w:val="clear"/>
          </w:tcPr>
          <w:p>
            <w:pPr>
              <w:pStyle w:val="style0"/>
            </w:pPr>
            <w:r>
              <w:rPr>
                <w:spacing w:val="-2"/>
                <w:lang w:val="en-US"/>
              </w:rPr>
            </w:r>
          </w:p>
        </w:tc>
      </w:tr>
    </w:tbl>
    <w:p>
      <w:pPr>
        <w:pStyle w:val="style0"/>
        <w:tabs>
          <w:tab w:leader="none" w:pos="0" w:val="left"/>
          <w:tab w:leader="none" w:pos="128" w:val="left"/>
          <w:tab w:leader="none" w:pos="3570" w:val="left"/>
          <w:tab w:leader="none" w:pos="4866" w:val="left"/>
          <w:tab w:leader="none" w:pos="8394" w:val="left"/>
          <w:tab w:leader="none" w:pos="8811" w:val="left"/>
          <w:tab w:leader="none" w:pos="9360" w:val="left"/>
        </w:tabs>
        <w:spacing w:line="240" w:lineRule="atLeast"/>
        <w:jc w:val="both"/>
      </w:pPr>
      <w:r>
        <w:rPr>
          <w:spacing w:val="-3"/>
          <w:sz w:val="24"/>
          <w:lang w:val="en-US"/>
        </w:rPr>
      </w:r>
    </w:p>
    <w:p>
      <w:pPr>
        <w:pStyle w:val="style0"/>
        <w:tabs>
          <w:tab w:leader="none" w:pos="4680" w:val="center"/>
        </w:tabs>
        <w:spacing w:line="240" w:lineRule="atLeast"/>
        <w:jc w:val="center"/>
      </w:pPr>
      <w:r>
        <w:rPr>
          <w:b/>
          <w:spacing w:val="-3"/>
          <w:sz w:val="24"/>
          <w:lang w:val="en-US"/>
        </w:rPr>
        <w:t>Comments</w:t>
      </w:r>
    </w:p>
    <w:p>
      <w:pPr>
        <w:pStyle w:val="style0"/>
        <w:tabs>
          <w:tab w:leader="none" w:pos="0" w:val="left"/>
          <w:tab w:leader="none" w:pos="444" w:val="left"/>
          <w:tab w:leader="none" w:pos="720" w:val="left"/>
        </w:tabs>
        <w:spacing w:line="240" w:lineRule="atLeast"/>
        <w:jc w:val="both"/>
      </w:pPr>
      <w:r>
        <w:rPr>
          <w:spacing w:val="-3"/>
          <w:sz w:val="24"/>
          <w:lang w:val="en-US"/>
        </w:rPr>
      </w:r>
    </w:p>
    <w:p>
      <w:pPr>
        <w:pStyle w:val="style0"/>
        <w:tabs>
          <w:tab w:leader="none" w:pos="442" w:val="left"/>
          <w:tab w:leader="none" w:pos="886" w:val="left"/>
          <w:tab w:leader="none" w:pos="1162" w:val="left"/>
        </w:tabs>
        <w:spacing w:line="240" w:lineRule="atLeast"/>
        <w:ind w:hanging="442" w:left="442" w:right="470"/>
        <w:jc w:val="both"/>
      </w:pPr>
      <w:r>
        <w:rPr>
          <w:spacing w:val="-3"/>
          <w:sz w:val="24"/>
          <w:lang w:val="en-US"/>
        </w:rPr>
        <w:t>(a)</w:t>
        <w:tab/>
        <w:t>Laser photolysis of HCl at 193 nm as Cl atom source. Both Cl(</w:t>
      </w:r>
      <w:r>
        <w:rPr>
          <w:spacing w:val="-3"/>
          <w:sz w:val="24"/>
          <w:vertAlign w:val="superscript"/>
          <w:lang w:val="en-US"/>
        </w:rPr>
        <w:t>2</w:t>
      </w:r>
      <w:r>
        <w:rPr>
          <w:spacing w:val="-3"/>
          <w:sz w:val="24"/>
          <w:lang w:val="en-US"/>
        </w:rPr>
        <w:t>P</w:t>
      </w:r>
      <w:r>
        <w:rPr>
          <w:spacing w:val="-3"/>
          <w:sz w:val="24"/>
          <w:vertAlign w:val="subscript"/>
          <w:lang w:val="en-US"/>
        </w:rPr>
        <w:t>3/2</w:t>
      </w:r>
      <w:r>
        <w:rPr>
          <w:spacing w:val="-3"/>
          <w:sz w:val="24"/>
          <w:lang w:val="en-US"/>
        </w:rPr>
        <w:t>) and Cl(</w:t>
      </w:r>
      <w:r>
        <w:rPr>
          <w:spacing w:val="-3"/>
          <w:sz w:val="24"/>
          <w:vertAlign w:val="superscript"/>
          <w:lang w:val="en-US"/>
        </w:rPr>
        <w:t>2</w:t>
      </w:r>
      <w:r>
        <w:rPr>
          <w:spacing w:val="-3"/>
          <w:sz w:val="24"/>
          <w:lang w:val="en-US"/>
        </w:rPr>
        <w:t>P</w:t>
      </w:r>
      <w:r>
        <w:rPr>
          <w:spacing w:val="-3"/>
          <w:sz w:val="24"/>
          <w:vertAlign w:val="subscript"/>
          <w:lang w:val="en-US"/>
        </w:rPr>
        <w:t>1/2</w:t>
      </w:r>
      <w:r>
        <w:rPr>
          <w:spacing w:val="-3"/>
          <w:sz w:val="24"/>
          <w:lang w:val="en-US"/>
        </w:rPr>
        <w:t xml:space="preserve">) detected by VUV-LIF. </w:t>
      </w:r>
    </w:p>
    <w:p>
      <w:pPr>
        <w:pStyle w:val="style0"/>
        <w:tabs>
          <w:tab w:leader="none" w:pos="444" w:val="left"/>
          <w:tab w:leader="none" w:pos="888" w:val="left"/>
          <w:tab w:leader="none" w:pos="1164" w:val="left"/>
        </w:tabs>
        <w:spacing w:line="240" w:lineRule="atLeast"/>
        <w:ind w:hanging="444" w:left="444" w:right="429"/>
        <w:jc w:val="both"/>
      </w:pPr>
      <w:r>
        <w:rPr>
          <w:spacing w:val="-3"/>
          <w:sz w:val="24"/>
          <w:lang w:val="en-US"/>
        </w:rPr>
        <w:t>(b)</w:t>
        <w:tab/>
        <w:t>Cl atoms were generated by the photolysis of Cl</w:t>
      </w:r>
      <w:r>
        <w:rPr>
          <w:spacing w:val="-3"/>
          <w:sz w:val="24"/>
          <w:vertAlign w:val="subscript"/>
          <w:lang w:val="en-US"/>
        </w:rPr>
        <w:t>2</w:t>
      </w:r>
      <w:r>
        <w:rPr>
          <w:spacing w:val="-3"/>
          <w:sz w:val="24"/>
          <w:lang w:val="en-US"/>
        </w:rPr>
        <w:t xml:space="preserve">.  Product yield ratios were determined by GC and the measured rate coefficient ratios of </w:t>
      </w:r>
      <w:r>
        <w:rPr>
          <w:i/>
          <w:spacing w:val="-3"/>
          <w:sz w:val="24"/>
          <w:lang w:val="en-US"/>
        </w:rPr>
        <w:t>k</w:t>
      </w:r>
      <w:r>
        <w:rPr>
          <w:spacing w:val="-3"/>
          <w:sz w:val="24"/>
          <w:vertAlign w:val="subscript"/>
          <w:lang w:val="en-US"/>
        </w:rPr>
        <w:t>1</w:t>
      </w:r>
      <w:r>
        <w:rPr>
          <w:spacing w:val="-3"/>
          <w:sz w:val="24"/>
          <w:lang w:val="en-US"/>
        </w:rPr>
        <w:t>/</w:t>
      </w:r>
      <w:r>
        <w:rPr>
          <w:i/>
          <w:spacing w:val="-3"/>
          <w:sz w:val="24"/>
          <w:lang w:val="en-US"/>
        </w:rPr>
        <w:t>k</w:t>
      </w:r>
      <w:r>
        <w:rPr>
          <w:spacing w:val="-3"/>
          <w:sz w:val="24"/>
          <w:lang w:val="en-US"/>
        </w:rPr>
        <w:t>(Cl + CH</w:t>
      </w:r>
      <w:r>
        <w:rPr>
          <w:spacing w:val="-3"/>
          <w:sz w:val="24"/>
          <w:vertAlign w:val="subscript"/>
          <w:lang w:val="en-US"/>
        </w:rPr>
        <w:t>4</w:t>
      </w:r>
      <w:r>
        <w:rPr>
          <w:spacing w:val="-3"/>
          <w:sz w:val="24"/>
          <w:lang w:val="en-US"/>
        </w:rPr>
        <w:t xml:space="preserve">) = 1.60 exp(1113/T) and </w:t>
      </w:r>
      <w:r>
        <w:rPr>
          <w:i/>
          <w:spacing w:val="-3"/>
          <w:sz w:val="24"/>
          <w:lang w:val="en-US"/>
        </w:rPr>
        <w:t>k</w:t>
      </w:r>
      <w:r>
        <w:rPr>
          <w:spacing w:val="-3"/>
          <w:sz w:val="24"/>
          <w:vertAlign w:val="subscript"/>
          <w:lang w:val="en-US"/>
        </w:rPr>
        <w:t>2</w:t>
      </w:r>
      <w:r>
        <w:rPr>
          <w:spacing w:val="-3"/>
          <w:sz w:val="24"/>
          <w:lang w:val="en-US"/>
        </w:rPr>
        <w:t>/</w:t>
      </w:r>
      <w:r>
        <w:rPr>
          <w:i/>
          <w:spacing w:val="-3"/>
          <w:sz w:val="24"/>
          <w:lang w:val="en-US"/>
        </w:rPr>
        <w:t>k</w:t>
      </w:r>
      <w:r>
        <w:rPr>
          <w:spacing w:val="-3"/>
          <w:sz w:val="24"/>
          <w:lang w:val="en-US"/>
        </w:rPr>
        <w:t>(Cl + CH</w:t>
      </w:r>
      <w:r>
        <w:rPr>
          <w:spacing w:val="-3"/>
          <w:sz w:val="24"/>
          <w:vertAlign w:val="subscript"/>
          <w:lang w:val="en-US"/>
        </w:rPr>
        <w:t>4</w:t>
      </w:r>
      <w:r>
        <w:rPr>
          <w:spacing w:val="-3"/>
          <w:sz w:val="24"/>
          <w:lang w:val="en-US"/>
        </w:rPr>
        <w:t xml:space="preserve">) = 1.26 exp(515/T) were placed on an absolute basis using </w:t>
      </w:r>
      <w:r>
        <w:rPr>
          <w:i/>
          <w:spacing w:val="-3"/>
          <w:sz w:val="24"/>
          <w:lang w:val="en-US"/>
        </w:rPr>
        <w:t>k</w:t>
      </w:r>
      <w:r>
        <w:rPr>
          <w:spacing w:val="-3"/>
          <w:sz w:val="24"/>
          <w:lang w:val="en-US"/>
        </w:rPr>
        <w:t>(Cl + CH</w:t>
      </w:r>
      <w:r>
        <w:rPr>
          <w:spacing w:val="-3"/>
          <w:sz w:val="24"/>
          <w:vertAlign w:val="subscript"/>
          <w:lang w:val="en-US"/>
        </w:rPr>
        <w:t>4</w:t>
      </w:r>
      <w:r>
        <w:rPr>
          <w:spacing w:val="-3"/>
          <w:sz w:val="24"/>
          <w:lang w:val="en-US"/>
        </w:rPr>
        <w:t>) = 6.6 x 10</w:t>
      </w:r>
      <w:r>
        <w:rPr>
          <w:spacing w:val="-3"/>
          <w:sz w:val="24"/>
          <w:vertAlign w:val="superscript"/>
          <w:lang w:val="en-US"/>
        </w:rPr>
        <w:t>-12</w:t>
      </w:r>
      <w:r>
        <w:rPr>
          <w:spacing w:val="-3"/>
          <w:sz w:val="24"/>
          <w:lang w:val="en-US"/>
        </w:rPr>
        <w:t xml:space="preserve"> exp(-1240/</w:t>
      </w:r>
      <w:r>
        <w:rPr>
          <w:i/>
          <w:spacing w:val="-3"/>
          <w:sz w:val="24"/>
          <w:lang w:val="en-US"/>
        </w:rPr>
        <w:t>T</w:t>
      </w:r>
      <w:r>
        <w:rPr>
          <w:spacing w:val="-3"/>
          <w:sz w:val="24"/>
          <w:lang w:val="en-US"/>
        </w:rPr>
        <w:t>) cm</w:t>
      </w:r>
      <w:r>
        <w:rPr>
          <w:spacing w:val="-3"/>
          <w:sz w:val="24"/>
          <w:vertAlign w:val="superscript"/>
          <w:lang w:val="en-US"/>
        </w:rPr>
        <w:t>3</w:t>
      </w:r>
      <w:r>
        <w:rPr>
          <w:spacing w:val="-3"/>
          <w:sz w:val="24"/>
          <w:lang w:val="en-US"/>
        </w:rPr>
        <w:t xml:space="preserve"> molecule</w:t>
      </w:r>
      <w:r>
        <w:rPr>
          <w:spacing w:val="-3"/>
          <w:sz w:val="24"/>
          <w:vertAlign w:val="superscript"/>
          <w:lang w:val="en-US"/>
        </w:rPr>
        <w:t>-1</w:t>
      </w:r>
      <w:r>
        <w:rPr>
          <w:spacing w:val="-3"/>
          <w:sz w:val="24"/>
          <w:lang w:val="en-US"/>
        </w:rPr>
        <w:t xml:space="preserve"> s</w:t>
      </w:r>
      <w:r>
        <w:rPr>
          <w:spacing w:val="-3"/>
          <w:sz w:val="24"/>
          <w:vertAlign w:val="superscript"/>
          <w:lang w:val="en-US"/>
        </w:rPr>
        <w:t>-1</w:t>
      </w:r>
      <w:r>
        <w:rPr>
          <w:spacing w:val="-3"/>
          <w:sz w:val="24"/>
          <w:lang w:val="en-US"/>
        </w:rPr>
        <w:t xml:space="preserve"> (Atkinson et al., 2006).</w:t>
      </w:r>
    </w:p>
    <w:p>
      <w:pPr>
        <w:pStyle w:val="style0"/>
        <w:tabs>
          <w:tab w:leader="none" w:pos="0" w:val="left"/>
          <w:tab w:leader="none" w:pos="444" w:val="left"/>
          <w:tab w:leader="none" w:pos="720" w:val="left"/>
        </w:tabs>
        <w:spacing w:line="240" w:lineRule="atLeast"/>
        <w:jc w:val="both"/>
      </w:pPr>
      <w:r>
        <w:rPr>
          <w:spacing w:val="-3"/>
          <w:sz w:val="24"/>
          <w:lang w:val="en-US"/>
        </w:rPr>
      </w:r>
    </w:p>
    <w:p>
      <w:pPr>
        <w:pStyle w:val="style0"/>
        <w:tabs>
          <w:tab w:leader="none" w:pos="4680" w:val="center"/>
        </w:tabs>
        <w:spacing w:line="240" w:lineRule="atLeast"/>
        <w:jc w:val="center"/>
      </w:pPr>
      <w:r>
        <w:rPr>
          <w:b/>
          <w:spacing w:val="-3"/>
          <w:sz w:val="24"/>
          <w:lang w:val="en-US"/>
        </w:rPr>
        <w:t>Preferred Values</w:t>
      </w:r>
    </w:p>
    <w:p>
      <w:pPr>
        <w:pStyle w:val="style0"/>
        <w:tabs>
          <w:tab w:leader="none" w:pos="0" w:val="left"/>
          <w:tab w:leader="none" w:pos="444" w:val="left"/>
          <w:tab w:leader="none" w:pos="720" w:val="left"/>
        </w:tabs>
        <w:spacing w:line="240" w:lineRule="atLeast"/>
        <w:jc w:val="both"/>
      </w:pPr>
      <w:r>
        <w:rPr>
          <w:spacing w:val="-3"/>
          <w:sz w:val="24"/>
          <w:lang w:val="en-US"/>
        </w:rPr>
      </w:r>
    </w:p>
    <w:tbl>
      <w:tblPr>
        <w:jc w:val="left"/>
        <w:tblInd w:type="dxa" w:w="910"/>
        <w:tblBorders>
          <w:top w:color="000001" w:space="0" w:sz="4" w:val="single"/>
          <w:left w:val="none"/>
          <w:bottom w:color="000001" w:space="0" w:sz="4" w:val="single"/>
          <w:insideH w:color="000001" w:space="0" w:sz="4" w:val="single"/>
          <w:right w:val="none"/>
          <w:insideV w:val="none"/>
        </w:tblBorders>
        <w:tblCellMar>
          <w:top w:type="dxa" w:w="0"/>
          <w:left w:type="dxa" w:w="108"/>
          <w:bottom w:type="dxa" w:w="0"/>
          <w:right w:type="dxa" w:w="108"/>
        </w:tblCellMar>
      </w:tblPr>
      <w:tblGrid>
        <w:gridCol w:w="3070"/>
        <w:gridCol w:w="3139"/>
        <w:gridCol w:w="2184"/>
      </w:tblGrid>
      <w:tr>
        <w:trPr>
          <w:cantSplit w:val="false"/>
        </w:trPr>
        <w:tc>
          <w:tcPr>
            <w:tcW w:type="dxa" w:w="3070"/>
            <w:tcBorders>
              <w:top w:color="000001" w:space="0" w:sz="4" w:val="single"/>
              <w:left w:val="none"/>
              <w:bottom w:color="000001" w:space="0" w:sz="4" w:val="single"/>
              <w:right w:val="none"/>
            </w:tcBorders>
            <w:shd w:fill="FFFFFF" w:val="clear"/>
          </w:tcPr>
          <w:p>
            <w:pPr>
              <w:pStyle w:val="style0"/>
              <w:tabs>
                <w:tab w:leader="none" w:pos="0" w:val="left"/>
                <w:tab w:leader="none" w:pos="444" w:val="left"/>
                <w:tab w:leader="none" w:pos="720" w:val="left"/>
              </w:tabs>
              <w:spacing w:line="240" w:lineRule="atLeast"/>
              <w:jc w:val="center"/>
            </w:pPr>
            <w:r>
              <w:rPr>
                <w:b/>
                <w:spacing w:val="-3"/>
                <w:sz w:val="24"/>
                <w:lang w:val="en-US"/>
              </w:rPr>
              <w:t>Parameter</w:t>
            </w:r>
          </w:p>
        </w:tc>
        <w:tc>
          <w:tcPr>
            <w:tcW w:type="dxa" w:w="3139"/>
            <w:tcBorders>
              <w:top w:color="000001" w:space="0" w:sz="4" w:val="single"/>
              <w:left w:val="none"/>
              <w:bottom w:color="000001" w:space="0" w:sz="4" w:val="single"/>
              <w:right w:val="none"/>
            </w:tcBorders>
            <w:shd w:fill="FFFFFF" w:val="clear"/>
          </w:tcPr>
          <w:p>
            <w:pPr>
              <w:pStyle w:val="style0"/>
              <w:tabs>
                <w:tab w:leader="none" w:pos="0" w:val="left"/>
                <w:tab w:leader="none" w:pos="444" w:val="left"/>
                <w:tab w:leader="none" w:pos="720" w:val="left"/>
              </w:tabs>
              <w:spacing w:line="240" w:lineRule="atLeast"/>
              <w:jc w:val="center"/>
            </w:pPr>
            <w:r>
              <w:rPr>
                <w:b/>
                <w:spacing w:val="-3"/>
                <w:sz w:val="24"/>
                <w:lang w:val="en-US"/>
              </w:rPr>
              <w:t>Value</w:t>
            </w:r>
          </w:p>
        </w:tc>
        <w:tc>
          <w:tcPr>
            <w:tcW w:type="dxa" w:w="2184"/>
            <w:tcBorders>
              <w:top w:color="000001" w:space="0" w:sz="4" w:val="single"/>
              <w:left w:val="none"/>
              <w:bottom w:color="000001" w:space="0" w:sz="4" w:val="single"/>
              <w:right w:val="none"/>
            </w:tcBorders>
            <w:shd w:fill="FFFFFF" w:val="clear"/>
          </w:tcPr>
          <w:p>
            <w:pPr>
              <w:pStyle w:val="style0"/>
              <w:tabs>
                <w:tab w:leader="none" w:pos="0" w:val="left"/>
                <w:tab w:leader="none" w:pos="444" w:val="left"/>
                <w:tab w:leader="none" w:pos="720" w:val="left"/>
              </w:tabs>
              <w:spacing w:line="240" w:lineRule="atLeast"/>
              <w:jc w:val="center"/>
            </w:pPr>
            <w:r>
              <w:rPr>
                <w:b/>
                <w:i/>
                <w:iCs/>
                <w:spacing w:val="-3"/>
                <w:sz w:val="24"/>
                <w:lang w:val="en-US"/>
              </w:rPr>
              <w:t>T</w:t>
            </w:r>
            <w:r>
              <w:rPr>
                <w:b/>
                <w:spacing w:val="-3"/>
                <w:sz w:val="24"/>
                <w:lang w:val="en-US"/>
              </w:rPr>
              <w:t>/K</w:t>
            </w:r>
          </w:p>
        </w:tc>
      </w:tr>
      <w:tr>
        <w:trPr>
          <w:cantSplit w:val="false"/>
        </w:trPr>
        <w:tc>
          <w:tcPr>
            <w:tcW w:type="dxa" w:w="3070"/>
            <w:tcBorders>
              <w:top w:color="000001" w:space="0" w:sz="4" w:val="single"/>
              <w:left w:val="none"/>
              <w:bottom w:val="none"/>
              <w:right w:val="none"/>
            </w:tcBorders>
            <w:shd w:fill="FFFFFF" w:val="clear"/>
          </w:tcPr>
          <w:p>
            <w:pPr>
              <w:pStyle w:val="style0"/>
              <w:tabs>
                <w:tab w:leader="none" w:pos="0" w:val="left"/>
                <w:tab w:leader="none" w:pos="444" w:val="left"/>
                <w:tab w:leader="none" w:pos="720" w:val="left"/>
              </w:tabs>
              <w:spacing w:line="240" w:lineRule="atLeast"/>
              <w:jc w:val="center"/>
            </w:pPr>
            <w:r>
              <w:rPr>
                <w:b/>
                <w:i/>
                <w:spacing w:val="-3"/>
                <w:sz w:val="24"/>
                <w:lang w:val="en-US"/>
              </w:rPr>
            </w:r>
          </w:p>
        </w:tc>
        <w:tc>
          <w:tcPr>
            <w:tcW w:type="dxa" w:w="3139"/>
            <w:tcBorders>
              <w:top w:color="000001" w:space="0" w:sz="4" w:val="single"/>
              <w:left w:val="none"/>
              <w:bottom w:val="none"/>
              <w:right w:val="none"/>
            </w:tcBorders>
            <w:shd w:fill="FFFFFF" w:val="clear"/>
          </w:tcPr>
          <w:p>
            <w:pPr>
              <w:pStyle w:val="style0"/>
              <w:tabs>
                <w:tab w:leader="none" w:pos="0" w:val="left"/>
                <w:tab w:leader="none" w:pos="444" w:val="left"/>
                <w:tab w:leader="none" w:pos="720" w:val="left"/>
              </w:tabs>
              <w:spacing w:line="240" w:lineRule="atLeast"/>
            </w:pPr>
            <w:r>
              <w:rPr>
                <w:spacing w:val="-3"/>
                <w:sz w:val="24"/>
                <w:lang w:val="en-US"/>
              </w:rPr>
            </w:r>
          </w:p>
        </w:tc>
        <w:tc>
          <w:tcPr>
            <w:tcW w:type="dxa" w:w="2184"/>
            <w:tcBorders>
              <w:top w:color="000001" w:space="0" w:sz="4" w:val="single"/>
              <w:left w:val="none"/>
              <w:bottom w:val="none"/>
              <w:right w:val="none"/>
            </w:tcBorders>
            <w:shd w:fill="FFFFFF" w:val="clear"/>
          </w:tcPr>
          <w:p>
            <w:pPr>
              <w:pStyle w:val="style0"/>
              <w:tabs>
                <w:tab w:leader="none" w:pos="0" w:val="left"/>
                <w:tab w:leader="none" w:pos="444" w:val="left"/>
                <w:tab w:leader="none" w:pos="720" w:val="left"/>
              </w:tabs>
              <w:spacing w:line="240" w:lineRule="atLeast"/>
              <w:jc w:val="center"/>
            </w:pPr>
            <w:r>
              <w:rPr>
                <w:spacing w:val="-3"/>
                <w:sz w:val="24"/>
                <w:lang w:val="en-US"/>
              </w:rPr>
            </w:r>
          </w:p>
        </w:tc>
      </w:tr>
      <w:tr>
        <w:trPr>
          <w:cantSplit w:val="false"/>
        </w:trPr>
        <w:tc>
          <w:tcPr>
            <w:tcW w:type="dxa" w:w="3070"/>
            <w:tcBorders>
              <w:top w:val="none"/>
              <w:left w:val="none"/>
              <w:bottom w:val="none"/>
              <w:right w:val="none"/>
            </w:tcBorders>
            <w:shd w:fill="FFFFFF" w:val="clear"/>
          </w:tcPr>
          <w:p>
            <w:pPr>
              <w:pStyle w:val="style0"/>
              <w:tabs>
                <w:tab w:leader="none" w:pos="0" w:val="left"/>
                <w:tab w:leader="none" w:pos="444" w:val="left"/>
                <w:tab w:leader="none" w:pos="720" w:val="left"/>
              </w:tabs>
              <w:spacing w:line="240" w:lineRule="atLeast"/>
              <w:jc w:val="center"/>
            </w:pPr>
            <w:r>
              <w:rPr>
                <w:i/>
                <w:spacing w:val="-3"/>
                <w:sz w:val="24"/>
                <w:lang w:val="en-US"/>
              </w:rPr>
              <w:t>k</w:t>
            </w:r>
            <w:r>
              <w:rPr>
                <w:iCs/>
                <w:spacing w:val="-3"/>
                <w:sz w:val="24"/>
                <w:vertAlign w:val="subscript"/>
                <w:lang w:val="en-US"/>
              </w:rPr>
              <w:t>1</w:t>
            </w:r>
            <w:r>
              <w:rPr>
                <w:spacing w:val="-3"/>
                <w:sz w:val="24"/>
                <w:lang w:val="en-US"/>
              </w:rPr>
              <w:t xml:space="preserve"> /cm</w:t>
            </w:r>
            <w:r>
              <w:rPr>
                <w:spacing w:val="-3"/>
                <w:sz w:val="24"/>
                <w:vertAlign w:val="superscript"/>
                <w:lang w:val="en-US"/>
              </w:rPr>
              <w:t>3</w:t>
            </w:r>
            <w:r>
              <w:rPr>
                <w:spacing w:val="-3"/>
                <w:sz w:val="24"/>
                <w:lang w:val="en-US"/>
              </w:rPr>
              <w:t xml:space="preserve"> molecule</w:t>
            </w:r>
            <w:r>
              <w:rPr>
                <w:spacing w:val="-3"/>
                <w:sz w:val="24"/>
                <w:vertAlign w:val="superscript"/>
                <w:lang w:val="en-US"/>
              </w:rPr>
              <w:t>-1</w:t>
            </w:r>
            <w:r>
              <w:rPr>
                <w:spacing w:val="-3"/>
                <w:sz w:val="24"/>
                <w:lang w:val="en-US"/>
              </w:rPr>
              <w:t xml:space="preserve"> s</w:t>
            </w:r>
            <w:r>
              <w:rPr>
                <w:spacing w:val="-3"/>
                <w:sz w:val="24"/>
                <w:vertAlign w:val="superscript"/>
                <w:lang w:val="en-US"/>
              </w:rPr>
              <w:t>-1</w:t>
            </w:r>
          </w:p>
        </w:tc>
        <w:tc>
          <w:tcPr>
            <w:tcW w:type="dxa" w:w="3139"/>
            <w:tcBorders>
              <w:top w:val="none"/>
              <w:left w:val="none"/>
              <w:bottom w:val="none"/>
              <w:right w:val="none"/>
            </w:tcBorders>
            <w:shd w:fill="FFFFFF" w:val="clear"/>
          </w:tcPr>
          <w:p>
            <w:pPr>
              <w:pStyle w:val="style0"/>
              <w:tabs>
                <w:tab w:leader="none" w:pos="0" w:val="left"/>
                <w:tab w:leader="none" w:pos="444" w:val="left"/>
                <w:tab w:leader="none" w:pos="720" w:val="left"/>
              </w:tabs>
              <w:spacing w:line="240" w:lineRule="atLeast"/>
              <w:jc w:val="center"/>
            </w:pPr>
            <w:r>
              <w:rPr>
                <w:spacing w:val="-3"/>
                <w:sz w:val="24"/>
                <w:lang w:val="en-US"/>
              </w:rPr>
              <w:t>6.5 x 10</w:t>
            </w:r>
            <w:r>
              <w:rPr>
                <w:spacing w:val="-3"/>
                <w:sz w:val="24"/>
                <w:vertAlign w:val="superscript"/>
                <w:lang w:val="en-US"/>
              </w:rPr>
              <w:t>-12</w:t>
            </w:r>
          </w:p>
        </w:tc>
        <w:tc>
          <w:tcPr>
            <w:tcW w:type="dxa" w:w="2184"/>
            <w:tcBorders>
              <w:top w:val="none"/>
              <w:left w:val="none"/>
              <w:bottom w:val="none"/>
              <w:right w:val="none"/>
            </w:tcBorders>
            <w:shd w:fill="FFFFFF" w:val="clear"/>
          </w:tcPr>
          <w:p>
            <w:pPr>
              <w:pStyle w:val="style0"/>
              <w:tabs>
                <w:tab w:leader="none" w:pos="0" w:val="left"/>
                <w:tab w:leader="none" w:pos="444" w:val="left"/>
                <w:tab w:leader="none" w:pos="720" w:val="left"/>
              </w:tabs>
              <w:spacing w:line="240" w:lineRule="atLeast"/>
              <w:jc w:val="center"/>
            </w:pPr>
            <w:r>
              <w:rPr>
                <w:spacing w:val="-3"/>
                <w:sz w:val="24"/>
                <w:lang w:val="en-US"/>
              </w:rPr>
              <w:t>298</w:t>
            </w:r>
          </w:p>
        </w:tc>
      </w:tr>
      <w:tr>
        <w:trPr>
          <w:cantSplit w:val="false"/>
        </w:trPr>
        <w:tc>
          <w:tcPr>
            <w:tcW w:type="dxa" w:w="3070"/>
            <w:tcBorders>
              <w:top w:val="none"/>
              <w:left w:val="none"/>
              <w:bottom w:val="none"/>
              <w:right w:val="none"/>
            </w:tcBorders>
            <w:shd w:fill="FFFFFF" w:val="clear"/>
          </w:tcPr>
          <w:p>
            <w:pPr>
              <w:pStyle w:val="style0"/>
              <w:tabs>
                <w:tab w:leader="none" w:pos="0" w:val="left"/>
                <w:tab w:leader="none" w:pos="444" w:val="left"/>
                <w:tab w:leader="none" w:pos="720" w:val="left"/>
              </w:tabs>
              <w:spacing w:line="240" w:lineRule="atLeast"/>
              <w:jc w:val="center"/>
            </w:pPr>
            <w:r>
              <w:rPr>
                <w:i/>
                <w:spacing w:val="-3"/>
                <w:sz w:val="24"/>
                <w:lang w:val="en-US"/>
              </w:rPr>
              <w:t>k</w:t>
            </w:r>
            <w:r>
              <w:rPr>
                <w:iCs/>
                <w:spacing w:val="-3"/>
                <w:sz w:val="24"/>
                <w:vertAlign w:val="subscript"/>
                <w:lang w:val="en-US"/>
              </w:rPr>
              <w:t>1</w:t>
            </w:r>
            <w:r>
              <w:rPr>
                <w:i/>
                <w:spacing w:val="-3"/>
                <w:sz w:val="24"/>
                <w:lang w:val="en-US"/>
              </w:rPr>
              <w:t xml:space="preserve"> </w:t>
            </w:r>
            <w:r>
              <w:rPr>
                <w:iCs/>
                <w:spacing w:val="-3"/>
                <w:sz w:val="24"/>
                <w:lang w:val="en-US"/>
              </w:rPr>
              <w:t>/</w:t>
            </w:r>
            <w:r>
              <w:rPr>
                <w:spacing w:val="-3"/>
                <w:sz w:val="24"/>
                <w:lang w:val="en-US"/>
              </w:rPr>
              <w:t>cm</w:t>
            </w:r>
            <w:r>
              <w:rPr>
                <w:spacing w:val="-3"/>
                <w:sz w:val="24"/>
                <w:vertAlign w:val="superscript"/>
                <w:lang w:val="en-US"/>
              </w:rPr>
              <w:t>3</w:t>
            </w:r>
            <w:r>
              <w:rPr>
                <w:spacing w:val="-3"/>
                <w:sz w:val="24"/>
                <w:lang w:val="en-US"/>
              </w:rPr>
              <w:t xml:space="preserve"> molecule</w:t>
            </w:r>
            <w:r>
              <w:rPr>
                <w:spacing w:val="-3"/>
                <w:sz w:val="24"/>
                <w:vertAlign w:val="superscript"/>
                <w:lang w:val="en-US"/>
              </w:rPr>
              <w:t>-1</w:t>
            </w:r>
            <w:r>
              <w:rPr>
                <w:spacing w:val="-3"/>
                <w:sz w:val="24"/>
                <w:lang w:val="en-US"/>
              </w:rPr>
              <w:t xml:space="preserve"> s</w:t>
            </w:r>
            <w:r>
              <w:rPr>
                <w:spacing w:val="-3"/>
                <w:sz w:val="24"/>
                <w:vertAlign w:val="superscript"/>
                <w:lang w:val="en-US"/>
              </w:rPr>
              <w:t>-1</w:t>
            </w:r>
          </w:p>
        </w:tc>
        <w:tc>
          <w:tcPr>
            <w:tcW w:type="dxa" w:w="3139"/>
            <w:tcBorders>
              <w:top w:val="none"/>
              <w:left w:val="none"/>
              <w:bottom w:val="none"/>
              <w:right w:val="none"/>
            </w:tcBorders>
            <w:shd w:fill="FFFFFF" w:val="clear"/>
          </w:tcPr>
          <w:p>
            <w:pPr>
              <w:pStyle w:val="style0"/>
              <w:tabs>
                <w:tab w:leader="none" w:pos="0" w:val="left"/>
                <w:tab w:leader="none" w:pos="444" w:val="left"/>
                <w:tab w:leader="none" w:pos="720" w:val="left"/>
              </w:tabs>
              <w:spacing w:line="240" w:lineRule="atLeast"/>
              <w:jc w:val="center"/>
            </w:pPr>
            <w:r>
              <w:rPr>
                <w:spacing w:val="-3"/>
                <w:sz w:val="24"/>
                <w:lang w:val="en-US"/>
              </w:rPr>
              <w:t>1.0 x 10</w:t>
            </w:r>
            <w:r>
              <w:rPr>
                <w:spacing w:val="-3"/>
                <w:sz w:val="24"/>
                <w:vertAlign w:val="superscript"/>
                <w:lang w:val="en-US"/>
              </w:rPr>
              <w:t>-11</w:t>
            </w:r>
            <w:r>
              <w:rPr>
                <w:spacing w:val="-3"/>
                <w:sz w:val="24"/>
                <w:lang w:val="en-US"/>
              </w:rPr>
              <w:t xml:space="preserve"> exp(-130/</w:t>
            </w:r>
            <w:r>
              <w:rPr>
                <w:i/>
                <w:spacing w:val="-3"/>
                <w:sz w:val="24"/>
                <w:lang w:val="en-US"/>
              </w:rPr>
              <w:t>T</w:t>
            </w:r>
            <w:r>
              <w:rPr>
                <w:spacing w:val="-3"/>
                <w:sz w:val="24"/>
                <w:lang w:val="en-US"/>
              </w:rPr>
              <w:t>)</w:t>
            </w:r>
          </w:p>
        </w:tc>
        <w:tc>
          <w:tcPr>
            <w:tcW w:type="dxa" w:w="2184"/>
            <w:tcBorders>
              <w:top w:val="none"/>
              <w:left w:val="none"/>
              <w:bottom w:val="none"/>
              <w:right w:val="none"/>
            </w:tcBorders>
            <w:shd w:fill="FFFFFF" w:val="clear"/>
          </w:tcPr>
          <w:p>
            <w:pPr>
              <w:pStyle w:val="style0"/>
              <w:tabs>
                <w:tab w:leader="none" w:pos="0" w:val="left"/>
                <w:tab w:leader="none" w:pos="444" w:val="left"/>
                <w:tab w:leader="none" w:pos="720" w:val="left"/>
              </w:tabs>
              <w:spacing w:line="240" w:lineRule="atLeast"/>
              <w:jc w:val="center"/>
            </w:pPr>
            <w:r>
              <w:rPr>
                <w:spacing w:val="-3"/>
                <w:sz w:val="24"/>
                <w:lang w:val="en-US"/>
              </w:rPr>
              <w:t>280-370</w:t>
            </w:r>
          </w:p>
        </w:tc>
      </w:tr>
      <w:tr>
        <w:trPr>
          <w:cantSplit w:val="false"/>
        </w:trPr>
        <w:tc>
          <w:tcPr>
            <w:tcW w:type="dxa" w:w="3070"/>
            <w:tcBorders>
              <w:top w:val="none"/>
              <w:left w:val="none"/>
              <w:bottom w:val="none"/>
              <w:right w:val="none"/>
            </w:tcBorders>
            <w:shd w:fill="FFFFFF" w:val="clear"/>
          </w:tcPr>
          <w:p>
            <w:pPr>
              <w:pStyle w:val="style0"/>
              <w:tabs>
                <w:tab w:leader="none" w:pos="0" w:val="left"/>
                <w:tab w:leader="none" w:pos="444" w:val="left"/>
                <w:tab w:leader="none" w:pos="720" w:val="left"/>
              </w:tabs>
              <w:spacing w:line="240" w:lineRule="atLeast"/>
              <w:jc w:val="center"/>
            </w:pPr>
            <w:r>
              <w:rPr>
                <w:i/>
                <w:spacing w:val="-3"/>
                <w:sz w:val="24"/>
                <w:lang w:val="en-US"/>
              </w:rPr>
              <w:t>k</w:t>
            </w:r>
            <w:r>
              <w:rPr>
                <w:iCs/>
                <w:spacing w:val="-3"/>
                <w:sz w:val="24"/>
                <w:vertAlign w:val="subscript"/>
                <w:lang w:val="en-US"/>
              </w:rPr>
              <w:t>2</w:t>
            </w:r>
            <w:r>
              <w:rPr>
                <w:i/>
                <w:spacing w:val="-3"/>
                <w:sz w:val="24"/>
                <w:lang w:val="en-US"/>
              </w:rPr>
              <w:t xml:space="preserve"> </w:t>
            </w:r>
            <w:r>
              <w:rPr>
                <w:iCs/>
                <w:spacing w:val="-3"/>
                <w:sz w:val="24"/>
                <w:lang w:val="en-US"/>
              </w:rPr>
              <w:t>/</w:t>
            </w:r>
            <w:r>
              <w:rPr>
                <w:spacing w:val="-3"/>
                <w:sz w:val="24"/>
                <w:lang w:val="en-US"/>
              </w:rPr>
              <w:t>cm</w:t>
            </w:r>
            <w:r>
              <w:rPr>
                <w:spacing w:val="-3"/>
                <w:sz w:val="24"/>
                <w:vertAlign w:val="superscript"/>
                <w:lang w:val="en-US"/>
              </w:rPr>
              <w:t>3</w:t>
            </w:r>
            <w:r>
              <w:rPr>
                <w:spacing w:val="-3"/>
                <w:sz w:val="24"/>
                <w:lang w:val="en-US"/>
              </w:rPr>
              <w:t xml:space="preserve"> molecule</w:t>
            </w:r>
            <w:r>
              <w:rPr>
                <w:spacing w:val="-3"/>
                <w:sz w:val="24"/>
                <w:vertAlign w:val="superscript"/>
                <w:lang w:val="en-US"/>
              </w:rPr>
              <w:t>-1</w:t>
            </w:r>
            <w:r>
              <w:rPr>
                <w:spacing w:val="-3"/>
                <w:sz w:val="24"/>
                <w:lang w:val="en-US"/>
              </w:rPr>
              <w:t xml:space="preserve"> s</w:t>
            </w:r>
            <w:r>
              <w:rPr>
                <w:spacing w:val="-3"/>
                <w:sz w:val="24"/>
                <w:vertAlign w:val="superscript"/>
                <w:lang w:val="en-US"/>
              </w:rPr>
              <w:t>-1</w:t>
            </w:r>
          </w:p>
        </w:tc>
        <w:tc>
          <w:tcPr>
            <w:tcW w:type="dxa" w:w="3139"/>
            <w:tcBorders>
              <w:top w:val="none"/>
              <w:left w:val="none"/>
              <w:bottom w:val="none"/>
              <w:right w:val="none"/>
            </w:tcBorders>
            <w:shd w:fill="FFFFFF" w:val="clear"/>
          </w:tcPr>
          <w:p>
            <w:pPr>
              <w:pStyle w:val="style0"/>
              <w:tabs>
                <w:tab w:leader="none" w:pos="0" w:val="left"/>
                <w:tab w:leader="none" w:pos="444" w:val="left"/>
                <w:tab w:leader="none" w:pos="720" w:val="left"/>
              </w:tabs>
              <w:spacing w:line="240" w:lineRule="atLeast"/>
              <w:jc w:val="center"/>
            </w:pPr>
            <w:r>
              <w:rPr>
                <w:spacing w:val="-3"/>
                <w:sz w:val="24"/>
                <w:lang w:val="en-US"/>
              </w:rPr>
              <w:t>7.4 x 10</w:t>
            </w:r>
            <w:r>
              <w:rPr>
                <w:spacing w:val="-3"/>
                <w:sz w:val="24"/>
                <w:vertAlign w:val="superscript"/>
                <w:lang w:val="en-US"/>
              </w:rPr>
              <w:t>-13</w:t>
            </w:r>
          </w:p>
        </w:tc>
        <w:tc>
          <w:tcPr>
            <w:tcW w:type="dxa" w:w="2184"/>
            <w:tcBorders>
              <w:top w:val="none"/>
              <w:left w:val="none"/>
              <w:bottom w:val="none"/>
              <w:right w:val="none"/>
            </w:tcBorders>
            <w:shd w:fill="FFFFFF" w:val="clear"/>
          </w:tcPr>
          <w:p>
            <w:pPr>
              <w:pStyle w:val="style0"/>
              <w:tabs>
                <w:tab w:leader="none" w:pos="0" w:val="left"/>
                <w:tab w:leader="none" w:pos="444" w:val="left"/>
                <w:tab w:leader="none" w:pos="720" w:val="left"/>
              </w:tabs>
              <w:spacing w:line="240" w:lineRule="atLeast"/>
              <w:jc w:val="center"/>
            </w:pPr>
            <w:r>
              <w:rPr>
                <w:spacing w:val="-3"/>
                <w:sz w:val="24"/>
                <w:lang w:val="en-US"/>
              </w:rPr>
              <w:t>298</w:t>
            </w:r>
          </w:p>
        </w:tc>
      </w:tr>
      <w:tr>
        <w:trPr>
          <w:cantSplit w:val="false"/>
        </w:trPr>
        <w:tc>
          <w:tcPr>
            <w:tcW w:type="dxa" w:w="3070"/>
            <w:tcBorders>
              <w:top w:val="none"/>
              <w:left w:val="none"/>
              <w:bottom w:val="none"/>
              <w:right w:val="none"/>
            </w:tcBorders>
            <w:shd w:fill="FFFFFF" w:val="clear"/>
          </w:tcPr>
          <w:p>
            <w:pPr>
              <w:pStyle w:val="style0"/>
              <w:tabs>
                <w:tab w:leader="none" w:pos="0" w:val="left"/>
                <w:tab w:leader="none" w:pos="444" w:val="left"/>
                <w:tab w:leader="none" w:pos="720" w:val="left"/>
              </w:tabs>
              <w:spacing w:line="240" w:lineRule="atLeast"/>
              <w:jc w:val="center"/>
            </w:pPr>
            <w:r>
              <w:rPr>
                <w:i/>
                <w:spacing w:val="-3"/>
                <w:sz w:val="24"/>
                <w:lang w:val="en-US"/>
              </w:rPr>
              <w:t>k</w:t>
            </w:r>
            <w:r>
              <w:rPr>
                <w:iCs/>
                <w:spacing w:val="-3"/>
                <w:sz w:val="24"/>
                <w:vertAlign w:val="subscript"/>
                <w:lang w:val="en-US"/>
              </w:rPr>
              <w:t>2</w:t>
            </w:r>
            <w:r>
              <w:rPr>
                <w:i/>
                <w:spacing w:val="-3"/>
                <w:sz w:val="24"/>
                <w:lang w:val="en-US"/>
              </w:rPr>
              <w:t xml:space="preserve"> </w:t>
            </w:r>
            <w:r>
              <w:rPr>
                <w:iCs/>
                <w:spacing w:val="-3"/>
                <w:sz w:val="24"/>
                <w:lang w:val="en-US"/>
              </w:rPr>
              <w:t>/</w:t>
            </w:r>
            <w:r>
              <w:rPr>
                <w:spacing w:val="-3"/>
                <w:sz w:val="24"/>
                <w:lang w:val="en-US"/>
              </w:rPr>
              <w:t>cm</w:t>
            </w:r>
            <w:r>
              <w:rPr>
                <w:spacing w:val="-3"/>
                <w:sz w:val="24"/>
                <w:vertAlign w:val="superscript"/>
                <w:lang w:val="en-US"/>
              </w:rPr>
              <w:t>3</w:t>
            </w:r>
            <w:r>
              <w:rPr>
                <w:spacing w:val="-3"/>
                <w:sz w:val="24"/>
                <w:lang w:val="en-US"/>
              </w:rPr>
              <w:t xml:space="preserve"> molecule</w:t>
            </w:r>
            <w:r>
              <w:rPr>
                <w:spacing w:val="-3"/>
                <w:sz w:val="24"/>
                <w:vertAlign w:val="superscript"/>
                <w:lang w:val="en-US"/>
              </w:rPr>
              <w:t>-1</w:t>
            </w:r>
            <w:r>
              <w:rPr>
                <w:spacing w:val="-3"/>
                <w:sz w:val="24"/>
                <w:lang w:val="en-US"/>
              </w:rPr>
              <w:t xml:space="preserve"> s</w:t>
            </w:r>
            <w:r>
              <w:rPr>
                <w:spacing w:val="-3"/>
                <w:sz w:val="24"/>
                <w:vertAlign w:val="superscript"/>
                <w:lang w:val="en-US"/>
              </w:rPr>
              <w:t>-1</w:t>
            </w:r>
          </w:p>
        </w:tc>
        <w:tc>
          <w:tcPr>
            <w:tcW w:type="dxa" w:w="3139"/>
            <w:tcBorders>
              <w:top w:val="none"/>
              <w:left w:val="none"/>
              <w:bottom w:val="none"/>
              <w:right w:val="none"/>
            </w:tcBorders>
            <w:shd w:fill="FFFFFF" w:val="clear"/>
          </w:tcPr>
          <w:p>
            <w:pPr>
              <w:pStyle w:val="style0"/>
              <w:tabs>
                <w:tab w:leader="none" w:pos="0" w:val="left"/>
                <w:tab w:leader="none" w:pos="444" w:val="left"/>
                <w:tab w:leader="none" w:pos="720" w:val="left"/>
              </w:tabs>
              <w:spacing w:line="240" w:lineRule="atLeast"/>
              <w:jc w:val="center"/>
            </w:pPr>
            <w:r>
              <w:rPr>
                <w:spacing w:val="-3"/>
                <w:sz w:val="24"/>
                <w:lang w:val="en-US"/>
              </w:rPr>
              <w:t>8.3 x 10</w:t>
            </w:r>
            <w:r>
              <w:rPr>
                <w:spacing w:val="-3"/>
                <w:sz w:val="24"/>
                <w:vertAlign w:val="superscript"/>
                <w:lang w:val="en-US"/>
              </w:rPr>
              <w:t>-12</w:t>
            </w:r>
            <w:r>
              <w:rPr>
                <w:spacing w:val="-3"/>
                <w:sz w:val="24"/>
                <w:lang w:val="en-US"/>
              </w:rPr>
              <w:t xml:space="preserve"> exp(-720/</w:t>
            </w:r>
            <w:r>
              <w:rPr>
                <w:i/>
                <w:spacing w:val="-3"/>
                <w:sz w:val="24"/>
                <w:lang w:val="en-US"/>
              </w:rPr>
              <w:t>T</w:t>
            </w:r>
            <w:r>
              <w:rPr>
                <w:spacing w:val="-3"/>
                <w:sz w:val="24"/>
                <w:lang w:val="en-US"/>
              </w:rPr>
              <w:t>)</w:t>
            </w:r>
          </w:p>
        </w:tc>
        <w:tc>
          <w:tcPr>
            <w:tcW w:type="dxa" w:w="2184"/>
            <w:tcBorders>
              <w:top w:val="none"/>
              <w:left w:val="none"/>
              <w:bottom w:val="none"/>
              <w:right w:val="none"/>
            </w:tcBorders>
            <w:shd w:fill="FFFFFF" w:val="clear"/>
          </w:tcPr>
          <w:p>
            <w:pPr>
              <w:pStyle w:val="style0"/>
              <w:tabs>
                <w:tab w:leader="none" w:pos="0" w:val="left"/>
                <w:tab w:leader="none" w:pos="444" w:val="left"/>
                <w:tab w:leader="none" w:pos="720" w:val="left"/>
              </w:tabs>
              <w:spacing w:line="240" w:lineRule="atLeast"/>
              <w:jc w:val="center"/>
            </w:pPr>
            <w:r>
              <w:rPr>
                <w:spacing w:val="-3"/>
                <w:sz w:val="24"/>
                <w:lang w:val="en-US"/>
              </w:rPr>
              <w:t>280-370</w:t>
            </w:r>
          </w:p>
        </w:tc>
      </w:tr>
    </w:tbl>
    <w:p>
      <w:pPr>
        <w:pStyle w:val="style0"/>
        <w:tabs>
          <w:tab w:leader="none" w:pos="0" w:val="left"/>
          <w:tab w:leader="none" w:pos="444" w:val="left"/>
          <w:tab w:leader="none" w:pos="720" w:val="left"/>
        </w:tabs>
        <w:spacing w:line="240" w:lineRule="atLeast"/>
        <w:jc w:val="both"/>
      </w:pPr>
      <w:r>
        <w:rPr/>
      </w:r>
    </w:p>
    <w:p>
      <w:pPr>
        <w:pStyle w:val="style0"/>
        <w:tabs>
          <w:tab w:leader="none" w:pos="802" w:val="left"/>
          <w:tab w:leader="none" w:pos="1246" w:val="left"/>
          <w:tab w:leader="none" w:pos="1522" w:val="left"/>
        </w:tabs>
        <w:spacing w:line="240" w:lineRule="atLeast"/>
        <w:ind w:hanging="0" w:left="802" w:right="0"/>
        <w:jc w:val="both"/>
      </w:pPr>
      <w:r>
        <w:rPr>
          <w:i/>
          <w:spacing w:val="-3"/>
          <w:sz w:val="24"/>
          <w:lang w:val="en-US"/>
        </w:rPr>
        <w:t>Reliability</w:t>
      </w:r>
    </w:p>
    <w:tbl>
      <w:tblPr>
        <w:jc w:val="left"/>
        <w:tblInd w:type="dxa" w:w="924"/>
        <w:tblBorders>
          <w:top w:val="none"/>
          <w:left w:val="none"/>
          <w:bottom w:val="none"/>
          <w:insideH w:val="none"/>
          <w:right w:val="none"/>
          <w:insideV w:val="none"/>
        </w:tblBorders>
        <w:tblCellMar>
          <w:top w:type="dxa" w:w="0"/>
          <w:left w:type="dxa" w:w="108"/>
          <w:bottom w:type="dxa" w:w="0"/>
          <w:right w:type="dxa" w:w="108"/>
        </w:tblCellMar>
      </w:tblPr>
      <w:tblGrid>
        <w:gridCol w:w="3070"/>
        <w:gridCol w:w="3125"/>
        <w:gridCol w:w="2184"/>
      </w:tblGrid>
      <w:tr>
        <w:trPr>
          <w:cantSplit w:val="false"/>
        </w:trPr>
        <w:tc>
          <w:tcPr>
            <w:tcW w:type="dxa" w:w="3070"/>
            <w:tcBorders>
              <w:top w:val="none"/>
              <w:left w:val="none"/>
              <w:bottom w:val="none"/>
              <w:right w:val="none"/>
            </w:tcBorders>
            <w:shd w:fill="FFFFFF" w:val="clear"/>
          </w:tcPr>
          <w:p>
            <w:pPr>
              <w:pStyle w:val="style0"/>
              <w:tabs>
                <w:tab w:leader="none" w:pos="0" w:val="left"/>
                <w:tab w:leader="none" w:pos="444" w:val="left"/>
                <w:tab w:leader="none" w:pos="720" w:val="left"/>
              </w:tabs>
              <w:spacing w:line="240" w:lineRule="atLeast"/>
              <w:jc w:val="center"/>
            </w:pPr>
            <w:r>
              <w:rPr>
                <w:rFonts w:ascii="Symbol" w:hAnsi="Symbol"/>
                <w:spacing w:val="-3"/>
                <w:sz w:val="24"/>
                <w:lang w:val="en-US"/>
              </w:rPr>
              <w:t></w:t>
            </w:r>
            <w:r>
              <w:rPr>
                <w:spacing w:val="-3"/>
                <w:sz w:val="24"/>
                <w:lang w:val="en-US"/>
              </w:rPr>
              <w:t xml:space="preserve"> </w:t>
            </w:r>
            <w:r>
              <w:rPr>
                <w:spacing w:val="-3"/>
                <w:sz w:val="24"/>
                <w:lang w:val="en-US"/>
              </w:rPr>
              <w:t>log</w:t>
            </w:r>
            <w:r>
              <w:rPr>
                <w:i/>
                <w:spacing w:val="-3"/>
                <w:sz w:val="24"/>
                <w:lang w:val="en-US"/>
              </w:rPr>
              <w:t xml:space="preserve"> k</w:t>
            </w:r>
            <w:r>
              <w:rPr>
                <w:iCs/>
                <w:spacing w:val="-3"/>
                <w:sz w:val="24"/>
                <w:vertAlign w:val="subscript"/>
                <w:lang w:val="en-US"/>
              </w:rPr>
              <w:t>1</w:t>
            </w:r>
            <w:r>
              <w:rPr>
                <w:spacing w:val="-3"/>
                <w:sz w:val="24"/>
                <w:lang w:val="da-DK"/>
              </w:rPr>
              <w:t xml:space="preserve">= </w:t>
            </w:r>
            <w:r>
              <w:rPr>
                <w:spacing w:val="-3"/>
                <w:sz w:val="24"/>
                <w:lang w:val="en-US"/>
              </w:rPr>
              <w:t>Δ</w:t>
            </w:r>
            <w:r>
              <w:rPr>
                <w:spacing w:val="-3"/>
                <w:sz w:val="24"/>
                <w:lang w:val="da-DK"/>
              </w:rPr>
              <w:t xml:space="preserve">log </w:t>
            </w:r>
            <w:r>
              <w:rPr>
                <w:i/>
                <w:spacing w:val="-3"/>
                <w:sz w:val="24"/>
                <w:lang w:val="da-DK"/>
              </w:rPr>
              <w:t>k</w:t>
            </w:r>
            <w:r>
              <w:rPr>
                <w:spacing w:val="-3"/>
                <w:sz w:val="24"/>
                <w:vertAlign w:val="subscript"/>
                <w:lang w:val="da-DK"/>
              </w:rPr>
              <w:t>2</w:t>
            </w:r>
          </w:p>
        </w:tc>
        <w:tc>
          <w:tcPr>
            <w:tcW w:type="dxa" w:w="3125"/>
            <w:tcBorders>
              <w:top w:val="none"/>
              <w:left w:val="none"/>
              <w:bottom w:val="none"/>
              <w:right w:val="none"/>
            </w:tcBorders>
            <w:shd w:fill="FFFFFF" w:val="clear"/>
          </w:tcPr>
          <w:p>
            <w:pPr>
              <w:pStyle w:val="style0"/>
              <w:tabs>
                <w:tab w:leader="none" w:pos="0" w:val="left"/>
                <w:tab w:leader="none" w:pos="444" w:val="left"/>
                <w:tab w:leader="none" w:pos="720" w:val="left"/>
              </w:tabs>
              <w:spacing w:line="240" w:lineRule="atLeast"/>
              <w:jc w:val="center"/>
            </w:pPr>
            <w:r>
              <w:rPr>
                <w:spacing w:val="-3"/>
                <w:sz w:val="24"/>
                <w:lang w:val="en-US"/>
              </w:rPr>
              <w:t>± 0.3</w:t>
            </w:r>
          </w:p>
        </w:tc>
        <w:tc>
          <w:tcPr>
            <w:tcW w:type="dxa" w:w="2184"/>
            <w:tcBorders>
              <w:top w:val="none"/>
              <w:left w:val="none"/>
              <w:bottom w:val="none"/>
              <w:right w:val="none"/>
            </w:tcBorders>
            <w:shd w:fill="FFFFFF" w:val="clear"/>
          </w:tcPr>
          <w:p>
            <w:pPr>
              <w:pStyle w:val="style0"/>
              <w:tabs>
                <w:tab w:leader="none" w:pos="0" w:val="left"/>
                <w:tab w:leader="none" w:pos="444" w:val="left"/>
                <w:tab w:leader="none" w:pos="720" w:val="left"/>
              </w:tabs>
              <w:spacing w:line="240" w:lineRule="atLeast"/>
              <w:jc w:val="center"/>
            </w:pPr>
            <w:r>
              <w:rPr>
                <w:spacing w:val="-3"/>
                <w:sz w:val="24"/>
                <w:lang w:val="en-US"/>
              </w:rPr>
              <w:t>298</w:t>
            </w:r>
          </w:p>
        </w:tc>
      </w:tr>
      <w:tr>
        <w:trPr>
          <w:cantSplit w:val="false"/>
        </w:trPr>
        <w:tc>
          <w:tcPr>
            <w:tcW w:type="dxa" w:w="3070"/>
            <w:tcBorders>
              <w:top w:val="none"/>
              <w:left w:val="none"/>
              <w:bottom w:color="000001" w:space="0" w:sz="4" w:val="single"/>
              <w:right w:val="none"/>
            </w:tcBorders>
            <w:shd w:fill="FFFFFF" w:val="clear"/>
          </w:tcPr>
          <w:p>
            <w:pPr>
              <w:pStyle w:val="style0"/>
              <w:tabs>
                <w:tab w:leader="none" w:pos="0" w:val="left"/>
                <w:tab w:leader="none" w:pos="444" w:val="left"/>
                <w:tab w:leader="none" w:pos="720" w:val="left"/>
              </w:tabs>
              <w:spacing w:line="240" w:lineRule="atLeast"/>
              <w:jc w:val="center"/>
            </w:pPr>
            <w:r>
              <w:rPr>
                <w:spacing w:val="-3"/>
                <w:sz w:val="24"/>
                <w:lang w:val="en-US"/>
              </w:rPr>
              <w:t>Δ</w:t>
            </w:r>
            <w:r>
              <w:rPr>
                <w:spacing w:val="-3"/>
                <w:sz w:val="24"/>
                <w:lang w:val="pt-BR"/>
              </w:rPr>
              <w:t>(</w:t>
            </w:r>
            <w:r>
              <w:rPr>
                <w:i/>
                <w:spacing w:val="-3"/>
                <w:sz w:val="24"/>
                <w:lang w:val="pt-BR"/>
              </w:rPr>
              <w:t>E</w:t>
            </w:r>
            <w:r>
              <w:rPr>
                <w:spacing w:val="-3"/>
                <w:sz w:val="24"/>
                <w:vertAlign w:val="subscript"/>
                <w:lang w:val="pt-BR"/>
              </w:rPr>
              <w:t>1</w:t>
            </w:r>
            <w:r>
              <w:rPr>
                <w:spacing w:val="-3"/>
                <w:sz w:val="24"/>
                <w:lang w:val="pt-BR"/>
              </w:rPr>
              <w:t>/</w:t>
            </w:r>
            <w:r>
              <w:rPr>
                <w:i/>
                <w:spacing w:val="-3"/>
                <w:sz w:val="24"/>
                <w:lang w:val="pt-BR"/>
              </w:rPr>
              <w:t>R</w:t>
            </w:r>
            <w:r>
              <w:rPr>
                <w:spacing w:val="-3"/>
                <w:sz w:val="24"/>
                <w:lang w:val="pt-BR"/>
              </w:rPr>
              <w:t xml:space="preserve">) = </w:t>
            </w:r>
            <w:r>
              <w:rPr>
                <w:spacing w:val="-3"/>
                <w:sz w:val="24"/>
                <w:lang w:val="en-US"/>
              </w:rPr>
              <w:t>Δ</w:t>
            </w:r>
            <w:r>
              <w:rPr>
                <w:spacing w:val="-3"/>
                <w:sz w:val="24"/>
                <w:lang w:val="pt-BR"/>
              </w:rPr>
              <w:t>(</w:t>
            </w:r>
            <w:r>
              <w:rPr>
                <w:i/>
                <w:spacing w:val="-3"/>
                <w:sz w:val="24"/>
                <w:lang w:val="pt-BR"/>
              </w:rPr>
              <w:t>E</w:t>
            </w:r>
            <w:r>
              <w:rPr>
                <w:spacing w:val="-3"/>
                <w:sz w:val="24"/>
                <w:vertAlign w:val="subscript"/>
                <w:lang w:val="pt-BR"/>
              </w:rPr>
              <w:t>2</w:t>
            </w:r>
            <w:r>
              <w:rPr>
                <w:spacing w:val="-3"/>
                <w:sz w:val="24"/>
                <w:lang w:val="pt-BR"/>
              </w:rPr>
              <w:t>/</w:t>
            </w:r>
            <w:r>
              <w:rPr>
                <w:i/>
                <w:spacing w:val="-3"/>
                <w:sz w:val="24"/>
                <w:lang w:val="pt-BR"/>
              </w:rPr>
              <w:t>R</w:t>
            </w:r>
            <w:r>
              <w:rPr>
                <w:spacing w:val="-3"/>
                <w:sz w:val="24"/>
                <w:lang w:val="pt-BR"/>
              </w:rPr>
              <w:t>)</w:t>
            </w:r>
          </w:p>
        </w:tc>
        <w:tc>
          <w:tcPr>
            <w:tcW w:type="dxa" w:w="3125"/>
            <w:tcBorders>
              <w:top w:val="none"/>
              <w:left w:val="none"/>
              <w:bottom w:color="000001" w:space="0" w:sz="4" w:val="single"/>
              <w:right w:val="none"/>
            </w:tcBorders>
            <w:shd w:fill="FFFFFF" w:val="clear"/>
          </w:tcPr>
          <w:p>
            <w:pPr>
              <w:pStyle w:val="style0"/>
              <w:tabs>
                <w:tab w:leader="none" w:pos="0" w:val="left"/>
                <w:tab w:leader="none" w:pos="444" w:val="left"/>
                <w:tab w:leader="none" w:pos="720" w:val="left"/>
              </w:tabs>
              <w:spacing w:line="240" w:lineRule="atLeast"/>
              <w:jc w:val="center"/>
            </w:pPr>
            <w:r>
              <w:rPr>
                <w:spacing w:val="-3"/>
                <w:sz w:val="24"/>
                <w:lang w:val="en-US"/>
              </w:rPr>
              <w:t>± 500</w:t>
            </w:r>
          </w:p>
        </w:tc>
        <w:tc>
          <w:tcPr>
            <w:tcW w:type="dxa" w:w="2184"/>
            <w:tcBorders>
              <w:top w:val="none"/>
              <w:left w:val="none"/>
              <w:bottom w:color="000001" w:space="0" w:sz="4" w:val="single"/>
              <w:right w:val="none"/>
            </w:tcBorders>
            <w:shd w:fill="FFFFFF" w:val="clear"/>
          </w:tcPr>
          <w:p>
            <w:pPr>
              <w:pStyle w:val="style0"/>
              <w:tabs>
                <w:tab w:leader="none" w:pos="0" w:val="left"/>
                <w:tab w:leader="none" w:pos="444" w:val="left"/>
                <w:tab w:leader="none" w:pos="720" w:val="left"/>
              </w:tabs>
              <w:spacing w:line="240" w:lineRule="atLeast"/>
              <w:jc w:val="center"/>
            </w:pPr>
            <w:r>
              <w:rPr>
                <w:spacing w:val="-3"/>
                <w:sz w:val="24"/>
                <w:lang w:val="en-US"/>
              </w:rPr>
            </w:r>
          </w:p>
        </w:tc>
      </w:tr>
    </w:tbl>
    <w:p>
      <w:pPr>
        <w:pStyle w:val="style0"/>
        <w:tabs>
          <w:tab w:leader="none" w:pos="0" w:val="left"/>
          <w:tab w:leader="none" w:pos="444" w:val="left"/>
          <w:tab w:leader="none" w:pos="720" w:val="left"/>
        </w:tabs>
        <w:spacing w:line="240" w:lineRule="atLeast"/>
        <w:jc w:val="both"/>
      </w:pPr>
      <w:r>
        <w:rPr/>
      </w:r>
    </w:p>
    <w:p>
      <w:pPr>
        <w:pStyle w:val="style0"/>
        <w:tabs>
          <w:tab w:leader="none" w:pos="0" w:val="left"/>
          <w:tab w:leader="none" w:pos="397" w:val="left"/>
          <w:tab w:leader="none" w:pos="570" w:val="left"/>
          <w:tab w:leader="none" w:pos="3783" w:val="left"/>
          <w:tab w:leader="none" w:pos="4680" w:val="left"/>
          <w:tab w:leader="none" w:pos="9759" w:val="left"/>
        </w:tabs>
        <w:spacing w:line="240" w:lineRule="atLeast"/>
        <w:jc w:val="both"/>
      </w:pPr>
      <w:r>
        <w:rPr>
          <w:spacing w:val="-3"/>
          <w:sz w:val="24"/>
          <w:lang w:val="pt-BR"/>
        </w:rPr>
      </w:r>
    </w:p>
    <w:p>
      <w:pPr>
        <w:pStyle w:val="style0"/>
        <w:pageBreakBefore/>
        <w:tabs>
          <w:tab w:leader="none" w:pos="0" w:val="left"/>
          <w:tab w:leader="none" w:pos="397" w:val="left"/>
          <w:tab w:leader="none" w:pos="570" w:val="left"/>
          <w:tab w:leader="none" w:pos="3783" w:val="left"/>
          <w:tab w:leader="none" w:pos="4680" w:val="left"/>
          <w:tab w:leader="none" w:pos="9759" w:val="left"/>
        </w:tabs>
        <w:spacing w:line="240" w:lineRule="atLeast"/>
        <w:jc w:val="both"/>
      </w:pPr>
      <w:r>
        <w:rPr>
          <w:i/>
          <w:spacing w:val="-3"/>
          <w:sz w:val="24"/>
          <w:lang w:val="pt-BR"/>
        </w:rPr>
        <w:t>Comments on Preferred Values</w:t>
      </w:r>
    </w:p>
    <w:p>
      <w:pPr>
        <w:pStyle w:val="style0"/>
        <w:tabs>
          <w:tab w:leader="none" w:pos="332" w:val="left"/>
          <w:tab w:leader="none" w:pos="729" w:val="left"/>
          <w:tab w:leader="none" w:pos="902" w:val="left"/>
          <w:tab w:leader="none" w:pos="4115" w:val="left"/>
          <w:tab w:leader="none" w:pos="5012" w:val="left"/>
          <w:tab w:leader="none" w:pos="10091" w:val="left"/>
        </w:tabs>
        <w:spacing w:line="240" w:lineRule="atLeast"/>
        <w:ind w:hanging="0" w:left="332" w:right="429"/>
        <w:jc w:val="both"/>
      </w:pPr>
      <w:r>
        <w:rPr>
          <w:spacing w:val="-3"/>
          <w:sz w:val="24"/>
          <w:lang w:val="en-US"/>
        </w:rPr>
        <w:t xml:space="preserve">The recommended values are based on the results of the relative rate study of Tschuikow-Roux et al. (1985). The overall rate constant </w:t>
      </w:r>
      <w:r>
        <w:rPr>
          <w:i/>
          <w:spacing w:val="-3"/>
          <w:sz w:val="24"/>
          <w:lang w:val="en-US"/>
        </w:rPr>
        <w:t>k</w:t>
      </w:r>
      <w:r>
        <w:rPr>
          <w:spacing w:val="-3"/>
          <w:sz w:val="24"/>
          <w:lang w:val="en-US"/>
        </w:rPr>
        <w:t xml:space="preserve"> at room temperature, (</w:t>
      </w:r>
      <w:r>
        <w:rPr>
          <w:i/>
          <w:spacing w:val="-3"/>
          <w:sz w:val="24"/>
          <w:lang w:val="en-US"/>
        </w:rPr>
        <w:t xml:space="preserve">k </w:t>
      </w:r>
      <w:r>
        <w:rPr>
          <w:spacing w:val="-3"/>
          <w:sz w:val="24"/>
          <w:lang w:val="en-US"/>
        </w:rPr>
        <w:t xml:space="preserve">= </w:t>
      </w:r>
      <w:r>
        <w:rPr>
          <w:i/>
          <w:spacing w:val="-3"/>
          <w:sz w:val="24"/>
          <w:lang w:val="en-US"/>
        </w:rPr>
        <w:t>k</w:t>
      </w:r>
      <w:r>
        <w:rPr>
          <w:spacing w:val="-3"/>
          <w:sz w:val="24"/>
          <w:vertAlign w:val="subscript"/>
          <w:lang w:val="en-US"/>
        </w:rPr>
        <w:t>1</w:t>
      </w:r>
      <w:r>
        <w:rPr>
          <w:spacing w:val="-3"/>
          <w:sz w:val="24"/>
          <w:lang w:val="en-US"/>
        </w:rPr>
        <w:t xml:space="preserve"> + </w:t>
      </w:r>
      <w:r>
        <w:rPr>
          <w:i/>
          <w:spacing w:val="-3"/>
          <w:sz w:val="24"/>
          <w:lang w:val="en-US"/>
        </w:rPr>
        <w:t>k</w:t>
      </w:r>
      <w:r>
        <w:rPr>
          <w:spacing w:val="-3"/>
          <w:sz w:val="24"/>
          <w:vertAlign w:val="subscript"/>
          <w:lang w:val="en-US"/>
        </w:rPr>
        <w:t>2</w:t>
      </w:r>
      <w:r>
        <w:rPr>
          <w:spacing w:val="-3"/>
          <w:sz w:val="24"/>
          <w:lang w:val="en-US"/>
        </w:rPr>
        <w:t xml:space="preserve">) of Hitsuda et al. (2001) is consistent with this recommendation. </w:t>
      </w:r>
    </w:p>
    <w:p>
      <w:pPr>
        <w:pStyle w:val="style0"/>
        <w:tabs>
          <w:tab w:leader="none" w:pos="4680" w:val="center"/>
        </w:tabs>
        <w:spacing w:line="240" w:lineRule="atLeast"/>
        <w:jc w:val="both"/>
      </w:pPr>
      <w:r>
        <w:rPr>
          <w:spacing w:val="-3"/>
          <w:sz w:val="24"/>
          <w:lang w:val="en-US"/>
        </w:rPr>
      </w:r>
    </w:p>
    <w:p>
      <w:pPr>
        <w:pStyle w:val="style0"/>
        <w:tabs>
          <w:tab w:leader="none" w:pos="4680" w:val="center"/>
        </w:tabs>
        <w:spacing w:line="240" w:lineRule="atLeast"/>
        <w:jc w:val="center"/>
      </w:pPr>
      <w:r>
        <w:rPr>
          <w:b/>
          <w:spacing w:val="-3"/>
          <w:sz w:val="24"/>
          <w:lang w:val="en-US"/>
        </w:rPr>
        <w:t>References</w:t>
      </w:r>
    </w:p>
    <w:p>
      <w:pPr>
        <w:pStyle w:val="style0"/>
        <w:tabs>
          <w:tab w:leader="none" w:pos="4680" w:val="center"/>
        </w:tabs>
        <w:spacing w:line="240" w:lineRule="atLeast"/>
        <w:jc w:val="center"/>
      </w:pPr>
      <w:r>
        <w:rPr>
          <w:spacing w:val="-3"/>
          <w:sz w:val="24"/>
          <w:lang w:val="en-US"/>
        </w:rPr>
      </w:r>
    </w:p>
    <w:p>
      <w:pPr>
        <w:pStyle w:val="style0"/>
        <w:widowControl/>
        <w:ind w:hanging="0" w:left="346" w:right="415"/>
      </w:pPr>
      <w:r>
        <w:rPr>
          <w:spacing w:val="-3"/>
          <w:sz w:val="24"/>
          <w:lang w:val="en-US"/>
        </w:rPr>
        <w:t>Atkinson, R., Baulch, D. L., Cox, R. A., Crowley, J. N., Hampson, R. F., Hynes, R. G., Jenkin, M. E., Rossi, M. J., and Troe, J.: Atmos. Chem. Phys., 6, 3625, 2006; IUPAC Task Group on Atmospheric Chemical Kinetic Data Evaluation,</w:t>
      </w:r>
      <w:r>
        <w:rPr>
          <w:spacing w:val="-3"/>
          <w:sz w:val="24"/>
          <w:szCs w:val="24"/>
          <w:lang w:val="en-US"/>
        </w:rPr>
        <w:t xml:space="preserve"> </w:t>
      </w:r>
      <w:hyperlink r:id="rId4">
        <w:r>
          <w:rPr>
            <w:rStyle w:val="style18"/>
            <w:sz w:val="24"/>
            <w:szCs w:val="24"/>
          </w:rPr>
          <w:t>http://iupac.pole-ether.fr</w:t>
        </w:r>
      </w:hyperlink>
    </w:p>
    <w:p>
      <w:pPr>
        <w:pStyle w:val="style0"/>
        <w:tabs>
          <w:tab w:leader="none" w:pos="706" w:val="left"/>
          <w:tab w:leader="none" w:pos="1066" w:val="left"/>
        </w:tabs>
        <w:spacing w:line="240" w:lineRule="atLeast"/>
        <w:ind w:hanging="0" w:left="346" w:right="415"/>
        <w:jc w:val="both"/>
      </w:pPr>
      <w:r>
        <w:rPr>
          <w:spacing w:val="-3"/>
          <w:sz w:val="24"/>
          <w:szCs w:val="24"/>
          <w:lang w:val="en-US"/>
        </w:rPr>
        <w:t>Hitsuda, K., Takahashi, K., Matsumi, Y., and Wallington, T. J.: J. Phys</w:t>
      </w:r>
      <w:r>
        <w:rPr>
          <w:spacing w:val="-3"/>
          <w:sz w:val="24"/>
          <w:lang w:val="en-US"/>
        </w:rPr>
        <w:t xml:space="preserve">. Chem. A, 105, 5131, </w:t>
        <w:tab/>
        <w:t>2001.</w:t>
      </w:r>
    </w:p>
    <w:p>
      <w:pPr>
        <w:pStyle w:val="style0"/>
        <w:tabs>
          <w:tab w:leader="none" w:pos="5026" w:val="center"/>
        </w:tabs>
        <w:spacing w:line="240" w:lineRule="atLeast"/>
        <w:ind w:hanging="0" w:left="346" w:right="415"/>
      </w:pPr>
      <w:r>
        <w:rPr>
          <w:spacing w:val="-3"/>
          <w:sz w:val="24"/>
          <w:lang w:val="en-US"/>
        </w:rPr>
        <w:t>Tschu</w:t>
      </w:r>
      <w:bookmarkStart w:id="0" w:name="_GoBack"/>
      <w:bookmarkEnd w:id="0"/>
      <w:r>
        <w:rPr>
          <w:spacing w:val="-3"/>
          <w:sz w:val="24"/>
          <w:lang w:val="en-US"/>
        </w:rPr>
        <w:t>ikow-Roux, E, Yano, T., and Niedzielski, J.: J. Chem. Phys., 82, 65, 1985.</w:t>
      </w:r>
    </w:p>
    <w:p>
      <w:pPr>
        <w:pStyle w:val="style0"/>
        <w:tabs>
          <w:tab w:leader="none" w:pos="4680" w:val="center"/>
        </w:tabs>
        <w:spacing w:line="240" w:lineRule="atLeast"/>
      </w:pPr>
      <w:r>
        <w:rPr>
          <w:spacing w:val="-3"/>
          <w:sz w:val="24"/>
          <w:lang w:val="en-US"/>
        </w:rPr>
      </w:r>
    </w:p>
    <w:p>
      <w:pPr>
        <w:pStyle w:val="style0"/>
        <w:tabs>
          <w:tab w:leader="none" w:pos="4680" w:val="center"/>
        </w:tabs>
        <w:spacing w:line="240" w:lineRule="atLeast"/>
      </w:pPr>
      <w:r>
        <w:rPr>
          <w:spacing w:val="-3"/>
          <w:sz w:val="24"/>
          <w:lang w:val="en-US"/>
        </w:rPr>
      </w:r>
    </w:p>
    <w:p>
      <w:pPr>
        <w:pStyle w:val="style0"/>
        <w:tabs>
          <w:tab w:leader="none" w:pos="5247" w:val="center"/>
          <w:tab w:leader="none" w:pos="9207" w:val="right"/>
        </w:tabs>
        <w:spacing w:line="240" w:lineRule="atLeast"/>
        <w:ind w:hanging="0" w:left="567" w:right="0"/>
        <w:jc w:val="both"/>
      </w:pPr>
      <w:r>
        <w:rPr/>
        <w:drawing>
          <wp:inline distB="0" distL="0" distR="0" distT="0">
            <wp:extent cx="5534025" cy="5514975"/>
            <wp:effectExtent b="0" l="0" r="0" t="0"/>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5"/>
                    <a:srcRect/>
                    <a:stretch>
                      <a:fillRect/>
                    </a:stretch>
                  </pic:blipFill>
                  <pic:spPr bwMode="auto">
                    <a:xfrm>
                      <a:off x="0" y="0"/>
                      <a:ext cx="5534025" cy="5514975"/>
                    </a:xfrm>
                    <a:prstGeom prst="rect">
                      <a:avLst/>
                    </a:prstGeom>
                    <a:noFill/>
                    <a:ln w="9525">
                      <a:noFill/>
                      <a:miter lim="800000"/>
                      <a:headEnd/>
                      <a:tailEnd/>
                    </a:ln>
                  </pic:spPr>
                </pic:pic>
              </a:graphicData>
            </a:graphic>
          </wp:inline>
        </w:drawing>
      </w:r>
    </w:p>
    <w:p>
      <w:pPr>
        <w:pStyle w:val="style0"/>
      </w:pPr>
      <w:r>
        <w:rPr/>
      </w:r>
    </w:p>
    <w:sectPr>
      <w:type w:val="nextPage"/>
      <w:pgSz w:h="16838" w:w="11906"/>
      <w:pgMar w:bottom="965" w:footer="0" w:gutter="0" w:header="0" w:left="996" w:right="1290" w:top="965"/>
      <w:pgNumType w:fmt="decimal"/>
      <w:formProt w:val="false"/>
      <w:textDirection w:val="lrTb"/>
      <w:docGrid w:charSpace="8192"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Times New Roman">
    <w:charset w:val="80"/>
    <w:family w:val="roman"/>
    <w:pitch w:val="variable"/>
  </w:font>
  <w:font w:name="CG Times">
    <w:charset w:val="80"/>
    <w:family w:val="roman"/>
    <w:pitch w:val="variable"/>
  </w:font>
  <w:font w:name="Liberation Sans">
    <w:altName w:val="Arial"/>
    <w:charset w:val="80"/>
    <w:family w:val="swiss"/>
    <w:pitch w:val="variable"/>
  </w:font>
  <w:font w:name="Tahoma">
    <w:charset w:val="80"/>
    <w:family w:val="roman"/>
    <w:pitch w:val="variable"/>
  </w:font>
  <w:font w:name="Symbol">
    <w:charset w:val="80"/>
    <w:family w:val="roman"/>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10"/>
  <w:embedSystemFonts/>
  <w:defaultTabStop w:val="720"/>
</w:settings>
</file>

<file path=word/styles.xml><?xml version="1.0" encoding="utf-8"?>
<w:styles xmlns:w="http://schemas.openxmlformats.org/wordprocessingml/2006/main">
  <w:style w:styleId="style0" w:type="paragraph">
    <w:name w:val="Normal"/>
    <w:next w:val="style0"/>
    <w:pPr>
      <w:widowControl w:val="false"/>
      <w:suppressAutoHyphens w:val="true"/>
    </w:pPr>
    <w:rPr>
      <w:rFonts w:ascii="Times New Roman" w:cs="Times New Roman" w:eastAsia="Times New Roman" w:hAnsi="Times New Roman"/>
      <w:color w:val="auto"/>
      <w:sz w:val="20"/>
      <w:szCs w:val="20"/>
      <w:lang w:bidi="ar-SA" w:eastAsia="ar-SA" w:val="en-GB"/>
    </w:rPr>
  </w:style>
  <w:style w:styleId="style1" w:type="paragraph">
    <w:name w:val="Heading 1"/>
    <w:basedOn w:val="style0"/>
    <w:next w:val="style1"/>
    <w:pPr>
      <w:keepNext/>
      <w:spacing w:after="0" w:before="120" w:line="264" w:lineRule="auto"/>
      <w:contextualSpacing w:val="false"/>
      <w:jc w:val="both"/>
    </w:pPr>
    <w:rPr>
      <w:i/>
      <w:spacing w:val="-2"/>
      <w:lang w:val="en-US"/>
    </w:rPr>
  </w:style>
  <w:style w:styleId="style2" w:type="paragraph">
    <w:name w:val="Heading 2"/>
    <w:basedOn w:val="style0"/>
    <w:next w:val="style2"/>
    <w:pPr>
      <w:keepNext/>
      <w:widowControl/>
      <w:spacing w:line="264" w:lineRule="auto"/>
    </w:pPr>
    <w:rPr>
      <w:spacing w:val="-2"/>
      <w:sz w:val="24"/>
      <w:lang w:val="en-US"/>
    </w:rPr>
  </w:style>
  <w:style w:styleId="style3" w:type="paragraph">
    <w:name w:val="Heading 3"/>
    <w:basedOn w:val="style0"/>
    <w:next w:val="style3"/>
    <w:pPr>
      <w:keepNext/>
      <w:widowControl/>
      <w:tabs>
        <w:tab w:leader="none" w:pos="4680" w:val="center"/>
      </w:tabs>
      <w:jc w:val="center"/>
    </w:pPr>
    <w:rPr>
      <w:rFonts w:ascii="CG Times" w:cs="Arial Unicode MS" w:eastAsia="Arial Unicode MS" w:hAnsi="CG Times"/>
      <w:b/>
      <w:color w:val="000000"/>
      <w:sz w:val="24"/>
      <w:lang w:val="en-US"/>
    </w:rPr>
  </w:style>
  <w:style w:styleId="style15" w:type="character">
    <w:name w:val="Default Paragraph Font"/>
    <w:next w:val="style15"/>
    <w:rPr/>
  </w:style>
  <w:style w:styleId="style16" w:type="character">
    <w:name w:val="WW8Num1z0"/>
    <w:next w:val="style16"/>
    <w:rPr>
      <w:strike w:val="false"/>
      <w:dstrike w:val="false"/>
      <w:vertAlign w:val="superscript"/>
    </w:rPr>
  </w:style>
  <w:style w:styleId="style17" w:type="character">
    <w:name w:val="WW8Num2z0"/>
    <w:next w:val="style17"/>
    <w:rPr>
      <w:strike w:val="false"/>
      <w:dstrike w:val="false"/>
      <w:vertAlign w:val="superscript"/>
    </w:rPr>
  </w:style>
  <w:style w:styleId="style18" w:type="character">
    <w:name w:val="Internet Link"/>
    <w:basedOn w:val="style15"/>
    <w:next w:val="style18"/>
    <w:rPr>
      <w:color w:val="0000FF"/>
      <w:u w:val="single"/>
      <w:lang w:bidi="zxx-" w:eastAsia="zxx-" w:val="zxx-"/>
    </w:rPr>
  </w:style>
  <w:style w:styleId="style19" w:type="character">
    <w:name w:val="annotation reference"/>
    <w:next w:val="style19"/>
    <w:rPr>
      <w:sz w:val="16"/>
      <w:szCs w:val="16"/>
    </w:rPr>
  </w:style>
  <w:style w:styleId="style20" w:type="character">
    <w:name w:val=" Char Char1"/>
    <w:next w:val="style20"/>
    <w:rPr>
      <w:lang w:bidi="ar-SA" w:eastAsia="ar-SA" w:val="en-GB"/>
    </w:rPr>
  </w:style>
  <w:style w:styleId="style21" w:type="character">
    <w:name w:val=" Char Char"/>
    <w:next w:val="style21"/>
    <w:rPr>
      <w:b/>
      <w:bCs/>
      <w:lang w:bidi="ar-SA" w:eastAsia="ar-SA" w:val="en-GB"/>
    </w:rPr>
  </w:style>
  <w:style w:styleId="style22" w:type="paragraph">
    <w:name w:val="Heading"/>
    <w:basedOn w:val="style0"/>
    <w:next w:val="style23"/>
    <w:pPr>
      <w:keepNext/>
      <w:spacing w:after="120" w:before="240"/>
      <w:contextualSpacing w:val="false"/>
    </w:pPr>
    <w:rPr>
      <w:rFonts w:ascii="Liberation Sans" w:cs="Lohit Devanagari" w:eastAsia="DejaVu Sans" w:hAnsi="Liberation Sans"/>
      <w:sz w:val="28"/>
      <w:szCs w:val="28"/>
    </w:rPr>
  </w:style>
  <w:style w:styleId="style23" w:type="paragraph">
    <w:name w:val="Text Body"/>
    <w:basedOn w:val="style0"/>
    <w:next w:val="style23"/>
    <w:pPr>
      <w:tabs>
        <w:tab w:leader="none" w:pos="720" w:val="left"/>
      </w:tabs>
      <w:spacing w:line="240" w:lineRule="atLeast"/>
      <w:jc w:val="both"/>
    </w:pPr>
    <w:rPr>
      <w:spacing w:val="-3"/>
      <w:sz w:val="24"/>
      <w:lang w:val="en-US"/>
    </w:rPr>
  </w:style>
  <w:style w:styleId="style24" w:type="paragraph">
    <w:name w:val="List"/>
    <w:basedOn w:val="style23"/>
    <w:next w:val="style24"/>
    <w:pPr/>
    <w:rPr>
      <w:rFonts w:cs="Lohit Devanagari"/>
    </w:rPr>
  </w:style>
  <w:style w:styleId="style25" w:type="paragraph">
    <w:name w:val="Caption"/>
    <w:basedOn w:val="style0"/>
    <w:next w:val="style25"/>
    <w:pPr>
      <w:suppressLineNumbers/>
      <w:spacing w:after="120" w:before="120"/>
      <w:contextualSpacing w:val="false"/>
    </w:pPr>
    <w:rPr>
      <w:rFonts w:cs="Lohit Devanagari"/>
      <w:i/>
      <w:iCs/>
      <w:sz w:val="24"/>
      <w:szCs w:val="24"/>
    </w:rPr>
  </w:style>
  <w:style w:styleId="style26" w:type="paragraph">
    <w:name w:val="Index"/>
    <w:basedOn w:val="style0"/>
    <w:next w:val="style26"/>
    <w:pPr>
      <w:suppressLineNumbers/>
    </w:pPr>
    <w:rPr>
      <w:rFonts w:cs="Lohit Devanagari"/>
    </w:rPr>
  </w:style>
  <w:style w:styleId="style27" w:type="paragraph">
    <w:name w:val="caption"/>
    <w:basedOn w:val="style0"/>
    <w:next w:val="style27"/>
    <w:pPr>
      <w:suppressLineNumbers/>
      <w:spacing w:after="120" w:before="120"/>
      <w:contextualSpacing w:val="false"/>
    </w:pPr>
    <w:rPr>
      <w:rFonts w:cs="Lohit Devanagari"/>
      <w:i/>
      <w:iCs/>
      <w:sz w:val="24"/>
      <w:szCs w:val="24"/>
    </w:rPr>
  </w:style>
  <w:style w:styleId="style28" w:type="paragraph">
    <w:name w:val="Balloon Text"/>
    <w:basedOn w:val="style0"/>
    <w:next w:val="style28"/>
    <w:pPr/>
    <w:rPr>
      <w:rFonts w:ascii="Tahoma" w:hAnsi="Tahoma"/>
      <w:sz w:val="16"/>
      <w:szCs w:val="16"/>
    </w:rPr>
  </w:style>
  <w:style w:styleId="style29" w:type="paragraph">
    <w:name w:val="annotation text"/>
    <w:basedOn w:val="style0"/>
    <w:next w:val="style29"/>
    <w:pPr/>
    <w:rPr/>
  </w:style>
  <w:style w:styleId="style30" w:type="paragraph">
    <w:name w:val="annotation subject"/>
    <w:basedOn w:val="style29"/>
    <w:next w:val="style30"/>
    <w:pPr/>
    <w:rPr>
      <w:b/>
      <w:bCs/>
    </w:rPr>
  </w:style>
  <w:style w:styleId="style31" w:type="paragraph">
    <w:name w:val="Table Contents"/>
    <w:basedOn w:val="style0"/>
    <w:next w:val="style31"/>
    <w:pPr>
      <w:suppressLineNumbers/>
    </w:pPr>
    <w:rPr/>
  </w:style>
  <w:style w:styleId="style32" w:type="paragraph">
    <w:name w:val="Table Heading"/>
    <w:basedOn w:val="style31"/>
    <w:next w:val="style32"/>
    <w:pPr>
      <w:jc w:val="center"/>
    </w:pPr>
    <w:rPr>
      <w:b/>
      <w:bCs/>
    </w:rPr>
  </w:style>
  <w:style w:styleId="style33" w:type="paragraph">
    <w:name w:val="Text Body Indent"/>
    <w:basedOn w:val="style23"/>
    <w:next w:val="style33"/>
    <w:pPr>
      <w:ind w:hanging="0" w:left="283" w:right="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iupac.pole-ether.fr/" TargetMode="External"/><Relationship Id="rId3" Type="http://schemas.openxmlformats.org/officeDocument/2006/relationships/hyperlink" Target="http://iupac.pole-ether.fr/" TargetMode="External"/><Relationship Id="rId4" Type="http://schemas.openxmlformats.org/officeDocument/2006/relationships/hyperlink" Target="http://iupac.pole-ether.fr/" TargetMode="External"/><Relationship Id="rId5" Type="http://schemas.openxmlformats.org/officeDocument/2006/relationships/image" Target="media/image6.wmf"/><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2014-06-10T21:55:00.00Z</dcterms:created>
  <dc:creator>idreger</dc:creator>
  <cp:lastModifiedBy>Wallington, Timothy (T.J.)</cp:lastModifiedBy>
  <cp:lastPrinted>2004-06-28T20:06:00.00Z</cp:lastPrinted>
  <dcterms:modified xsi:type="dcterms:W3CDTF">2014-06-10T21:55:00.00Z</dcterms:modified>
  <cp:revision>2</cp:revision>
  <dc:title>IUPAC Task Group on Atmospheric Chemical Kinetic Data Evaluation – Data Sheet IV.A2.98 oClOx24</dc:title>
</cp:coreProperties>
</file>