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ind w:hanging="0" w:left="206" w:right="346"/>
      </w:pPr>
      <w:r>
        <w:rPr>
          <w:b/>
          <w:bCs/>
          <w:sz w:val="24"/>
          <w:szCs w:val="24"/>
        </w:rPr>
        <w:t>Task Group on Atmospheric Chemical Kinetic Data Evaluation – Data Sheet oClOx22</w:t>
      </w:r>
    </w:p>
    <w:p>
      <w:pPr>
        <w:pStyle w:val="style0"/>
        <w:ind w:hanging="0" w:left="250" w:right="618"/>
        <w:jc w:val="both"/>
      </w:pPr>
      <w:r>
        <w:rPr>
          <w:sz w:val="24"/>
          <w:szCs w:val="24"/>
        </w:rPr>
        <w:t xml:space="preserve">Website: </w:t>
      </w:r>
      <w:hyperlink r:id="rId2">
        <w:r>
          <w:rPr>
            <w:rStyle w:val="style18"/>
            <w:sz w:val="24"/>
            <w:szCs w:val="24"/>
          </w:rPr>
          <w:t>http://iupac.pole-ether.fr</w:t>
        </w:r>
      </w:hyperlink>
      <w:r>
        <w:rPr>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spacing w:val="-3"/>
          <w:sz w:val="24"/>
          <w:szCs w:val="24"/>
          <w:lang w:val="en-US"/>
        </w:rPr>
        <w:t xml:space="preserve">Atkinson, R., Baulch, D. L., Cox, R. A., Crowley, J. N., Hampson, R. F., Hynes, R. G., Jenkin, M. E., Rossi, M. J., Troe, J., and Wallington, T. J.: Atmos. Chem. Phys., 8, 4141, 2008; IUPAC Task Group Atmospheric Chemical Kinetic Data Evaluation, </w:t>
      </w:r>
      <w:hyperlink r:id="rId3">
        <w:r>
          <w:rPr>
            <w:rStyle w:val="style18"/>
            <w:sz w:val="24"/>
            <w:szCs w:val="24"/>
          </w:rPr>
          <w:t>http://iupac.pole-ether.fr</w:t>
        </w:r>
      </w:hyperlink>
      <w:r>
        <w:rPr>
          <w:sz w:val="24"/>
          <w:szCs w:val="24"/>
        </w:rPr>
        <w:t xml:space="preserve">. </w:t>
      </w:r>
    </w:p>
    <w:p>
      <w:pPr>
        <w:pStyle w:val="style0"/>
        <w:ind w:hanging="0" w:left="250" w:right="401"/>
        <w:jc w:val="both"/>
      </w:pPr>
      <w:r>
        <w:rPr>
          <w:sz w:val="24"/>
          <w:szCs w:val="24"/>
        </w:rPr>
        <w:t>This data sheet last evaluated: June 2014; last change in preferred values: December 2007.</w:t>
      </w:r>
    </w:p>
    <w:p>
      <w:pPr>
        <w:pStyle w:val="style0"/>
        <w:jc w:val="center"/>
      </w:pPr>
      <w:r>
        <w:rPr>
          <w:b/>
          <w:color w:val="000000"/>
        </w:rPr>
        <w:pict>
          <v:line from="-49.75pt,11.4pt" id="shape_0" style="position:absolute" to="545.4pt,11.4pt">
            <v:stroke color="black" endcap="flat" joinstyle="miter" weight="9360"/>
            <v:fill detectmouseclick="t"/>
          </v:line>
        </w:pict>
      </w:r>
    </w:p>
    <w:p>
      <w:pPr>
        <w:pStyle w:val="style0"/>
        <w:tabs>
          <w:tab w:leader="none" w:pos="4680" w:val="center"/>
        </w:tabs>
        <w:spacing w:line="240" w:lineRule="atLeast"/>
        <w:jc w:val="center"/>
      </w:pPr>
      <w:r>
        <w:rPr/>
      </w:r>
    </w:p>
    <w:p>
      <w:pPr>
        <w:pStyle w:val="style0"/>
        <w:tabs>
          <w:tab w:leader="none" w:pos="4680" w:val="center"/>
        </w:tabs>
        <w:spacing w:line="240" w:lineRule="atLeast"/>
        <w:jc w:val="center"/>
      </w:pPr>
      <w:r>
        <w:rPr>
          <w:b/>
          <w:spacing w:val="-3"/>
          <w:sz w:val="24"/>
          <w:lang w:val="en-US"/>
        </w:rPr>
        <w:t>Cl + CHFCl</w:t>
      </w:r>
      <w:r>
        <w:rPr>
          <w:b/>
          <w:spacing w:val="-3"/>
          <w:sz w:val="24"/>
          <w:vertAlign w:val="subscript"/>
          <w:lang w:val="en-US"/>
        </w:rPr>
        <w:t>2</w:t>
      </w:r>
      <w:r>
        <w:rPr>
          <w:b/>
          <w:spacing w:val="-3"/>
          <w:sz w:val="24"/>
          <w:lang w:val="en-US"/>
        </w:rPr>
        <w:t xml:space="preserve"> (HCFC-21) </w:t>
      </w:r>
      <w:r>
        <w:rPr>
          <w:rFonts w:ascii="Symbol" w:hAnsi="Symbol"/>
          <w:b/>
          <w:spacing w:val="-3"/>
          <w:sz w:val="24"/>
          <w:lang w:val="en-US"/>
        </w:rPr>
        <w:t></w:t>
      </w:r>
      <w:r>
        <w:rPr>
          <w:b/>
          <w:spacing w:val="-3"/>
          <w:sz w:val="24"/>
          <w:lang w:val="en-US"/>
        </w:rPr>
        <w:t xml:space="preserve"> HCl + CFCl</w:t>
      </w:r>
      <w:r>
        <w:rPr>
          <w:b/>
          <w:spacing w:val="-3"/>
          <w:sz w:val="24"/>
          <w:vertAlign w:val="subscript"/>
          <w:lang w:val="en-US"/>
        </w:rPr>
        <w:t>2</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664" w:val="left"/>
          <w:tab w:leader="none" w:pos="952" w:val="left"/>
          <w:tab w:leader="none" w:pos="1384" w:val="left"/>
        </w:tabs>
        <w:spacing w:line="240" w:lineRule="atLeast"/>
        <w:ind w:hanging="0" w:left="664" w:right="0"/>
        <w:jc w:val="both"/>
      </w:pPr>
      <w:r>
        <w:rPr>
          <w:rFonts w:ascii="Symbol" w:hAnsi="Symbol"/>
          <w:spacing w:val="-3"/>
          <w:sz w:val="24"/>
          <w:lang w:val="en-US"/>
        </w:rPr>
        <w:t></w:t>
      </w:r>
      <w:r>
        <w:rPr>
          <w:i/>
          <w:iCs/>
          <w:spacing w:val="-3"/>
          <w:sz w:val="24"/>
          <w:lang w:val="en-US"/>
        </w:rPr>
        <w:t>H</w:t>
      </w:r>
      <w:r>
        <w:rPr>
          <w:rFonts w:ascii="Symbol" w:hAnsi="Symbol"/>
          <w:spacing w:val="-3"/>
          <w:sz w:val="24"/>
          <w:lang w:val="en-US"/>
        </w:rPr>
        <w:t></w:t>
      </w:r>
      <w:r>
        <w:rPr>
          <w:spacing w:val="-3"/>
          <w:sz w:val="24"/>
          <w:lang w:val="en-US"/>
        </w:rPr>
        <w:t xml:space="preserve"> = -17.8 kJ mol</w:t>
      </w:r>
      <w:r>
        <w:rPr>
          <w:spacing w:val="-3"/>
          <w:sz w:val="24"/>
          <w:vertAlign w:val="superscript"/>
          <w:lang w:val="en-US"/>
        </w:rPr>
        <w:t>-1</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1"/>
        <w:numPr>
          <w:ilvl w:val="0"/>
          <w:numId w:val="1"/>
        </w:numPr>
      </w:pPr>
      <w:r>
        <w:rPr/>
        <w:t>Rate coefficient data</w:t>
      </w:r>
    </w:p>
    <w:p>
      <w:pPr>
        <w:pStyle w:val="style0"/>
        <w:tabs>
          <w:tab w:leader="none" w:pos="0" w:val="left"/>
          <w:tab w:leader="none" w:pos="288" w:val="left"/>
          <w:tab w:leader="none" w:pos="720" w:val="left"/>
        </w:tabs>
        <w:spacing w:line="240" w:lineRule="atLeast"/>
        <w:jc w:val="both"/>
      </w:pPr>
      <w:r>
        <w:rPr>
          <w:spacing w:val="-3"/>
          <w:sz w:val="24"/>
          <w:lang w:val="en-US"/>
        </w:rPr>
      </w:r>
    </w:p>
    <w:tbl>
      <w:tblPr>
        <w:jc w:val="left"/>
        <w:tblInd w:type="dxa" w:w="771"/>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2848"/>
        <w:gridCol w:w="1078"/>
        <w:gridCol w:w="2726"/>
        <w:gridCol w:w="2035"/>
      </w:tblGrid>
      <w:tr>
        <w:trPr>
          <w:cantSplit w:val="false"/>
        </w:trPr>
        <w:tc>
          <w:tcPr>
            <w:tcW w:type="dxa" w:w="2848"/>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i/>
                <w:spacing w:val="-2"/>
                <w:lang w:val="en-US"/>
              </w:rPr>
              <w:t>k</w:t>
            </w:r>
            <w:r>
              <w:rPr>
                <w:spacing w:val="-2"/>
                <w:lang w:val="en-US"/>
              </w:rPr>
              <w:t>/cm</w:t>
            </w:r>
            <w:r>
              <w:rPr>
                <w:spacing w:val="-2"/>
                <w:vertAlign w:val="superscript"/>
                <w:lang w:val="en-US"/>
              </w:rPr>
              <w:t>3</w:t>
            </w:r>
            <w:r>
              <w:rPr>
                <w:spacing w:val="-2"/>
                <w:lang w:val="en-US"/>
              </w:rPr>
              <w:t xml:space="preserve"> molecule</w:t>
            </w:r>
            <w:r>
              <w:rPr>
                <w:spacing w:val="-2"/>
                <w:vertAlign w:val="superscript"/>
                <w:lang w:val="en-US"/>
              </w:rPr>
              <w:t>-1</w:t>
            </w:r>
            <w:r>
              <w:rPr>
                <w:spacing w:val="-2"/>
                <w:lang w:val="en-US"/>
              </w:rPr>
              <w:t xml:space="preserve"> s</w:t>
            </w:r>
            <w:r>
              <w:rPr>
                <w:spacing w:val="-2"/>
                <w:vertAlign w:val="superscript"/>
                <w:lang w:val="en-US"/>
              </w:rPr>
              <w:t>-1</w:t>
            </w:r>
            <w:r>
              <w:rPr>
                <w:spacing w:val="-2"/>
                <w:lang w:val="en-US"/>
              </w:rPr>
              <w:t xml:space="preserve"> </w:t>
            </w:r>
          </w:p>
        </w:tc>
        <w:tc>
          <w:tcPr>
            <w:tcW w:type="dxa" w:w="1078"/>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Temp./K</w:t>
            </w:r>
          </w:p>
        </w:tc>
        <w:tc>
          <w:tcPr>
            <w:tcW w:type="dxa" w:w="2726"/>
            <w:tcBorders>
              <w:top w:color="000001" w:space="0" w:sz="2" w:val="double"/>
              <w:left w:val="none"/>
              <w:bottom w:color="000001" w:space="0" w:sz="4" w:val="single"/>
              <w:right w:val="none"/>
            </w:tcBorders>
            <w:shd w:fill="FFFFFF" w:val="clear"/>
          </w:tcPr>
          <w:p>
            <w:pPr>
              <w:pStyle w:val="style2"/>
              <w:numPr>
                <w:ilvl w:val="1"/>
                <w:numId w:val="1"/>
              </w:numPr>
              <w:spacing w:after="120" w:before="120"/>
              <w:contextualSpacing w:val="false"/>
            </w:pPr>
            <w:r>
              <w:rPr>
                <w:sz w:val="20"/>
              </w:rPr>
              <w:t>Reference</w:t>
            </w:r>
          </w:p>
        </w:tc>
        <w:tc>
          <w:tcPr>
            <w:tcW w:type="dxa" w:w="2035"/>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Technique/Comments</w:t>
            </w:r>
          </w:p>
        </w:tc>
      </w:tr>
      <w:tr>
        <w:trPr>
          <w:cantSplit w:val="false"/>
        </w:trPr>
        <w:tc>
          <w:tcPr>
            <w:tcW w:type="dxa" w:w="2848"/>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i/>
                <w:spacing w:val="-2"/>
                <w:lang w:val="en-US"/>
              </w:rPr>
              <w:t>Absolute Rate Coefficients</w:t>
            </w:r>
          </w:p>
        </w:tc>
        <w:tc>
          <w:tcPr>
            <w:tcW w:type="dxa" w:w="1078"/>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726"/>
            <w:tcBorders>
              <w:top w:color="000001" w:space="0" w:sz="4" w:val="singl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35"/>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r>
      <w:tr>
        <w:trPr>
          <w:cantSplit w:val="false"/>
        </w:trPr>
        <w:tc>
          <w:tcPr>
            <w:tcW w:type="dxa" w:w="2848"/>
            <w:tcBorders>
              <w:top w:val="none"/>
              <w:left w:val="none"/>
              <w:bottom w:val="none"/>
              <w:right w:val="none"/>
            </w:tcBorders>
            <w:shd w:fill="FFFFFF" w:val="clear"/>
          </w:tcPr>
          <w:p>
            <w:pPr>
              <w:pStyle w:val="style0"/>
              <w:spacing w:line="263" w:lineRule="atLeast"/>
              <w:jc w:val="both"/>
            </w:pPr>
            <w:r>
              <w:rPr>
                <w:spacing w:val="-2"/>
                <w:lang w:val="en-US"/>
              </w:rPr>
              <w:t>5.2 x 10</w:t>
            </w:r>
            <w:r>
              <w:rPr>
                <w:spacing w:val="-2"/>
                <w:vertAlign w:val="superscript"/>
                <w:lang w:val="en-US"/>
              </w:rPr>
              <w:t>-12</w:t>
            </w:r>
            <w:r>
              <w:rPr>
                <w:spacing w:val="-2"/>
                <w:lang w:val="en-US"/>
              </w:rPr>
              <w:t xml:space="preserve"> exp[-(1675 </w:t>
            </w:r>
            <w:r>
              <w:rPr>
                <w:rFonts w:ascii="Symbol" w:hAnsi="Symbol"/>
                <w:spacing w:val="-2"/>
                <w:lang w:val="en-US"/>
              </w:rPr>
              <w:t></w:t>
            </w:r>
            <w:r>
              <w:rPr>
                <w:spacing w:val="-2"/>
                <w:lang w:val="en-US"/>
              </w:rPr>
              <w:t xml:space="preserve"> 60)/</w:t>
            </w:r>
            <w:r>
              <w:rPr>
                <w:i/>
                <w:spacing w:val="-2"/>
                <w:lang w:val="en-US"/>
              </w:rPr>
              <w:t>T</w:t>
            </w:r>
            <w:r>
              <w:rPr>
                <w:spacing w:val="-2"/>
                <w:lang w:val="en-US"/>
              </w:rPr>
              <w:t>]</w:t>
            </w:r>
          </w:p>
        </w:tc>
        <w:tc>
          <w:tcPr>
            <w:tcW w:type="dxa" w:w="1078"/>
            <w:tcBorders>
              <w:top w:val="none"/>
              <w:left w:val="none"/>
              <w:bottom w:val="none"/>
              <w:right w:val="none"/>
            </w:tcBorders>
            <w:shd w:fill="FFFFFF" w:val="clear"/>
          </w:tcPr>
          <w:p>
            <w:pPr>
              <w:pStyle w:val="style0"/>
              <w:spacing w:line="263" w:lineRule="atLeast"/>
              <w:jc w:val="both"/>
            </w:pPr>
            <w:r>
              <w:rPr>
                <w:spacing w:val="-2"/>
                <w:lang w:val="en-US"/>
              </w:rPr>
              <w:t>298-430</w:t>
            </w:r>
          </w:p>
        </w:tc>
        <w:tc>
          <w:tcPr>
            <w:tcW w:type="dxa" w:w="2726"/>
            <w:tcBorders>
              <w:top w:val="none"/>
              <w:left w:val="none"/>
              <w:bottom w:val="none"/>
              <w:right w:val="none"/>
            </w:tcBorders>
            <w:shd w:fill="FFFFFF" w:val="clear"/>
          </w:tcPr>
          <w:p>
            <w:pPr>
              <w:pStyle w:val="style0"/>
              <w:spacing w:line="263" w:lineRule="atLeast"/>
              <w:jc w:val="both"/>
            </w:pPr>
            <w:r>
              <w:rPr>
                <w:spacing w:val="-2"/>
                <w:lang w:val="en-US"/>
              </w:rPr>
              <w:t>Talhaoui et al., 1996</w:t>
            </w:r>
          </w:p>
        </w:tc>
        <w:tc>
          <w:tcPr>
            <w:tcW w:type="dxa" w:w="2035"/>
            <w:tcBorders>
              <w:top w:val="none"/>
              <w:left w:val="none"/>
              <w:bottom w:val="none"/>
              <w:right w:val="none"/>
            </w:tcBorders>
            <w:shd w:fill="FFFFFF" w:val="clear"/>
          </w:tcPr>
          <w:p>
            <w:pPr>
              <w:pStyle w:val="style0"/>
              <w:spacing w:line="263" w:lineRule="atLeast"/>
              <w:jc w:val="center"/>
            </w:pPr>
            <w:r>
              <w:rPr>
                <w:spacing w:val="-2"/>
                <w:lang w:val="en-US"/>
              </w:rPr>
              <w:t>DF-MS</w:t>
            </w:r>
          </w:p>
        </w:tc>
      </w:tr>
      <w:tr>
        <w:trPr>
          <w:cantSplit w:val="false"/>
        </w:trPr>
        <w:tc>
          <w:tcPr>
            <w:tcW w:type="dxa" w:w="2848"/>
            <w:tcBorders>
              <w:top w:val="none"/>
              <w:left w:val="none"/>
              <w:bottom w:val="none"/>
              <w:right w:val="none"/>
            </w:tcBorders>
            <w:shd w:fill="FFFFFF" w:val="clear"/>
          </w:tcPr>
          <w:p>
            <w:pPr>
              <w:pStyle w:val="style0"/>
              <w:spacing w:line="263" w:lineRule="atLeast"/>
              <w:jc w:val="both"/>
            </w:pPr>
            <w:r>
              <w:rPr>
                <w:spacing w:val="-2"/>
                <w:lang w:val="en-US"/>
              </w:rPr>
              <w:t xml:space="preserve">(1.9 </w:t>
            </w:r>
            <w:r>
              <w:rPr>
                <w:rFonts w:ascii="Symbol" w:hAnsi="Symbol"/>
                <w:spacing w:val="-2"/>
                <w:lang w:val="en-US"/>
              </w:rPr>
              <w:t></w:t>
            </w:r>
            <w:r>
              <w:rPr>
                <w:spacing w:val="-2"/>
                <w:lang w:val="en-US"/>
              </w:rPr>
              <w:t xml:space="preserve"> 0.3) x 10</w:t>
            </w:r>
            <w:r>
              <w:rPr>
                <w:spacing w:val="-2"/>
                <w:vertAlign w:val="superscript"/>
                <w:lang w:val="en-US"/>
              </w:rPr>
              <w:t>-14</w:t>
            </w:r>
          </w:p>
        </w:tc>
        <w:tc>
          <w:tcPr>
            <w:tcW w:type="dxa" w:w="1078"/>
            <w:tcBorders>
              <w:top w:val="none"/>
              <w:left w:val="none"/>
              <w:bottom w:val="none"/>
              <w:right w:val="none"/>
            </w:tcBorders>
            <w:shd w:fill="FFFFFF" w:val="clear"/>
          </w:tcPr>
          <w:p>
            <w:pPr>
              <w:pStyle w:val="style0"/>
              <w:spacing w:line="263" w:lineRule="atLeast"/>
              <w:jc w:val="both"/>
            </w:pPr>
            <w:r>
              <w:rPr>
                <w:spacing w:val="-2"/>
                <w:lang w:val="en-US"/>
              </w:rPr>
              <w:t>296</w:t>
            </w:r>
          </w:p>
        </w:tc>
        <w:tc>
          <w:tcPr>
            <w:tcW w:type="dxa" w:w="2726"/>
            <w:tcBorders>
              <w:top w:val="none"/>
              <w:left w:val="none"/>
              <w:bottom w:val="none"/>
              <w:right w:val="none"/>
            </w:tcBorders>
            <w:shd w:fill="FFFFFF" w:val="clear"/>
          </w:tcPr>
          <w:p>
            <w:pPr>
              <w:pStyle w:val="style0"/>
              <w:spacing w:line="263" w:lineRule="atLeast"/>
              <w:jc w:val="both"/>
            </w:pPr>
            <w:r>
              <w:rPr>
                <w:spacing w:val="-2"/>
                <w:lang w:val="en-US"/>
              </w:rPr>
            </w:r>
          </w:p>
        </w:tc>
        <w:tc>
          <w:tcPr>
            <w:tcW w:type="dxa" w:w="2035"/>
            <w:tcBorders>
              <w:top w:val="none"/>
              <w:left w:val="none"/>
              <w:bottom w:val="none"/>
              <w:right w:val="none"/>
            </w:tcBorders>
            <w:shd w:fill="FFFFFF" w:val="clear"/>
          </w:tcPr>
          <w:p>
            <w:pPr>
              <w:pStyle w:val="style0"/>
              <w:spacing w:line="263" w:lineRule="atLeast"/>
              <w:jc w:val="both"/>
            </w:pPr>
            <w:r>
              <w:rPr>
                <w:spacing w:val="-2"/>
                <w:lang w:val="en-US"/>
              </w:rPr>
            </w:r>
          </w:p>
        </w:tc>
      </w:tr>
      <w:tr>
        <w:trPr>
          <w:cantSplit w:val="false"/>
        </w:trPr>
        <w:tc>
          <w:tcPr>
            <w:tcW w:type="dxa" w:w="2848"/>
            <w:tcBorders>
              <w:top w:val="none"/>
              <w:left w:val="none"/>
              <w:bottom w:val="none"/>
              <w:right w:val="none"/>
            </w:tcBorders>
            <w:shd w:fill="FFFFFF" w:val="clear"/>
          </w:tcPr>
          <w:p>
            <w:pPr>
              <w:pStyle w:val="style0"/>
              <w:spacing w:after="0" w:before="120" w:line="264" w:lineRule="auto"/>
              <w:contextualSpacing w:val="false"/>
              <w:jc w:val="both"/>
            </w:pPr>
            <w:r>
              <w:rPr>
                <w:i/>
                <w:spacing w:val="-2"/>
                <w:lang w:val="en-US"/>
              </w:rPr>
              <w:t>Relative Rate Coefficients</w:t>
            </w:r>
          </w:p>
        </w:tc>
        <w:tc>
          <w:tcPr>
            <w:tcW w:type="dxa" w:w="1078"/>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726"/>
            <w:tcBorders>
              <w:top w:val="non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35"/>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r>
      <w:tr>
        <w:trPr>
          <w:cantSplit w:val="false"/>
        </w:trPr>
        <w:tc>
          <w:tcPr>
            <w:tcW w:type="dxa" w:w="2848"/>
            <w:tcBorders>
              <w:top w:val="none"/>
              <w:left w:val="none"/>
              <w:bottom w:val="none"/>
              <w:right w:val="none"/>
            </w:tcBorders>
            <w:shd w:fill="FFFFFF" w:val="clear"/>
          </w:tcPr>
          <w:p>
            <w:pPr>
              <w:pStyle w:val="style0"/>
              <w:spacing w:line="263" w:lineRule="atLeast"/>
              <w:jc w:val="both"/>
            </w:pPr>
            <w:r>
              <w:rPr>
                <w:spacing w:val="-2"/>
                <w:lang w:val="en-US"/>
              </w:rPr>
              <w:t xml:space="preserve">(1.0 </w:t>
            </w:r>
            <w:r>
              <w:rPr>
                <w:rFonts w:ascii="Symbol" w:hAnsi="Symbol"/>
                <w:spacing w:val="-2"/>
                <w:lang w:val="en-US"/>
              </w:rPr>
              <w:t></w:t>
            </w:r>
            <w:r>
              <w:rPr>
                <w:spacing w:val="-2"/>
                <w:lang w:val="en-US"/>
              </w:rPr>
              <w:t xml:space="preserve"> 0.2) x 10</w:t>
            </w:r>
            <w:r>
              <w:rPr>
                <w:spacing w:val="-2"/>
                <w:vertAlign w:val="superscript"/>
                <w:lang w:val="en-US"/>
              </w:rPr>
              <w:t>-14</w:t>
            </w:r>
          </w:p>
        </w:tc>
        <w:tc>
          <w:tcPr>
            <w:tcW w:type="dxa" w:w="1078"/>
            <w:tcBorders>
              <w:top w:val="none"/>
              <w:left w:val="none"/>
              <w:bottom w:val="none"/>
              <w:right w:val="none"/>
            </w:tcBorders>
            <w:shd w:fill="FFFFFF" w:val="clear"/>
          </w:tcPr>
          <w:p>
            <w:pPr>
              <w:pStyle w:val="style0"/>
              <w:spacing w:line="263" w:lineRule="atLeast"/>
              <w:jc w:val="both"/>
            </w:pPr>
            <w:r>
              <w:rPr>
                <w:spacing w:val="-2"/>
                <w:lang w:val="en-US"/>
              </w:rPr>
              <w:t>294</w:t>
            </w:r>
          </w:p>
        </w:tc>
        <w:tc>
          <w:tcPr>
            <w:tcW w:type="dxa" w:w="2726"/>
            <w:tcBorders>
              <w:top w:val="none"/>
              <w:left w:val="none"/>
              <w:bottom w:val="none"/>
              <w:right w:val="none"/>
            </w:tcBorders>
            <w:shd w:fill="FFFFFF" w:val="clear"/>
          </w:tcPr>
          <w:p>
            <w:pPr>
              <w:pStyle w:val="style0"/>
              <w:spacing w:line="263" w:lineRule="atLeast"/>
              <w:jc w:val="both"/>
            </w:pPr>
            <w:r>
              <w:rPr>
                <w:spacing w:val="-2"/>
                <w:lang w:val="en-US"/>
              </w:rPr>
              <w:t>Glavas and Heicklen, 1985</w:t>
            </w:r>
          </w:p>
        </w:tc>
        <w:tc>
          <w:tcPr>
            <w:tcW w:type="dxa" w:w="2035"/>
            <w:tcBorders>
              <w:top w:val="none"/>
              <w:left w:val="none"/>
              <w:bottom w:val="none"/>
              <w:right w:val="none"/>
            </w:tcBorders>
            <w:shd w:fill="FFFFFF" w:val="clear"/>
          </w:tcPr>
          <w:p>
            <w:pPr>
              <w:pStyle w:val="style0"/>
              <w:spacing w:line="263" w:lineRule="atLeast"/>
              <w:jc w:val="center"/>
            </w:pPr>
            <w:r>
              <w:rPr>
                <w:spacing w:val="-2"/>
                <w:lang w:val="en-US"/>
              </w:rPr>
              <w:t>RR (a)</w:t>
            </w:r>
          </w:p>
        </w:tc>
      </w:tr>
      <w:tr>
        <w:trPr>
          <w:cantSplit w:val="false"/>
        </w:trPr>
        <w:tc>
          <w:tcPr>
            <w:tcW w:type="dxa" w:w="2848"/>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 xml:space="preserve">(2.1 </w:t>
            </w:r>
            <w:r>
              <w:rPr>
                <w:rFonts w:ascii="Symbol" w:hAnsi="Symbol"/>
                <w:spacing w:val="-2"/>
                <w:lang w:val="en-US"/>
              </w:rPr>
              <w:t></w:t>
            </w:r>
            <w:r>
              <w:rPr>
                <w:spacing w:val="-2"/>
                <w:lang w:val="en-US"/>
              </w:rPr>
              <w:t xml:space="preserve"> 0.4) x 10</w:t>
            </w:r>
            <w:r>
              <w:rPr>
                <w:spacing w:val="-2"/>
                <w:vertAlign w:val="superscript"/>
                <w:lang w:val="en-US"/>
              </w:rPr>
              <w:t>-14</w:t>
            </w:r>
          </w:p>
        </w:tc>
        <w:tc>
          <w:tcPr>
            <w:tcW w:type="dxa" w:w="1078"/>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298</w:t>
            </w:r>
          </w:p>
        </w:tc>
        <w:tc>
          <w:tcPr>
            <w:tcW w:type="dxa" w:w="2726"/>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Tuazon et al., 1992</w:t>
            </w:r>
          </w:p>
        </w:tc>
        <w:tc>
          <w:tcPr>
            <w:tcW w:type="dxa" w:w="2035"/>
            <w:tcBorders>
              <w:top w:val="none"/>
              <w:left w:val="none"/>
              <w:bottom w:color="000001" w:space="0" w:sz="4" w:val="single"/>
              <w:right w:val="none"/>
            </w:tcBorders>
            <w:shd w:fill="FFFFFF" w:val="clear"/>
          </w:tcPr>
          <w:p>
            <w:pPr>
              <w:pStyle w:val="style0"/>
              <w:spacing w:after="120" w:before="0" w:line="264" w:lineRule="auto"/>
              <w:contextualSpacing w:val="false"/>
              <w:jc w:val="center"/>
            </w:pPr>
            <w:r>
              <w:rPr>
                <w:spacing w:val="-2"/>
                <w:lang w:val="en-US"/>
              </w:rPr>
              <w:t>RR (b)</w:t>
            </w:r>
          </w:p>
        </w:tc>
      </w:tr>
    </w:tbl>
    <w:p>
      <w:pPr>
        <w:pStyle w:val="style0"/>
        <w:tabs>
          <w:tab w:leader="none" w:pos="0" w:val="left"/>
          <w:tab w:leader="none" w:pos="128" w:val="left"/>
          <w:tab w:leader="none" w:pos="3570" w:val="left"/>
          <w:tab w:leader="none" w:pos="4866" w:val="left"/>
          <w:tab w:leader="none" w:pos="8394" w:val="left"/>
          <w:tab w:leader="none" w:pos="8811" w:val="left"/>
          <w:tab w:leader="none" w:pos="9360" w:val="left"/>
        </w:tabs>
        <w:spacing w:line="240" w:lineRule="atLeast"/>
        <w:jc w:val="both"/>
      </w:pPr>
      <w:r>
        <w:rPr/>
      </w:r>
    </w:p>
    <w:p>
      <w:pPr>
        <w:pStyle w:val="style0"/>
        <w:tabs>
          <w:tab w:leader="none" w:pos="4680" w:val="center"/>
        </w:tabs>
        <w:spacing w:line="240" w:lineRule="atLeast"/>
        <w:jc w:val="center"/>
      </w:pPr>
      <w:r>
        <w:rPr>
          <w:b/>
          <w:spacing w:val="-3"/>
          <w:sz w:val="24"/>
          <w:lang w:val="en-US"/>
        </w:rPr>
        <w:t>Comments</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44" w:val="left"/>
          <w:tab w:leader="none" w:pos="888" w:val="left"/>
          <w:tab w:leader="none" w:pos="1164" w:val="left"/>
        </w:tabs>
        <w:spacing w:line="240" w:lineRule="atLeast"/>
        <w:ind w:hanging="444" w:left="444" w:right="539"/>
        <w:jc w:val="both"/>
      </w:pPr>
      <w:r>
        <w:rPr>
          <w:spacing w:val="-3"/>
          <w:sz w:val="24"/>
          <w:lang w:val="en-US"/>
        </w:rPr>
        <w:t>(a)</w:t>
        <w:tab/>
        <w:t>Steady-state photolysis of Cl</w:t>
      </w:r>
      <w:r>
        <w:rPr>
          <w:spacing w:val="-3"/>
          <w:sz w:val="24"/>
          <w:vertAlign w:val="subscript"/>
          <w:lang w:val="en-US"/>
        </w:rPr>
        <w:t>2</w:t>
      </w:r>
      <w:r>
        <w:rPr>
          <w:spacing w:val="-3"/>
          <w:sz w:val="24"/>
          <w:lang w:val="en-US"/>
        </w:rPr>
        <w:t>-CHFCl</w:t>
      </w:r>
      <w:r>
        <w:rPr>
          <w:spacing w:val="-3"/>
          <w:sz w:val="24"/>
          <w:vertAlign w:val="subscript"/>
          <w:lang w:val="en-US"/>
        </w:rPr>
        <w:t>2</w:t>
      </w:r>
      <w:r>
        <w:rPr>
          <w:spacing w:val="-3"/>
          <w:sz w:val="24"/>
          <w:lang w:val="en-US"/>
        </w:rPr>
        <w:t>-O</w:t>
      </w:r>
      <w:r>
        <w:rPr>
          <w:spacing w:val="-3"/>
          <w:sz w:val="24"/>
          <w:vertAlign w:val="subscript"/>
          <w:lang w:val="en-US"/>
        </w:rPr>
        <w:t>2</w:t>
      </w:r>
      <w:r>
        <w:rPr>
          <w:spacing w:val="-3"/>
          <w:sz w:val="24"/>
          <w:lang w:val="en-US"/>
        </w:rPr>
        <w:t>-NO-NO</w:t>
      </w:r>
      <w:r>
        <w:rPr>
          <w:spacing w:val="-3"/>
          <w:sz w:val="24"/>
          <w:vertAlign w:val="subscript"/>
          <w:lang w:val="en-US"/>
        </w:rPr>
        <w:t>2</w:t>
      </w:r>
      <w:r>
        <w:rPr>
          <w:spacing w:val="-3"/>
          <w:sz w:val="24"/>
          <w:lang w:val="en-US"/>
        </w:rPr>
        <w:t>-N</w:t>
      </w:r>
      <w:r>
        <w:rPr>
          <w:spacing w:val="-3"/>
          <w:sz w:val="24"/>
          <w:vertAlign w:val="subscript"/>
          <w:lang w:val="en-US"/>
        </w:rPr>
        <w:t>2</w:t>
      </w:r>
      <w:r>
        <w:rPr>
          <w:spacing w:val="-3"/>
          <w:sz w:val="24"/>
          <w:lang w:val="en-US"/>
        </w:rPr>
        <w:t xml:space="preserve"> mixtures. The measured rate coefficient ratio is placed on absolute basis using a rate coefficient of </w:t>
      </w:r>
      <w:r>
        <w:rPr>
          <w:i/>
          <w:spacing w:val="-3"/>
          <w:sz w:val="24"/>
          <w:lang w:val="en-US"/>
        </w:rPr>
        <w:t>k</w:t>
      </w:r>
      <w:r>
        <w:rPr>
          <w:spacing w:val="-3"/>
          <w:sz w:val="24"/>
          <w:lang w:val="en-US"/>
        </w:rPr>
        <w:t>(Cl + NO + M) = 1.0 x 10</w:t>
      </w:r>
      <w:r>
        <w:rPr>
          <w:spacing w:val="-3"/>
          <w:sz w:val="24"/>
          <w:vertAlign w:val="superscript"/>
          <w:lang w:val="en-US"/>
        </w:rPr>
        <w:t>-31</w:t>
      </w:r>
      <w:r>
        <w:rPr>
          <w:spacing w:val="-3"/>
          <w:sz w:val="24"/>
          <w:lang w:val="en-US"/>
        </w:rPr>
        <w:t xml:space="preserve"> cm</w:t>
      </w:r>
      <w:r>
        <w:rPr>
          <w:spacing w:val="-3"/>
          <w:sz w:val="24"/>
          <w:vertAlign w:val="superscript"/>
          <w:lang w:val="en-US"/>
        </w:rPr>
        <w:t>6</w:t>
      </w:r>
      <w:r>
        <w:rPr>
          <w:spacing w:val="-3"/>
          <w:sz w:val="24"/>
          <w:lang w:val="en-US"/>
        </w:rPr>
        <w:t xml:space="preserve"> molecule</w:t>
      </w:r>
      <w:r>
        <w:rPr>
          <w:spacing w:val="-3"/>
          <w:sz w:val="24"/>
          <w:vertAlign w:val="superscript"/>
          <w:lang w:val="en-US"/>
        </w:rPr>
        <w:t>-2</w:t>
      </w:r>
      <w:r>
        <w:rPr>
          <w:spacing w:val="-3"/>
          <w:sz w:val="24"/>
          <w:lang w:val="en-US"/>
        </w:rPr>
        <w:t xml:space="preserve"> s</w:t>
      </w:r>
      <w:r>
        <w:rPr>
          <w:spacing w:val="-3"/>
          <w:sz w:val="24"/>
          <w:vertAlign w:val="superscript"/>
          <w:lang w:val="en-US"/>
        </w:rPr>
        <w:t>-1</w:t>
      </w:r>
      <w:r>
        <w:rPr>
          <w:spacing w:val="-3"/>
          <w:sz w:val="24"/>
          <w:lang w:val="en-US"/>
        </w:rPr>
        <w:t>.</w:t>
      </w:r>
    </w:p>
    <w:p>
      <w:pPr>
        <w:pStyle w:val="style0"/>
        <w:tabs>
          <w:tab w:leader="none" w:pos="444" w:val="left"/>
          <w:tab w:leader="none" w:pos="888" w:val="left"/>
          <w:tab w:leader="none" w:pos="1164" w:val="left"/>
        </w:tabs>
        <w:spacing w:line="240" w:lineRule="atLeast"/>
        <w:ind w:hanging="444" w:left="444" w:right="525"/>
        <w:jc w:val="both"/>
      </w:pPr>
      <w:r>
        <w:rPr>
          <w:spacing w:val="-3"/>
          <w:sz w:val="24"/>
          <w:lang w:val="en-US"/>
        </w:rPr>
        <w:t>(b)</w:t>
        <w:tab/>
        <w:t>Cl atoms were generated by the photolysis of Cl</w:t>
      </w:r>
      <w:r>
        <w:rPr>
          <w:spacing w:val="-3"/>
          <w:sz w:val="24"/>
          <w:vertAlign w:val="subscript"/>
          <w:lang w:val="en-US"/>
        </w:rPr>
        <w:t>2</w:t>
      </w:r>
      <w:r>
        <w:rPr>
          <w:spacing w:val="-3"/>
          <w:sz w:val="24"/>
          <w:lang w:val="en-US"/>
        </w:rPr>
        <w:t xml:space="preserve">.  The decays of the reactant and reference organic were measured by FTIR spectroscopy.  The measured rate coefficient was placed on absolute basis using a rate coefficient of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Preferred Values</w:t>
      </w:r>
    </w:p>
    <w:p>
      <w:pPr>
        <w:pStyle w:val="style0"/>
        <w:tabs>
          <w:tab w:leader="none" w:pos="0" w:val="left"/>
          <w:tab w:leader="none" w:pos="444" w:val="left"/>
          <w:tab w:leader="none" w:pos="720" w:val="left"/>
        </w:tabs>
        <w:spacing w:line="240" w:lineRule="atLeast"/>
        <w:jc w:val="both"/>
      </w:pPr>
      <w:r>
        <w:rPr>
          <w:spacing w:val="-3"/>
          <w:sz w:val="24"/>
          <w:lang w:val="en-US"/>
        </w:rPr>
      </w:r>
    </w:p>
    <w:tbl>
      <w:tblPr>
        <w:jc w:val="left"/>
        <w:tblInd w:type="dxa" w:w="799"/>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055"/>
        <w:gridCol w:w="3264"/>
        <w:gridCol w:w="2184"/>
      </w:tblGrid>
      <w:tr>
        <w:trPr>
          <w:cantSplit w:val="false"/>
        </w:trPr>
        <w:tc>
          <w:tcPr>
            <w:tcW w:type="dxa" w:w="3055"/>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Parameter</w:t>
            </w:r>
          </w:p>
        </w:tc>
        <w:tc>
          <w:tcPr>
            <w:tcW w:type="dxa" w:w="326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Value</w:t>
            </w:r>
          </w:p>
        </w:tc>
        <w:tc>
          <w:tcPr>
            <w:tcW w:type="dxa" w:w="218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lang w:val="en-US"/>
              </w:rPr>
              <w:t>T</w:t>
            </w:r>
            <w:r>
              <w:rPr>
                <w:b/>
                <w:spacing w:val="-3"/>
                <w:sz w:val="24"/>
                <w:lang w:val="en-US"/>
              </w:rPr>
              <w:t>/K</w:t>
            </w:r>
          </w:p>
        </w:tc>
      </w:tr>
      <w:tr>
        <w:trPr>
          <w:cantSplit w:val="false"/>
        </w:trPr>
        <w:tc>
          <w:tcPr>
            <w:tcW w:type="dxa" w:w="3055"/>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b/>
                <w:i/>
                <w:spacing w:val="-3"/>
                <w:sz w:val="24"/>
                <w:lang w:val="en-US"/>
              </w:rPr>
            </w:r>
          </w:p>
        </w:tc>
        <w:tc>
          <w:tcPr>
            <w:tcW w:type="dxa" w:w="326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spacing w:val="-3"/>
                <w:sz w:val="24"/>
                <w:lang w:val="en-US"/>
              </w:rPr>
            </w:r>
          </w:p>
        </w:tc>
        <w:tc>
          <w:tcPr>
            <w:tcW w:type="dxa" w:w="218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r>
        <w:trPr>
          <w:cantSplit w:val="false"/>
        </w:trPr>
        <w:tc>
          <w:tcPr>
            <w:tcW w:type="dxa" w:w="305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26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2.0 x 10</w:t>
            </w:r>
            <w:r>
              <w:rPr>
                <w:spacing w:val="-3"/>
                <w:sz w:val="24"/>
                <w:vertAlign w:val="superscript"/>
                <w:lang w:val="en-US"/>
              </w:rPr>
              <w:t>-14</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05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 xml:space="preserve">k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26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5.5 x 10</w:t>
            </w:r>
            <w:r>
              <w:rPr>
                <w:spacing w:val="-3"/>
                <w:sz w:val="24"/>
                <w:vertAlign w:val="superscript"/>
                <w:lang w:val="en-US"/>
              </w:rPr>
              <w:t>-12</w:t>
            </w:r>
            <w:r>
              <w:rPr>
                <w:spacing w:val="-3"/>
                <w:sz w:val="24"/>
                <w:lang w:val="en-US"/>
              </w:rPr>
              <w:t xml:space="preserve"> exp(-1675/</w:t>
            </w:r>
            <w:r>
              <w:rPr>
                <w:i/>
                <w:spacing w:val="-3"/>
                <w:sz w:val="24"/>
                <w:lang w:val="en-US"/>
              </w:rPr>
              <w:t>T</w:t>
            </w:r>
            <w:r>
              <w:rPr>
                <w:spacing w:val="-3"/>
                <w:sz w:val="24"/>
                <w:lang w:val="en-US"/>
              </w:rPr>
              <w:t>)</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290-430</w:t>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691" w:val="left"/>
          <w:tab w:leader="none" w:pos="1135" w:val="left"/>
          <w:tab w:leader="none" w:pos="1411" w:val="left"/>
        </w:tabs>
        <w:spacing w:line="240" w:lineRule="atLeast"/>
        <w:ind w:hanging="0" w:left="691" w:right="0"/>
        <w:jc w:val="both"/>
      </w:pPr>
      <w:r>
        <w:rPr>
          <w:i/>
          <w:spacing w:val="-3"/>
          <w:sz w:val="24"/>
          <w:lang w:val="en-US"/>
        </w:rPr>
        <w:t>Reliability</w:t>
      </w:r>
    </w:p>
    <w:tbl>
      <w:tblPr>
        <w:jc w:val="left"/>
        <w:tblInd w:type="dxa" w:w="799"/>
        <w:tblBorders>
          <w:top w:val="none"/>
          <w:left w:val="none"/>
          <w:bottom w:val="none"/>
          <w:insideH w:val="none"/>
          <w:right w:val="none"/>
          <w:insideV w:val="none"/>
        </w:tblBorders>
        <w:tblCellMar>
          <w:top w:type="dxa" w:w="0"/>
          <w:left w:type="dxa" w:w="108"/>
          <w:bottom w:type="dxa" w:w="0"/>
          <w:right w:type="dxa" w:w="108"/>
        </w:tblCellMar>
      </w:tblPr>
      <w:tblGrid>
        <w:gridCol w:w="3055"/>
        <w:gridCol w:w="3264"/>
        <w:gridCol w:w="2184"/>
      </w:tblGrid>
      <w:tr>
        <w:trPr>
          <w:cantSplit w:val="false"/>
        </w:trPr>
        <w:tc>
          <w:tcPr>
            <w:tcW w:type="dxa" w:w="305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log</w:t>
            </w:r>
            <w:r>
              <w:rPr>
                <w:i/>
                <w:spacing w:val="-3"/>
                <w:sz w:val="24"/>
                <w:lang w:val="en-US"/>
              </w:rPr>
              <w:t xml:space="preserve"> k</w:t>
            </w:r>
          </w:p>
        </w:tc>
        <w:tc>
          <w:tcPr>
            <w:tcW w:type="dxa" w:w="326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0.2</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055"/>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E/R</w:t>
            </w:r>
          </w:p>
        </w:tc>
        <w:tc>
          <w:tcPr>
            <w:tcW w:type="dxa" w:w="3264"/>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400</w:t>
            </w:r>
          </w:p>
        </w:tc>
        <w:tc>
          <w:tcPr>
            <w:tcW w:type="dxa" w:w="2184"/>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Comments on Preferred Values</w:t>
      </w:r>
    </w:p>
    <w:p>
      <w:pPr>
        <w:pStyle w:val="style0"/>
        <w:tabs>
          <w:tab w:leader="none" w:pos="346" w:val="left"/>
          <w:tab w:leader="none" w:pos="790" w:val="left"/>
          <w:tab w:leader="none" w:pos="1066" w:val="left"/>
        </w:tabs>
        <w:spacing w:line="240" w:lineRule="atLeast"/>
        <w:ind w:hanging="0" w:left="346" w:right="512"/>
        <w:jc w:val="both"/>
      </w:pPr>
      <w:r>
        <w:rPr>
          <w:spacing w:val="-3"/>
          <w:sz w:val="24"/>
          <w:lang w:val="en-US"/>
        </w:rPr>
        <w:t xml:space="preserve">The preferred value at 298 K is based on the absolute study of Talhaoui et al. (1996) and the relative rate study of Tuazon et al. (1992). These results are preferred over the earlier, less direct results of Glavas and Heicklen (1985). The recommended temperature dependence is based on the results of Talhaoui et al. (1996), with expanded error limits to reflect the fact that this is the only study of </w:t>
      </w:r>
      <w:r>
        <w:rPr>
          <w:i/>
          <w:spacing w:val="-3"/>
          <w:sz w:val="24"/>
          <w:lang w:val="en-US"/>
        </w:rPr>
        <w:t>k</w:t>
      </w:r>
      <w:r>
        <w:rPr>
          <w:spacing w:val="-3"/>
          <w:sz w:val="24"/>
          <w:lang w:val="en-US"/>
        </w:rPr>
        <w:t xml:space="preserve">(T). The A-factor has been adjusted to reproduce the recommended value of </w:t>
      </w:r>
      <w:r>
        <w:rPr>
          <w:i/>
          <w:spacing w:val="-3"/>
          <w:sz w:val="24"/>
          <w:lang w:val="en-US"/>
        </w:rPr>
        <w:t>k</w:t>
      </w:r>
      <w:r>
        <w:rPr>
          <w:spacing w:val="-3"/>
          <w:sz w:val="24"/>
          <w:lang w:val="en-US"/>
        </w:rPr>
        <w:t xml:space="preserve"> at 298 K.</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0" w:val="left"/>
          <w:tab w:leader="none" w:pos="444" w:val="left"/>
          <w:tab w:leader="none" w:pos="720" w:val="left"/>
        </w:tabs>
        <w:spacing w:line="240" w:lineRule="atLeast"/>
        <w:jc w:val="both"/>
      </w:pPr>
      <w:r>
        <w:rPr>
          <w:b/>
          <w:spacing w:val="-3"/>
          <w:sz w:val="24"/>
          <w:lang w:val="en-US"/>
        </w:rPr>
        <w:t>References</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widowControl/>
        <w:ind w:hanging="0" w:left="346" w:right="539"/>
      </w:pPr>
      <w:r>
        <w:rPr>
          <w:spacing w:val="-3"/>
          <w:sz w:val="24"/>
          <w:lang w:val="en-US"/>
        </w:rPr>
        <w:t>Atkinson, R., Baulch, D. L., Cox, R. A., Crowley, J. N., Hampson, R. F., Hynes, R. G., Jenkin, M. E., Rossi, M. J., and Troe, J.: Atmos. Chem. Phys., 6, 3625, 2006; IUPAC Task Group on Atmospheric Chemical Kinetic Data Evaluation</w:t>
      </w:r>
      <w:r>
        <w:rPr>
          <w:spacing w:val="-3"/>
          <w:sz w:val="24"/>
          <w:szCs w:val="24"/>
          <w:lang w:val="en-US"/>
        </w:rPr>
        <w:t xml:space="preserve">, </w:t>
      </w:r>
      <w:hyperlink r:id="rId4">
        <w:r>
          <w:rPr>
            <w:rStyle w:val="style18"/>
            <w:sz w:val="24"/>
            <w:szCs w:val="24"/>
          </w:rPr>
          <w:t>http://iupac.pole-ether.fr</w:t>
        </w:r>
      </w:hyperlink>
    </w:p>
    <w:p>
      <w:pPr>
        <w:pStyle w:val="style0"/>
        <w:tabs>
          <w:tab w:leader="none" w:pos="346" w:val="left"/>
          <w:tab w:leader="none" w:pos="634" w:val="left"/>
          <w:tab w:leader="none" w:pos="1066" w:val="left"/>
        </w:tabs>
        <w:spacing w:line="240" w:lineRule="atLeast"/>
        <w:ind w:hanging="0" w:left="346" w:right="539"/>
        <w:jc w:val="both"/>
      </w:pPr>
      <w:r>
        <w:rPr>
          <w:spacing w:val="-3"/>
          <w:sz w:val="24"/>
          <w:szCs w:val="24"/>
          <w:lang w:val="en-US"/>
        </w:rPr>
        <w:t>Glavas, S. and Heicklen, J.: J. Photochem., 31, 21, 1985.</w:t>
      </w:r>
    </w:p>
    <w:p>
      <w:pPr>
        <w:pStyle w:val="style0"/>
        <w:tabs>
          <w:tab w:leader="none" w:pos="706" w:val="left"/>
          <w:tab w:leader="none" w:pos="5026" w:val="center"/>
        </w:tabs>
        <w:spacing w:line="240" w:lineRule="atLeast"/>
        <w:ind w:hanging="0" w:left="346" w:right="539"/>
      </w:pPr>
      <w:r>
        <w:rPr>
          <w:spacing w:val="-3"/>
          <w:sz w:val="24"/>
          <w:szCs w:val="24"/>
          <w:lang w:val="en-US"/>
        </w:rPr>
        <w:t>Talhaoui, A., Louis, F., Meriaux, B., Devolder, P. and Sawerysyn</w:t>
      </w:r>
      <w:r>
        <w:rPr>
          <w:spacing w:val="-3"/>
          <w:sz w:val="24"/>
          <w:lang w:val="en-US"/>
        </w:rPr>
        <w:t>, J. P.: J. Phys. Chem., 100, 2107, 1996.</w:t>
      </w:r>
    </w:p>
    <w:p>
      <w:pPr>
        <w:pStyle w:val="style0"/>
        <w:tabs>
          <w:tab w:leader="none" w:pos="346" w:val="left"/>
          <w:tab w:leader="none" w:pos="634" w:val="left"/>
          <w:tab w:leader="none" w:pos="1066" w:val="left"/>
        </w:tabs>
        <w:spacing w:line="240" w:lineRule="atLeast"/>
        <w:ind w:hanging="0" w:left="346" w:right="539"/>
        <w:jc w:val="both"/>
      </w:pPr>
      <w:r>
        <w:rPr>
          <w:spacing w:val="-3"/>
          <w:sz w:val="24"/>
          <w:lang w:val="en-US"/>
        </w:rPr>
        <w:t>Tuazon, E. C., Atkinson, R. and Corchnoy, S. B.: Int. J. Chem. Kinet., 24, 639, 1992.</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1917" w:val="left"/>
        </w:tabs>
        <w:ind w:hanging="0" w:left="747" w:right="0"/>
      </w:pPr>
      <w:bookmarkStart w:id="0" w:name="_GoBack"/>
      <w:bookmarkEnd w:id="0"/>
      <w:r>
        <w:rPr/>
        <w:drawing>
          <wp:inline distB="0" distL="0" distR="0" distT="0">
            <wp:extent cx="5635625" cy="560959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5"/>
                    <a:srcRect/>
                    <a:stretch>
                      <a:fillRect/>
                    </a:stretch>
                  </pic:blipFill>
                  <pic:spPr bwMode="auto">
                    <a:xfrm>
                      <a:off x="0" y="0"/>
                      <a:ext cx="5635625" cy="5609590"/>
                    </a:xfrm>
                    <a:prstGeom prst="rect">
                      <a:avLst/>
                    </a:prstGeom>
                    <a:noFill/>
                    <a:ln w="9525">
                      <a:noFill/>
                      <a:miter lim="800000"/>
                      <a:headEnd/>
                      <a:tailEnd/>
                    </a:ln>
                  </pic:spPr>
                </pic:pic>
              </a:graphicData>
            </a:graphic>
          </wp:inline>
        </w:drawing>
      </w:r>
    </w:p>
    <w:p>
      <w:pPr>
        <w:pStyle w:val="style0"/>
      </w:pPr>
      <w:r>
        <w:rPr/>
      </w:r>
    </w:p>
    <w:sectPr>
      <w:type w:val="nextPage"/>
      <w:pgSz w:h="16838" w:w="11906"/>
      <w:pgMar w:bottom="965" w:footer="0" w:gutter="0" w:header="0" w:left="996" w:right="1143" w:top="965"/>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G Times">
    <w:charset w:val="80"/>
    <w:family w:val="roman"/>
    <w:pitch w:val="variable"/>
  </w:font>
  <w:font w:name="Tahoma">
    <w:charset w:val="80"/>
    <w:family w:val="roman"/>
    <w:pitch w:val="variable"/>
  </w:font>
  <w:font w:name="Liberation Sans">
    <w:altName w:val="Arial"/>
    <w:charset w:val="80"/>
    <w:family w:val="swiss"/>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auto"/>
      <w:sz w:val="20"/>
      <w:szCs w:val="20"/>
      <w:lang w:bidi="ar-SA" w:eastAsia="ar-SA" w:val="en-GB"/>
    </w:rPr>
  </w:style>
  <w:style w:styleId="style1" w:type="paragraph">
    <w:name w:val="Heading 1"/>
    <w:basedOn w:val="style0"/>
    <w:next w:val="style1"/>
    <w:pPr>
      <w:keepNext/>
      <w:tabs>
        <w:tab w:leader="none" w:pos="4680" w:val="center"/>
      </w:tabs>
      <w:spacing w:line="240" w:lineRule="atLeast"/>
      <w:jc w:val="center"/>
    </w:pPr>
    <w:rPr>
      <w:b/>
      <w:spacing w:val="-3"/>
      <w:sz w:val="24"/>
      <w:lang w:val="en-US"/>
    </w:rPr>
  </w:style>
  <w:style w:styleId="style2" w:type="paragraph">
    <w:name w:val="Heading 2"/>
    <w:basedOn w:val="style0"/>
    <w:next w:val="style2"/>
    <w:pPr>
      <w:keepNext/>
      <w:widowControl/>
      <w:spacing w:line="264" w:lineRule="auto"/>
    </w:pPr>
    <w:rPr>
      <w:spacing w:val="-2"/>
      <w:sz w:val="24"/>
      <w:lang w:val="en-US"/>
    </w:rPr>
  </w:style>
  <w:style w:styleId="style3" w:type="paragraph">
    <w:name w:val="Heading 3"/>
    <w:basedOn w:val="style0"/>
    <w:next w:val="style3"/>
    <w:pPr>
      <w:keepNext/>
      <w:widowControl/>
      <w:tabs>
        <w:tab w:leader="none" w:pos="4680" w:val="center"/>
      </w:tabs>
      <w:jc w:val="center"/>
    </w:pPr>
    <w:rPr>
      <w:rFonts w:ascii="CG Times" w:cs="Arial Unicode MS" w:eastAsia="Arial Unicode MS" w:hAnsi="CG Times"/>
      <w:b/>
      <w:color w:val="000000"/>
      <w:sz w:val="24"/>
      <w:lang w:val="en-US"/>
    </w:rPr>
  </w:style>
  <w:style w:styleId="style15" w:type="character">
    <w:name w:val="Default Paragraph Font"/>
    <w:next w:val="style15"/>
    <w:rPr/>
  </w:style>
  <w:style w:styleId="style16" w:type="character">
    <w:name w:val="Absatz-Standardschriftart"/>
    <w:next w:val="style16"/>
    <w:rPr/>
  </w:style>
  <w:style w:styleId="style17" w:type="character">
    <w:name w:val="WW8Num1z0"/>
    <w:next w:val="style17"/>
    <w:rPr>
      <w:strike w:val="false"/>
      <w:dstrike w:val="false"/>
      <w:vertAlign w:val="superscript"/>
    </w:rPr>
  </w:style>
  <w:style w:styleId="style18" w:type="character">
    <w:name w:val="Internet Link"/>
    <w:basedOn w:val="style15"/>
    <w:next w:val="style18"/>
    <w:rPr>
      <w:color w:val="0000FF"/>
      <w:u w:val="single"/>
      <w:lang w:bidi="zxx-" w:eastAsia="zxx-" w:val="zxx-"/>
    </w:rPr>
  </w:style>
  <w:style w:styleId="style19" w:type="character">
    <w:name w:val="Balloon Text Char"/>
    <w:basedOn w:val="style15"/>
    <w:next w:val="style19"/>
    <w:rPr>
      <w:rFonts w:ascii="Tahoma" w:cs="Tahoma" w:hAnsi="Tahoma"/>
      <w:sz w:val="16"/>
      <w:szCs w:val="16"/>
      <w:lang w:eastAsia="ar-SA" w:val="en-GB"/>
    </w:rPr>
  </w:style>
  <w:style w:styleId="style20" w:type="paragraph">
    <w:name w:val="Heading"/>
    <w:basedOn w:val="style0"/>
    <w:next w:val="style21"/>
    <w:pPr>
      <w:keepNext/>
      <w:spacing w:after="120" w:before="240"/>
      <w:contextualSpacing w:val="false"/>
    </w:pPr>
    <w:rPr>
      <w:rFonts w:ascii="Liberation Sans" w:cs="Lohit Devanagari" w:eastAsia="DejaVu Sans" w:hAnsi="Liberation Sans"/>
      <w:sz w:val="28"/>
      <w:szCs w:val="28"/>
    </w:rPr>
  </w:style>
  <w:style w:styleId="style21" w:type="paragraph">
    <w:name w:val="Text Body"/>
    <w:basedOn w:val="style0"/>
    <w:next w:val="style21"/>
    <w:pPr>
      <w:tabs>
        <w:tab w:leader="none" w:pos="720" w:val="left"/>
      </w:tabs>
      <w:spacing w:line="240" w:lineRule="atLeast"/>
      <w:jc w:val="both"/>
    </w:pPr>
    <w:rPr>
      <w:spacing w:val="-3"/>
      <w:sz w:val="24"/>
      <w:lang w:val="en-US"/>
    </w:rPr>
  </w:style>
  <w:style w:styleId="style22" w:type="paragraph">
    <w:name w:val="List"/>
    <w:basedOn w:val="style21"/>
    <w:next w:val="style22"/>
    <w:pPr/>
    <w:rPr>
      <w:rFonts w:cs="Lohit Devanagari"/>
    </w:rPr>
  </w:style>
  <w:style w:styleId="style23" w:type="paragraph">
    <w:name w:val="Caption"/>
    <w:basedOn w:val="style0"/>
    <w:next w:val="style23"/>
    <w:pPr>
      <w:suppressLineNumbers/>
      <w:spacing w:after="120" w:before="120"/>
      <w:contextualSpacing w:val="false"/>
    </w:pPr>
    <w:rPr>
      <w:rFonts w:cs="Lohit Devanagari"/>
      <w:i/>
      <w:iCs/>
      <w:sz w:val="24"/>
      <w:szCs w:val="24"/>
    </w:rPr>
  </w:style>
  <w:style w:styleId="style24" w:type="paragraph">
    <w:name w:val="Index"/>
    <w:basedOn w:val="style0"/>
    <w:next w:val="style24"/>
    <w:pPr>
      <w:suppressLineNumbers/>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Table Contents"/>
    <w:basedOn w:val="style0"/>
    <w:next w:val="style26"/>
    <w:pPr>
      <w:suppressLineNumbers/>
    </w:pPr>
    <w:rPr/>
  </w:style>
  <w:style w:styleId="style27" w:type="paragraph">
    <w:name w:val="Table Heading"/>
    <w:basedOn w:val="style26"/>
    <w:next w:val="style27"/>
    <w:pPr>
      <w:jc w:val="center"/>
    </w:pPr>
    <w:rPr>
      <w:b/>
      <w:bCs/>
    </w:rPr>
  </w:style>
  <w:style w:styleId="style28" w:type="paragraph">
    <w:name w:val="Text Body Indent"/>
    <w:basedOn w:val="style21"/>
    <w:next w:val="style28"/>
    <w:pPr>
      <w:ind w:hanging="0" w:left="283" w:right="0"/>
    </w:pPr>
    <w:rPr/>
  </w:style>
  <w:style w:styleId="style29" w:type="paragraph">
    <w:name w:val="Balloon Text"/>
    <w:basedOn w:val="style0"/>
    <w:next w:val="style29"/>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iupac.pole-ether.fr/" TargetMode="External"/><Relationship Id="rId4" Type="http://schemas.openxmlformats.org/officeDocument/2006/relationships/hyperlink" Target="http://iupac.pole-ether.fr/" TargetMode="External"/><Relationship Id="rId5" Type="http://schemas.openxmlformats.org/officeDocument/2006/relationships/image" Target="media/image4.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2014-06-10T21:52:00.00Z</dcterms:created>
  <dc:creator>idreger</dc:creator>
  <cp:lastModifiedBy>Wallington, Timothy (T.J.)</cp:lastModifiedBy>
  <cp:lastPrinted>2011-07-26T20:19:00.00Z</cp:lastPrinted>
  <dcterms:modified xsi:type="dcterms:W3CDTF">2014-06-10T21:52:00.00Z</dcterms:modified>
  <cp:revision>2</cp:revision>
  <dc:title>IUPAC Task Group on Atmospheric Chemical Kinetic Data Evaluation – Data Sheet IV.A2.96 oClOx22</dc:title>
</cp:coreProperties>
</file>