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ind w:hanging="0" w:left="146" w:right="178"/>
      </w:pPr>
      <w:r>
        <w:rPr>
          <w:b/>
          <w:bCs/>
          <w:sz w:val="24"/>
          <w:szCs w:val="24"/>
        </w:rPr>
        <w:t>Task Group on Atmospheric Chemical Kinetic Data Evaluation – Data Sheet oClOx21</w:t>
      </w:r>
    </w:p>
    <w:p>
      <w:pPr>
        <w:pStyle w:val="style0"/>
        <w:ind w:hanging="0" w:left="178" w:right="484"/>
        <w:jc w:val="both"/>
      </w:pPr>
      <w:r>
        <w:rPr>
          <w:sz w:val="24"/>
          <w:szCs w:val="24"/>
        </w:rPr>
        <w:t xml:space="preserve">Website: </w:t>
      </w:r>
      <w:hyperlink r:id="rId2">
        <w:r>
          <w:rPr>
            <w:rStyle w:val="style19"/>
            <w:sz w:val="24"/>
            <w:szCs w:val="24"/>
          </w:rPr>
          <w:t>http://iupac.pole-ether.fr</w:t>
        </w:r>
      </w:hyperlink>
      <w:r>
        <w:rPr>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spacing w:val="-3"/>
          <w:sz w:val="24"/>
          <w:szCs w:val="24"/>
          <w:lang w:val="en-US"/>
        </w:rPr>
        <w:t xml:space="preserve">Atkinson, R., Baulch, D. L., Cox, R. A., Crowley, J. N., Hampson, R. F., Hynes, R. G., Jenkin, M. E., Rossi, M. J., Troe, J., and Wallington, T. J.: Atmos. Chem. Phys., 8, 4141, 2008; IUPAC Task Group on Atmospheric Chemical Kinetic Data Evaluation, </w:t>
      </w:r>
      <w:hyperlink r:id="rId3">
        <w:r>
          <w:rPr>
            <w:rStyle w:val="style19"/>
            <w:sz w:val="24"/>
            <w:szCs w:val="24"/>
          </w:rPr>
          <w:t>http://iupac.pole-ether.fr</w:t>
        </w:r>
      </w:hyperlink>
      <w:r>
        <w:rPr>
          <w:sz w:val="24"/>
          <w:szCs w:val="24"/>
        </w:rPr>
        <w:t xml:space="preserve">. </w:t>
      </w:r>
    </w:p>
    <w:p>
      <w:pPr>
        <w:pStyle w:val="style0"/>
        <w:ind w:hanging="0" w:left="162" w:right="484"/>
        <w:jc w:val="both"/>
      </w:pPr>
      <w:r>
        <w:rPr>
          <w:sz w:val="24"/>
          <w:szCs w:val="24"/>
        </w:rPr>
        <w:t>This data sheet last evaluated: June 2014; last change in preferred values: December 2007.</w:t>
      </w:r>
    </w:p>
    <w:p>
      <w:pPr>
        <w:pStyle w:val="style0"/>
        <w:jc w:val="center"/>
      </w:pPr>
      <w:r>
        <w:rPr>
          <w:b/>
          <w:color w:val="000000"/>
          <w:sz w:val="24"/>
          <w:szCs w:val="24"/>
        </w:rPr>
        <w:pict>
          <v:line from="-49.75pt,13.65pt" id="shape_0" style="position:absolute" to="545.4pt,13.65pt">
            <v:stroke color="black" endcap="flat" joinstyle="miter" weight="9360"/>
            <v:fill detectmouseclick="t"/>
          </v:line>
        </w:pict>
      </w:r>
    </w:p>
    <w:p>
      <w:pPr>
        <w:pStyle w:val="style0"/>
        <w:tabs>
          <w:tab w:leader="none" w:pos="4680" w:val="center"/>
        </w:tabs>
        <w:spacing w:line="240" w:lineRule="atLeast"/>
        <w:jc w:val="center"/>
      </w:pPr>
      <w:r>
        <w:rPr/>
      </w:r>
    </w:p>
    <w:p>
      <w:pPr>
        <w:pStyle w:val="style0"/>
        <w:tabs>
          <w:tab w:leader="none" w:pos="4680" w:val="center"/>
        </w:tabs>
        <w:spacing w:line="240" w:lineRule="atLeast"/>
        <w:jc w:val="center"/>
      </w:pPr>
      <w:r>
        <w:rPr>
          <w:b/>
          <w:spacing w:val="-3"/>
          <w:sz w:val="24"/>
          <w:lang w:val="en-US"/>
        </w:rPr>
        <w:t>Cl + CHF</w:t>
      </w:r>
      <w:r>
        <w:rPr>
          <w:b/>
          <w:spacing w:val="-3"/>
          <w:sz w:val="24"/>
          <w:vertAlign w:val="subscript"/>
          <w:lang w:val="en-US"/>
        </w:rPr>
        <w:t>2</w:t>
      </w:r>
      <w:r>
        <w:rPr>
          <w:b/>
          <w:spacing w:val="-3"/>
          <w:sz w:val="24"/>
          <w:lang w:val="en-US"/>
        </w:rPr>
        <w:t xml:space="preserve">Cl (HCFC-22) </w:t>
      </w:r>
      <w:r>
        <w:rPr>
          <w:rFonts w:ascii="Symbol" w:hAnsi="Symbol"/>
          <w:b/>
          <w:spacing w:val="-3"/>
          <w:sz w:val="24"/>
          <w:lang w:val="en-US"/>
        </w:rPr>
        <w:t></w:t>
      </w:r>
      <w:r>
        <w:rPr>
          <w:b/>
          <w:spacing w:val="-3"/>
          <w:sz w:val="24"/>
          <w:lang w:val="en-US"/>
        </w:rPr>
        <w:t xml:space="preserve"> HCl + CF</w:t>
      </w:r>
      <w:r>
        <w:rPr>
          <w:b/>
          <w:spacing w:val="-3"/>
          <w:sz w:val="24"/>
          <w:vertAlign w:val="subscript"/>
          <w:lang w:val="en-US"/>
        </w:rPr>
        <w:t>2</w:t>
      </w:r>
      <w:r>
        <w:rPr>
          <w:b/>
          <w:spacing w:val="-3"/>
          <w:sz w:val="24"/>
          <w:lang w:val="en-US"/>
        </w:rPr>
        <w:t>Cl</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761" w:val="left"/>
          <w:tab w:leader="none" w:pos="1049" w:val="left"/>
          <w:tab w:leader="none" w:pos="1481" w:val="left"/>
        </w:tabs>
        <w:spacing w:line="240" w:lineRule="atLeast"/>
        <w:ind w:hanging="0" w:left="761" w:right="0"/>
        <w:jc w:val="both"/>
      </w:pPr>
      <w:r>
        <w:rPr>
          <w:rFonts w:ascii="Symbol" w:hAnsi="Symbol"/>
          <w:spacing w:val="-3"/>
          <w:sz w:val="24"/>
          <w:lang w:val="en-US"/>
        </w:rPr>
        <w:t></w:t>
      </w:r>
      <w:r>
        <w:rPr>
          <w:i/>
          <w:iCs/>
          <w:spacing w:val="-3"/>
          <w:sz w:val="24"/>
          <w:lang w:val="en-US"/>
        </w:rPr>
        <w:t>H</w:t>
      </w:r>
      <w:r>
        <w:rPr>
          <w:rFonts w:ascii="Symbol" w:hAnsi="Symbol"/>
          <w:spacing w:val="-3"/>
          <w:sz w:val="24"/>
          <w:lang w:val="en-US"/>
        </w:rPr>
        <w:t></w:t>
      </w:r>
      <w:r>
        <w:rPr>
          <w:spacing w:val="-3"/>
          <w:sz w:val="24"/>
          <w:lang w:val="en-US"/>
        </w:rPr>
        <w:t xml:space="preserve"> = -9.0 kJ mol</w:t>
      </w:r>
      <w:r>
        <w:rPr>
          <w:spacing w:val="-3"/>
          <w:sz w:val="24"/>
          <w:vertAlign w:val="superscript"/>
          <w:lang w:val="en-US"/>
        </w:rPr>
        <w:t>-1</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Rate coefficient data</w:t>
      </w:r>
    </w:p>
    <w:p>
      <w:pPr>
        <w:pStyle w:val="style0"/>
        <w:tabs>
          <w:tab w:leader="none" w:pos="0" w:val="left"/>
          <w:tab w:leader="none" w:pos="288" w:val="left"/>
          <w:tab w:leader="none" w:pos="720" w:val="left"/>
        </w:tabs>
        <w:spacing w:line="240" w:lineRule="atLeast"/>
        <w:jc w:val="both"/>
      </w:pPr>
      <w:r>
        <w:rPr>
          <w:spacing w:val="-3"/>
          <w:sz w:val="24"/>
          <w:lang w:val="en-US"/>
        </w:rPr>
      </w:r>
    </w:p>
    <w:tbl>
      <w:tblPr>
        <w:jc w:val="left"/>
        <w:tblInd w:type="dxa" w:w="868"/>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2973"/>
        <w:gridCol w:w="1036"/>
        <w:gridCol w:w="2380"/>
        <w:gridCol w:w="2059"/>
      </w:tblGrid>
      <w:tr>
        <w:trPr>
          <w:cantSplit w:val="false"/>
        </w:trPr>
        <w:tc>
          <w:tcPr>
            <w:tcW w:type="dxa" w:w="2973"/>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i/>
                <w:spacing w:val="-2"/>
                <w:lang w:val="en-US"/>
              </w:rPr>
              <w:t>k</w:t>
            </w:r>
            <w:r>
              <w:rPr>
                <w:spacing w:val="-2"/>
                <w:lang w:val="en-US"/>
              </w:rPr>
              <w:t>/cm</w:t>
            </w:r>
            <w:r>
              <w:rPr>
                <w:spacing w:val="-2"/>
                <w:vertAlign w:val="superscript"/>
                <w:lang w:val="en-US"/>
              </w:rPr>
              <w:t>3</w:t>
            </w:r>
            <w:r>
              <w:rPr>
                <w:spacing w:val="-2"/>
                <w:lang w:val="en-US"/>
              </w:rPr>
              <w:t xml:space="preserve"> molecule</w:t>
            </w:r>
            <w:r>
              <w:rPr>
                <w:spacing w:val="-2"/>
                <w:vertAlign w:val="superscript"/>
                <w:lang w:val="en-US"/>
              </w:rPr>
              <w:t>-1</w:t>
            </w:r>
            <w:r>
              <w:rPr>
                <w:spacing w:val="-2"/>
                <w:lang w:val="en-US"/>
              </w:rPr>
              <w:t xml:space="preserve"> s</w:t>
            </w:r>
            <w:r>
              <w:rPr>
                <w:spacing w:val="-2"/>
                <w:vertAlign w:val="superscript"/>
                <w:lang w:val="en-US"/>
              </w:rPr>
              <w:t>-1</w:t>
            </w:r>
            <w:r>
              <w:rPr>
                <w:spacing w:val="-2"/>
                <w:lang w:val="en-US"/>
              </w:rPr>
              <w:t xml:space="preserve"> </w:t>
            </w:r>
          </w:p>
        </w:tc>
        <w:tc>
          <w:tcPr>
            <w:tcW w:type="dxa" w:w="1036"/>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Temp./K</w:t>
            </w:r>
          </w:p>
        </w:tc>
        <w:tc>
          <w:tcPr>
            <w:tcW w:type="dxa" w:w="2380"/>
            <w:tcBorders>
              <w:top w:color="000001" w:space="0" w:sz="2" w:val="double"/>
              <w:left w:val="none"/>
              <w:bottom w:color="000001" w:space="0" w:sz="4" w:val="single"/>
              <w:right w:val="none"/>
            </w:tcBorders>
            <w:shd w:fill="FFFFFF" w:val="clear"/>
          </w:tcPr>
          <w:p>
            <w:pPr>
              <w:pStyle w:val="style2"/>
              <w:numPr>
                <w:ilvl w:val="1"/>
                <w:numId w:val="1"/>
              </w:numPr>
              <w:spacing w:after="120" w:before="120"/>
              <w:contextualSpacing w:val="false"/>
            </w:pPr>
            <w:r>
              <w:rPr>
                <w:sz w:val="20"/>
              </w:rPr>
              <w:t>Reference</w:t>
            </w:r>
          </w:p>
        </w:tc>
        <w:tc>
          <w:tcPr>
            <w:tcW w:type="dxa" w:w="2059"/>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Technique/ Comments</w:t>
            </w:r>
          </w:p>
        </w:tc>
      </w:tr>
      <w:tr>
        <w:trPr>
          <w:cantSplit w:val="false"/>
        </w:trPr>
        <w:tc>
          <w:tcPr>
            <w:tcW w:type="dxa" w:w="2973"/>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i/>
                <w:spacing w:val="-2"/>
                <w:lang w:val="en-US"/>
              </w:rPr>
              <w:t>Absolute Rate Coefficients</w:t>
            </w:r>
          </w:p>
        </w:tc>
        <w:tc>
          <w:tcPr>
            <w:tcW w:type="dxa" w:w="1036"/>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380"/>
            <w:tcBorders>
              <w:top w:color="000001" w:space="0" w:sz="4" w:val="singl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59"/>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r>
      <w:tr>
        <w:trPr>
          <w:cantSplit w:val="false"/>
        </w:trPr>
        <w:tc>
          <w:tcPr>
            <w:tcW w:type="dxa" w:w="2973"/>
            <w:tcBorders>
              <w:top w:val="none"/>
              <w:left w:val="none"/>
              <w:bottom w:val="none"/>
              <w:right w:val="none"/>
            </w:tcBorders>
            <w:shd w:fill="FFFFFF" w:val="clear"/>
          </w:tcPr>
          <w:p>
            <w:pPr>
              <w:pStyle w:val="style0"/>
              <w:spacing w:line="263" w:lineRule="atLeast"/>
              <w:jc w:val="both"/>
            </w:pPr>
            <w:r>
              <w:rPr>
                <w:spacing w:val="-2"/>
                <w:lang w:val="en-US"/>
              </w:rPr>
              <w:t xml:space="preserve">(1.4 </w:t>
            </w:r>
            <w:r>
              <w:rPr>
                <w:rFonts w:ascii="Symbol" w:hAnsi="Symbol"/>
                <w:spacing w:val="-2"/>
                <w:lang w:val="en-US"/>
              </w:rPr>
              <w:t></w:t>
            </w:r>
            <w:r>
              <w:rPr>
                <w:spacing w:val="-2"/>
                <w:lang w:val="en-US"/>
              </w:rPr>
              <w:t xml:space="preserve"> 0.2) x 10</w:t>
            </w:r>
            <w:r>
              <w:rPr>
                <w:spacing w:val="-2"/>
                <w:vertAlign w:val="superscript"/>
                <w:lang w:val="en-US"/>
              </w:rPr>
              <w:t>-15</w:t>
            </w:r>
          </w:p>
        </w:tc>
        <w:tc>
          <w:tcPr>
            <w:tcW w:type="dxa" w:w="1036"/>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380"/>
            <w:tcBorders>
              <w:top w:val="none"/>
              <w:left w:val="none"/>
              <w:bottom w:val="none"/>
              <w:right w:val="none"/>
            </w:tcBorders>
            <w:shd w:fill="FFFFFF" w:val="clear"/>
          </w:tcPr>
          <w:p>
            <w:pPr>
              <w:pStyle w:val="style0"/>
              <w:spacing w:line="263" w:lineRule="atLeast"/>
              <w:jc w:val="both"/>
            </w:pPr>
            <w:r>
              <w:rPr>
                <w:spacing w:val="-2"/>
                <w:lang w:val="da-DK"/>
              </w:rPr>
              <w:t>Jourdain et al., 1977</w:t>
            </w:r>
          </w:p>
        </w:tc>
        <w:tc>
          <w:tcPr>
            <w:tcW w:type="dxa" w:w="2059"/>
            <w:tcBorders>
              <w:top w:val="none"/>
              <w:left w:val="none"/>
              <w:bottom w:val="none"/>
              <w:right w:val="none"/>
            </w:tcBorders>
            <w:shd w:fill="FFFFFF" w:val="clear"/>
          </w:tcPr>
          <w:p>
            <w:pPr>
              <w:pStyle w:val="style0"/>
              <w:spacing w:line="263" w:lineRule="atLeast"/>
              <w:jc w:val="center"/>
            </w:pPr>
            <w:r>
              <w:rPr>
                <w:spacing w:val="-2"/>
                <w:lang w:val="da-DK"/>
              </w:rPr>
              <w:t>DF-MS</w:t>
            </w:r>
          </w:p>
        </w:tc>
      </w:tr>
      <w:tr>
        <w:trPr>
          <w:cantSplit w:val="false"/>
        </w:trPr>
        <w:tc>
          <w:tcPr>
            <w:tcW w:type="dxa" w:w="2973"/>
            <w:tcBorders>
              <w:top w:val="none"/>
              <w:left w:val="none"/>
              <w:bottom w:val="none"/>
              <w:right w:val="none"/>
            </w:tcBorders>
            <w:shd w:fill="FFFFFF" w:val="clear"/>
          </w:tcPr>
          <w:p>
            <w:pPr>
              <w:pStyle w:val="style0"/>
              <w:spacing w:line="263" w:lineRule="atLeast"/>
              <w:jc w:val="both"/>
            </w:pPr>
            <w:r>
              <w:rPr>
                <w:spacing w:val="-2"/>
                <w:lang w:val="da-DK"/>
              </w:rPr>
              <w:t xml:space="preserve">(1.7 </w:t>
            </w:r>
            <w:r>
              <w:rPr>
                <w:rFonts w:ascii="Symbol" w:hAnsi="Symbol"/>
                <w:spacing w:val="-2"/>
                <w:lang w:val="en-US"/>
              </w:rPr>
              <w:t></w:t>
            </w:r>
            <w:r>
              <w:rPr>
                <w:spacing w:val="-2"/>
                <w:lang w:val="da-DK"/>
              </w:rPr>
              <w:t xml:space="preserve"> 0.2) x 10</w:t>
            </w:r>
            <w:r>
              <w:rPr>
                <w:spacing w:val="-2"/>
                <w:vertAlign w:val="superscript"/>
                <w:lang w:val="da-DK"/>
              </w:rPr>
              <w:t>-15</w:t>
            </w:r>
          </w:p>
        </w:tc>
        <w:tc>
          <w:tcPr>
            <w:tcW w:type="dxa" w:w="1036"/>
            <w:tcBorders>
              <w:top w:val="none"/>
              <w:left w:val="none"/>
              <w:bottom w:val="none"/>
              <w:right w:val="none"/>
            </w:tcBorders>
            <w:shd w:fill="FFFFFF" w:val="clear"/>
          </w:tcPr>
          <w:p>
            <w:pPr>
              <w:pStyle w:val="style0"/>
              <w:spacing w:line="263" w:lineRule="atLeast"/>
              <w:jc w:val="both"/>
            </w:pPr>
            <w:r>
              <w:rPr>
                <w:spacing w:val="-2"/>
                <w:lang w:val="da-DK"/>
              </w:rPr>
              <w:t>297</w:t>
            </w:r>
          </w:p>
        </w:tc>
        <w:tc>
          <w:tcPr>
            <w:tcW w:type="dxa" w:w="2380"/>
            <w:tcBorders>
              <w:top w:val="none"/>
              <w:left w:val="none"/>
              <w:bottom w:val="none"/>
              <w:right w:val="none"/>
            </w:tcBorders>
            <w:shd w:fill="FFFFFF" w:val="clear"/>
          </w:tcPr>
          <w:p>
            <w:pPr>
              <w:pStyle w:val="style0"/>
              <w:spacing w:line="263" w:lineRule="atLeast"/>
              <w:jc w:val="both"/>
            </w:pPr>
            <w:r>
              <w:rPr>
                <w:spacing w:val="-2"/>
                <w:lang w:val="da-DK"/>
              </w:rPr>
              <w:t>Sawerysyn et al., 1992</w:t>
            </w:r>
          </w:p>
        </w:tc>
        <w:tc>
          <w:tcPr>
            <w:tcW w:type="dxa" w:w="2059"/>
            <w:tcBorders>
              <w:top w:val="none"/>
              <w:left w:val="none"/>
              <w:bottom w:val="none"/>
              <w:right w:val="none"/>
            </w:tcBorders>
            <w:shd w:fill="FFFFFF" w:val="clear"/>
          </w:tcPr>
          <w:p>
            <w:pPr>
              <w:pStyle w:val="style0"/>
              <w:spacing w:line="263" w:lineRule="atLeast"/>
              <w:jc w:val="center"/>
            </w:pPr>
            <w:r>
              <w:rPr>
                <w:spacing w:val="-2"/>
                <w:lang w:val="da-DK"/>
              </w:rPr>
              <w:t>DF-MS</w:t>
            </w:r>
          </w:p>
        </w:tc>
      </w:tr>
      <w:tr>
        <w:trPr>
          <w:cantSplit w:val="false"/>
        </w:trPr>
        <w:tc>
          <w:tcPr>
            <w:tcW w:type="dxa" w:w="2973"/>
            <w:tcBorders>
              <w:top w:val="none"/>
              <w:left w:val="none"/>
              <w:bottom w:val="none"/>
              <w:right w:val="none"/>
            </w:tcBorders>
            <w:shd w:fill="FFFFFF" w:val="clear"/>
          </w:tcPr>
          <w:p>
            <w:pPr>
              <w:pStyle w:val="style0"/>
              <w:spacing w:line="263" w:lineRule="atLeast"/>
              <w:ind w:hanging="0" w:left="3" w:right="-122"/>
              <w:jc w:val="both"/>
            </w:pPr>
            <w:r>
              <w:rPr>
                <w:spacing w:val="-2"/>
                <w:lang w:val="da-DK"/>
              </w:rPr>
              <w:t>5.3 x 10</w:t>
            </w:r>
            <w:r>
              <w:rPr>
                <w:spacing w:val="-2"/>
                <w:vertAlign w:val="superscript"/>
                <w:lang w:val="da-DK"/>
              </w:rPr>
              <w:t>-12</w:t>
            </w:r>
            <w:r>
              <w:rPr>
                <w:spacing w:val="-2"/>
                <w:lang w:val="da-DK"/>
              </w:rPr>
              <w:t xml:space="preserve"> exp[-(2430 </w:t>
            </w:r>
            <w:r>
              <w:rPr>
                <w:rFonts w:ascii="Symbol" w:hAnsi="Symbol"/>
                <w:spacing w:val="-2"/>
                <w:lang w:val="en-US"/>
              </w:rPr>
              <w:t></w:t>
            </w:r>
            <w:r>
              <w:rPr>
                <w:spacing w:val="-2"/>
                <w:lang w:val="da-DK"/>
              </w:rPr>
              <w:t xml:space="preserve"> 90)/</w:t>
            </w:r>
            <w:r>
              <w:rPr>
                <w:i/>
                <w:spacing w:val="-2"/>
                <w:lang w:val="da-DK"/>
              </w:rPr>
              <w:t>T</w:t>
            </w:r>
            <w:r>
              <w:rPr>
                <w:spacing w:val="-2"/>
                <w:lang w:val="da-DK"/>
              </w:rPr>
              <w:t>]</w:t>
            </w:r>
          </w:p>
        </w:tc>
        <w:tc>
          <w:tcPr>
            <w:tcW w:type="dxa" w:w="1036"/>
            <w:tcBorders>
              <w:top w:val="none"/>
              <w:left w:val="none"/>
              <w:bottom w:val="none"/>
              <w:right w:val="none"/>
            </w:tcBorders>
            <w:shd w:fill="FFFFFF" w:val="clear"/>
          </w:tcPr>
          <w:p>
            <w:pPr>
              <w:pStyle w:val="style0"/>
              <w:spacing w:line="263" w:lineRule="atLeast"/>
              <w:jc w:val="both"/>
            </w:pPr>
            <w:r>
              <w:rPr>
                <w:spacing w:val="-2"/>
                <w:lang w:val="da-DK"/>
              </w:rPr>
              <w:t>298-430</w:t>
            </w:r>
          </w:p>
        </w:tc>
        <w:tc>
          <w:tcPr>
            <w:tcW w:type="dxa" w:w="2380"/>
            <w:tcBorders>
              <w:top w:val="none"/>
              <w:left w:val="none"/>
              <w:bottom w:val="none"/>
              <w:right w:val="none"/>
            </w:tcBorders>
            <w:shd w:fill="FFFFFF" w:val="clear"/>
          </w:tcPr>
          <w:p>
            <w:pPr>
              <w:pStyle w:val="style0"/>
              <w:spacing w:line="263" w:lineRule="atLeast"/>
              <w:jc w:val="both"/>
            </w:pPr>
            <w:r>
              <w:rPr>
                <w:spacing w:val="-2"/>
                <w:lang w:val="da-DK"/>
              </w:rPr>
              <w:t>Talhaoui et al., 1996</w:t>
            </w:r>
          </w:p>
        </w:tc>
        <w:tc>
          <w:tcPr>
            <w:tcW w:type="dxa" w:w="2059"/>
            <w:tcBorders>
              <w:top w:val="none"/>
              <w:left w:val="none"/>
              <w:bottom w:val="none"/>
              <w:right w:val="none"/>
            </w:tcBorders>
            <w:shd w:fill="FFFFFF" w:val="clear"/>
          </w:tcPr>
          <w:p>
            <w:pPr>
              <w:pStyle w:val="style0"/>
              <w:spacing w:line="263" w:lineRule="atLeast"/>
              <w:jc w:val="center"/>
            </w:pPr>
            <w:r>
              <w:rPr>
                <w:spacing w:val="-2"/>
                <w:lang w:val="da-DK"/>
              </w:rPr>
              <w:t>DF-M</w:t>
            </w:r>
            <w:r>
              <w:rPr>
                <w:spacing w:val="-2"/>
                <w:lang w:val="en-US"/>
              </w:rPr>
              <w:t>S</w:t>
            </w:r>
          </w:p>
        </w:tc>
      </w:tr>
      <w:tr>
        <w:trPr>
          <w:cantSplit w:val="false"/>
        </w:trPr>
        <w:tc>
          <w:tcPr>
            <w:tcW w:type="dxa" w:w="2973"/>
            <w:tcBorders>
              <w:top w:val="none"/>
              <w:left w:val="none"/>
              <w:bottom w:val="none"/>
              <w:right w:val="none"/>
            </w:tcBorders>
            <w:shd w:fill="FFFFFF" w:val="clear"/>
          </w:tcPr>
          <w:p>
            <w:pPr>
              <w:pStyle w:val="style0"/>
              <w:spacing w:line="263" w:lineRule="atLeast"/>
              <w:jc w:val="both"/>
            </w:pPr>
            <w:r>
              <w:rPr>
                <w:spacing w:val="-2"/>
                <w:lang w:val="en-US"/>
              </w:rPr>
              <w:t xml:space="preserve">(1.4 </w:t>
            </w:r>
            <w:r>
              <w:rPr>
                <w:rFonts w:ascii="Symbol" w:hAnsi="Symbol"/>
                <w:spacing w:val="-2"/>
                <w:lang w:val="en-US"/>
              </w:rPr>
              <w:t></w:t>
            </w:r>
            <w:r>
              <w:rPr>
                <w:spacing w:val="-2"/>
                <w:lang w:val="en-US"/>
              </w:rPr>
              <w:t xml:space="preserve"> 0.3) x 10</w:t>
            </w:r>
            <w:r>
              <w:rPr>
                <w:spacing w:val="-2"/>
                <w:vertAlign w:val="superscript"/>
                <w:lang w:val="en-US"/>
              </w:rPr>
              <w:t>-15</w:t>
            </w:r>
          </w:p>
        </w:tc>
        <w:tc>
          <w:tcPr>
            <w:tcW w:type="dxa" w:w="1036"/>
            <w:tcBorders>
              <w:top w:val="none"/>
              <w:left w:val="none"/>
              <w:bottom w:val="none"/>
              <w:right w:val="none"/>
            </w:tcBorders>
            <w:shd w:fill="FFFFFF" w:val="clear"/>
          </w:tcPr>
          <w:p>
            <w:pPr>
              <w:pStyle w:val="style0"/>
              <w:spacing w:line="263" w:lineRule="atLeast"/>
              <w:jc w:val="both"/>
            </w:pPr>
            <w:r>
              <w:rPr>
                <w:spacing w:val="-2"/>
                <w:lang w:val="en-US"/>
              </w:rPr>
              <w:t>296</w:t>
            </w:r>
          </w:p>
        </w:tc>
        <w:tc>
          <w:tcPr>
            <w:tcW w:type="dxa" w:w="2380"/>
            <w:tcBorders>
              <w:top w:val="none"/>
              <w:left w:val="none"/>
              <w:bottom w:val="none"/>
              <w:right w:val="none"/>
            </w:tcBorders>
            <w:shd w:fill="FFFFFF" w:val="clear"/>
          </w:tcPr>
          <w:p>
            <w:pPr>
              <w:pStyle w:val="style0"/>
              <w:spacing w:line="263" w:lineRule="atLeast"/>
              <w:jc w:val="both"/>
            </w:pPr>
            <w:r>
              <w:rPr>
                <w:spacing w:val="-2"/>
                <w:lang w:val="en-US"/>
              </w:rPr>
            </w:r>
          </w:p>
        </w:tc>
        <w:tc>
          <w:tcPr>
            <w:tcW w:type="dxa" w:w="2059"/>
            <w:tcBorders>
              <w:top w:val="none"/>
              <w:left w:val="none"/>
              <w:bottom w:val="none"/>
              <w:right w:val="none"/>
            </w:tcBorders>
            <w:shd w:fill="FFFFFF" w:val="clear"/>
          </w:tcPr>
          <w:p>
            <w:pPr>
              <w:pStyle w:val="style0"/>
              <w:spacing w:line="263" w:lineRule="atLeast"/>
              <w:jc w:val="center"/>
            </w:pPr>
            <w:r>
              <w:rPr>
                <w:spacing w:val="-2"/>
                <w:lang w:val="en-US"/>
              </w:rPr>
            </w:r>
          </w:p>
        </w:tc>
      </w:tr>
      <w:tr>
        <w:trPr>
          <w:cantSplit w:val="false"/>
        </w:trPr>
        <w:tc>
          <w:tcPr>
            <w:tcW w:type="dxa" w:w="2973"/>
            <w:tcBorders>
              <w:top w:val="none"/>
              <w:left w:val="none"/>
              <w:bottom w:val="none"/>
              <w:right w:val="none"/>
            </w:tcBorders>
            <w:shd w:fill="FFFFFF" w:val="clear"/>
          </w:tcPr>
          <w:p>
            <w:pPr>
              <w:pStyle w:val="style0"/>
              <w:spacing w:after="0" w:before="120" w:line="264" w:lineRule="auto"/>
              <w:contextualSpacing w:val="false"/>
              <w:jc w:val="both"/>
            </w:pPr>
            <w:r>
              <w:rPr>
                <w:i/>
                <w:spacing w:val="-2"/>
                <w:lang w:val="en-US"/>
              </w:rPr>
              <w:t>Relative Rate Coefficients</w:t>
            </w:r>
          </w:p>
        </w:tc>
        <w:tc>
          <w:tcPr>
            <w:tcW w:type="dxa" w:w="1036"/>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380"/>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059"/>
            <w:tcBorders>
              <w:top w:val="none"/>
              <w:left w:val="none"/>
              <w:bottom w:val="none"/>
              <w:right w:val="none"/>
            </w:tcBorders>
            <w:shd w:fill="FFFFFF" w:val="clear"/>
          </w:tcPr>
          <w:p>
            <w:pPr>
              <w:pStyle w:val="style0"/>
              <w:spacing w:after="0" w:before="120" w:line="264" w:lineRule="auto"/>
              <w:contextualSpacing w:val="false"/>
              <w:jc w:val="center"/>
            </w:pPr>
            <w:r>
              <w:rPr>
                <w:spacing w:val="-2"/>
                <w:lang w:val="en-US"/>
              </w:rPr>
            </w:r>
          </w:p>
        </w:tc>
      </w:tr>
      <w:tr>
        <w:trPr>
          <w:cantSplit w:val="false"/>
        </w:trPr>
        <w:tc>
          <w:tcPr>
            <w:tcW w:type="dxa" w:w="2973"/>
            <w:tcBorders>
              <w:top w:val="none"/>
              <w:left w:val="none"/>
              <w:bottom w:val="none"/>
              <w:right w:val="none"/>
            </w:tcBorders>
            <w:shd w:fill="FFFFFF" w:val="clear"/>
          </w:tcPr>
          <w:p>
            <w:pPr>
              <w:pStyle w:val="style0"/>
              <w:spacing w:line="264" w:lineRule="auto"/>
              <w:jc w:val="both"/>
            </w:pPr>
            <w:r>
              <w:rPr>
                <w:spacing w:val="-2"/>
                <w:lang w:val="en-US"/>
              </w:rPr>
              <w:t xml:space="preserve">(2.0 </w:t>
            </w:r>
            <w:r>
              <w:rPr>
                <w:rFonts w:ascii="Symbol" w:hAnsi="Symbol"/>
                <w:spacing w:val="-2"/>
                <w:lang w:val="en-US"/>
              </w:rPr>
              <w:t></w:t>
            </w:r>
            <w:r>
              <w:rPr>
                <w:spacing w:val="-2"/>
                <w:lang w:val="en-US"/>
              </w:rPr>
              <w:t xml:space="preserve"> 0.4) x 10</w:t>
            </w:r>
            <w:r>
              <w:rPr>
                <w:spacing w:val="-2"/>
                <w:vertAlign w:val="superscript"/>
                <w:lang w:val="en-US"/>
              </w:rPr>
              <w:t>-15</w:t>
            </w:r>
          </w:p>
        </w:tc>
        <w:tc>
          <w:tcPr>
            <w:tcW w:type="dxa" w:w="1036"/>
            <w:tcBorders>
              <w:top w:val="none"/>
              <w:left w:val="none"/>
              <w:bottom w:val="none"/>
              <w:right w:val="none"/>
            </w:tcBorders>
            <w:shd w:fill="FFFFFF" w:val="clear"/>
          </w:tcPr>
          <w:p>
            <w:pPr>
              <w:pStyle w:val="style0"/>
              <w:spacing w:line="264" w:lineRule="auto"/>
              <w:jc w:val="both"/>
            </w:pPr>
            <w:r>
              <w:rPr>
                <w:spacing w:val="-2"/>
                <w:lang w:val="en-US"/>
              </w:rPr>
              <w:t>298</w:t>
            </w:r>
          </w:p>
        </w:tc>
        <w:tc>
          <w:tcPr>
            <w:tcW w:type="dxa" w:w="2380"/>
            <w:tcBorders>
              <w:top w:val="none"/>
              <w:left w:val="none"/>
              <w:bottom w:val="none"/>
              <w:right w:val="none"/>
            </w:tcBorders>
            <w:shd w:fill="FFFFFF" w:val="clear"/>
          </w:tcPr>
          <w:p>
            <w:pPr>
              <w:pStyle w:val="style0"/>
              <w:spacing w:line="264" w:lineRule="auto"/>
              <w:jc w:val="both"/>
            </w:pPr>
            <w:r>
              <w:rPr>
                <w:spacing w:val="-2"/>
                <w:lang w:val="en-US"/>
              </w:rPr>
              <w:t>Tuazon, et al., 1992</w:t>
            </w:r>
          </w:p>
        </w:tc>
        <w:tc>
          <w:tcPr>
            <w:tcW w:type="dxa" w:w="2059"/>
            <w:tcBorders>
              <w:top w:val="none"/>
              <w:left w:val="none"/>
              <w:bottom w:val="none"/>
              <w:right w:val="none"/>
            </w:tcBorders>
            <w:shd w:fill="FFFFFF" w:val="clear"/>
          </w:tcPr>
          <w:p>
            <w:pPr>
              <w:pStyle w:val="style0"/>
              <w:spacing w:line="264" w:lineRule="auto"/>
              <w:jc w:val="center"/>
            </w:pPr>
            <w:r>
              <w:rPr>
                <w:spacing w:val="-2"/>
                <w:lang w:val="en-US"/>
              </w:rPr>
              <w:t>RR (a)</w:t>
            </w:r>
          </w:p>
        </w:tc>
      </w:tr>
      <w:tr>
        <w:trPr>
          <w:cantSplit w:val="false"/>
        </w:trPr>
        <w:tc>
          <w:tcPr>
            <w:tcW w:type="dxa" w:w="2973"/>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 xml:space="preserve">(1.7 </w:t>
            </w:r>
            <w:r>
              <w:rPr>
                <w:rFonts w:ascii="Symbol" w:hAnsi="Symbol"/>
                <w:spacing w:val="-2"/>
                <w:lang w:val="en-US"/>
              </w:rPr>
              <w:t></w:t>
            </w:r>
            <w:r>
              <w:rPr>
                <w:spacing w:val="-2"/>
                <w:lang w:val="en-US"/>
              </w:rPr>
              <w:t xml:space="preserve"> 0.1) x 10</w:t>
            </w:r>
            <w:r>
              <w:rPr>
                <w:spacing w:val="-2"/>
                <w:vertAlign w:val="superscript"/>
                <w:lang w:val="en-US"/>
              </w:rPr>
              <w:t>-15</w:t>
            </w:r>
          </w:p>
        </w:tc>
        <w:tc>
          <w:tcPr>
            <w:tcW w:type="dxa" w:w="1036"/>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296</w:t>
            </w:r>
          </w:p>
        </w:tc>
        <w:tc>
          <w:tcPr>
            <w:tcW w:type="dxa" w:w="2380"/>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Sokolov et al., 1998</w:t>
            </w:r>
          </w:p>
        </w:tc>
        <w:tc>
          <w:tcPr>
            <w:tcW w:type="dxa" w:w="2059"/>
            <w:tcBorders>
              <w:top w:val="none"/>
              <w:left w:val="none"/>
              <w:bottom w:color="000001" w:space="0" w:sz="4" w:val="single"/>
              <w:right w:val="none"/>
            </w:tcBorders>
            <w:shd w:fill="FFFFFF" w:val="clear"/>
          </w:tcPr>
          <w:p>
            <w:pPr>
              <w:pStyle w:val="style0"/>
              <w:spacing w:after="120" w:before="0" w:line="264" w:lineRule="auto"/>
              <w:contextualSpacing w:val="false"/>
              <w:jc w:val="center"/>
            </w:pPr>
            <w:r>
              <w:rPr>
                <w:spacing w:val="-2"/>
                <w:lang w:val="en-US"/>
              </w:rPr>
              <w:t>RR (b)</w:t>
            </w:r>
          </w:p>
        </w:tc>
      </w:tr>
    </w:tbl>
    <w:p>
      <w:pPr>
        <w:pStyle w:val="style0"/>
        <w:tabs>
          <w:tab w:leader="none" w:pos="0" w:val="left"/>
          <w:tab w:leader="none" w:pos="128" w:val="left"/>
          <w:tab w:leader="none" w:pos="3570" w:val="left"/>
          <w:tab w:leader="none" w:pos="4866" w:val="left"/>
          <w:tab w:leader="none" w:pos="8394" w:val="left"/>
          <w:tab w:leader="none" w:pos="8811" w:val="left"/>
          <w:tab w:leader="none" w:pos="9360" w:val="left"/>
        </w:tabs>
        <w:spacing w:line="240" w:lineRule="atLeast"/>
        <w:jc w:val="both"/>
      </w:pPr>
      <w:r>
        <w:rPr/>
      </w:r>
    </w:p>
    <w:p>
      <w:pPr>
        <w:pStyle w:val="style1"/>
        <w:numPr>
          <w:ilvl w:val="0"/>
          <w:numId w:val="1"/>
        </w:numPr>
      </w:pPr>
      <w:r>
        <w:rPr/>
        <w:t>Comments</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44" w:val="left"/>
          <w:tab w:leader="none" w:pos="888" w:val="left"/>
          <w:tab w:leader="none" w:pos="1164" w:val="left"/>
        </w:tabs>
        <w:spacing w:line="240" w:lineRule="atLeast"/>
        <w:ind w:hanging="444" w:left="444" w:right="484"/>
        <w:jc w:val="both"/>
      </w:pPr>
      <w:r>
        <w:rPr>
          <w:spacing w:val="-3"/>
          <w:sz w:val="24"/>
          <w:lang w:val="en-US"/>
        </w:rPr>
        <w:t>(a)</w:t>
        <w:tab/>
        <w:t>Cl atoms were generated by photolysis of Cl</w:t>
      </w:r>
      <w:r>
        <w:rPr>
          <w:spacing w:val="-3"/>
          <w:sz w:val="24"/>
          <w:vertAlign w:val="subscript"/>
          <w:lang w:val="en-US"/>
        </w:rPr>
        <w:t>2</w:t>
      </w:r>
      <w:r>
        <w:rPr>
          <w:spacing w:val="-3"/>
          <w:sz w:val="24"/>
          <w:lang w:val="en-US"/>
        </w:rPr>
        <w:t xml:space="preserve">. The decays of the reactant and reference organic were measured by FTIR spectroscopy. The measured rate coefficient was placed on an absolute basis using a rate coefficient of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numPr>
          <w:ilvl w:val="0"/>
          <w:numId w:val="2"/>
        </w:numPr>
        <w:tabs>
          <w:tab w:leader="none" w:pos="450" w:val="left"/>
          <w:tab w:leader="none" w:pos="1170" w:val="left"/>
        </w:tabs>
        <w:spacing w:line="240" w:lineRule="atLeast"/>
        <w:ind w:hanging="450" w:left="450" w:right="484"/>
        <w:jc w:val="both"/>
      </w:pPr>
      <w:r>
        <w:rPr>
          <w:spacing w:val="-3"/>
          <w:sz w:val="24"/>
          <w:lang w:val="en-US"/>
        </w:rPr>
        <w:t>Photolysis of Cl</w:t>
      </w:r>
      <w:r>
        <w:rPr>
          <w:spacing w:val="-3"/>
          <w:sz w:val="24"/>
          <w:vertAlign w:val="subscript"/>
          <w:lang w:val="en-US"/>
        </w:rPr>
        <w:t>2</w:t>
      </w:r>
      <w:r>
        <w:rPr>
          <w:spacing w:val="-3"/>
          <w:sz w:val="24"/>
          <w:lang w:val="en-US"/>
        </w:rPr>
        <w:t xml:space="preserve"> in presence of CHF</w:t>
      </w:r>
      <w:r>
        <w:rPr>
          <w:spacing w:val="-3"/>
          <w:sz w:val="24"/>
          <w:vertAlign w:val="subscript"/>
          <w:lang w:val="en-US"/>
        </w:rPr>
        <w:t>2</w:t>
      </w:r>
      <w:r>
        <w:rPr>
          <w:spacing w:val="-3"/>
          <w:sz w:val="24"/>
          <w:lang w:val="en-US"/>
        </w:rPr>
        <w:t>Cl and CD</w:t>
      </w:r>
      <w:r>
        <w:rPr>
          <w:spacing w:val="-3"/>
          <w:sz w:val="24"/>
          <w:vertAlign w:val="subscript"/>
          <w:lang w:val="en-US"/>
        </w:rPr>
        <w:t>4</w:t>
      </w:r>
      <w:r>
        <w:rPr>
          <w:spacing w:val="-3"/>
          <w:sz w:val="24"/>
          <w:lang w:val="en-US"/>
        </w:rPr>
        <w:t xml:space="preserve"> in 920 mbar N</w:t>
      </w:r>
      <w:r>
        <w:rPr>
          <w:spacing w:val="-3"/>
          <w:sz w:val="24"/>
          <w:vertAlign w:val="subscript"/>
          <w:lang w:val="en-US"/>
        </w:rPr>
        <w:t>2</w:t>
      </w:r>
      <w:r>
        <w:rPr>
          <w:spacing w:val="-3"/>
          <w:sz w:val="24"/>
          <w:lang w:val="en-US"/>
        </w:rPr>
        <w:t xml:space="preserve"> bath gas. The rate constant ratio obtained, </w:t>
      </w:r>
      <w:r>
        <w:rPr>
          <w:i/>
          <w:spacing w:val="-3"/>
          <w:sz w:val="24"/>
          <w:lang w:val="en-US"/>
        </w:rPr>
        <w:t>k</w:t>
      </w:r>
      <w:r>
        <w:rPr>
          <w:spacing w:val="-3"/>
          <w:sz w:val="24"/>
          <w:lang w:val="en-US"/>
        </w:rPr>
        <w:t>(CHF</w:t>
      </w:r>
      <w:r>
        <w:rPr>
          <w:spacing w:val="-3"/>
          <w:sz w:val="24"/>
          <w:vertAlign w:val="subscript"/>
          <w:lang w:val="en-US"/>
        </w:rPr>
        <w:t>2</w:t>
      </w:r>
      <w:r>
        <w:rPr>
          <w:spacing w:val="-3"/>
          <w:sz w:val="24"/>
          <w:lang w:val="en-US"/>
        </w:rPr>
        <w:t>Cl)/</w:t>
      </w:r>
      <w:r>
        <w:rPr>
          <w:i/>
          <w:spacing w:val="-3"/>
          <w:sz w:val="24"/>
          <w:lang w:val="en-US"/>
        </w:rPr>
        <w:t>k</w:t>
      </w:r>
      <w:r>
        <w:rPr>
          <w:spacing w:val="-3"/>
          <w:sz w:val="24"/>
          <w:lang w:val="en-US"/>
        </w:rPr>
        <w:t>(CD</w:t>
      </w:r>
      <w:r>
        <w:rPr>
          <w:spacing w:val="-3"/>
          <w:sz w:val="24"/>
          <w:vertAlign w:val="subscript"/>
          <w:lang w:val="en-US"/>
        </w:rPr>
        <w:t>4</w:t>
      </w:r>
      <w:r>
        <w:rPr>
          <w:spacing w:val="-3"/>
          <w:sz w:val="24"/>
          <w:lang w:val="en-US"/>
        </w:rPr>
        <w:t xml:space="preserve">) = 0.28 </w:t>
      </w:r>
      <w:r>
        <w:rPr>
          <w:rFonts w:ascii="Symbol" w:hAnsi="Symbol"/>
          <w:spacing w:val="-3"/>
          <w:sz w:val="24"/>
          <w:lang w:val="en-US"/>
        </w:rPr>
        <w:t></w:t>
      </w:r>
      <w:r>
        <w:rPr>
          <w:spacing w:val="-3"/>
          <w:sz w:val="24"/>
          <w:lang w:val="en-US"/>
        </w:rPr>
        <w:t xml:space="preserve"> 0.02 was placed on an absolute value using </w:t>
      </w:r>
      <w:r>
        <w:rPr>
          <w:i/>
          <w:spacing w:val="-3"/>
          <w:sz w:val="24"/>
          <w:lang w:val="en-US"/>
        </w:rPr>
        <w:t>k</w:t>
      </w:r>
      <w:r>
        <w:rPr>
          <w:spacing w:val="-3"/>
          <w:sz w:val="24"/>
          <w:lang w:val="en-US"/>
        </w:rPr>
        <w:t>(CD</w:t>
      </w:r>
      <w:r>
        <w:rPr>
          <w:spacing w:val="-3"/>
          <w:sz w:val="24"/>
          <w:vertAlign w:val="subscript"/>
          <w:lang w:val="en-US"/>
        </w:rPr>
        <w:t>4</w:t>
      </w:r>
      <w:r>
        <w:rPr>
          <w:spacing w:val="-3"/>
          <w:sz w:val="24"/>
          <w:lang w:val="en-US"/>
        </w:rPr>
        <w:t xml:space="preserve">) = 6.1 </w:t>
      </w:r>
      <w:r>
        <w:rPr>
          <w:rFonts w:ascii="Symbol" w:hAnsi="Symbol"/>
          <w:spacing w:val="-3"/>
          <w:sz w:val="24"/>
        </w:rPr>
        <w:t></w:t>
      </w:r>
      <w:r>
        <w:rPr>
          <w:spacing w:val="-3"/>
          <w:sz w:val="24"/>
          <w:lang w:val="en-US"/>
        </w:rPr>
        <w:t xml:space="preserve"> 10</w:t>
      </w:r>
      <w:r>
        <w:rPr>
          <w:spacing w:val="-3"/>
          <w:sz w:val="24"/>
          <w:vertAlign w:val="superscript"/>
          <w:lang w:val="en-US"/>
        </w:rPr>
        <w:t>-15</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w:t>
      </w:r>
    </w:p>
    <w:p>
      <w:pPr>
        <w:pStyle w:val="style0"/>
        <w:tabs>
          <w:tab w:leader="none" w:pos="4680" w:val="center"/>
        </w:tabs>
        <w:spacing w:line="240" w:lineRule="atLeast"/>
        <w:jc w:val="center"/>
      </w:pPr>
      <w:r>
        <w:rPr>
          <w:b/>
          <w:spacing w:val="-3"/>
          <w:sz w:val="24"/>
          <w:lang w:val="en-US"/>
        </w:rPr>
      </w:r>
    </w:p>
    <w:p>
      <w:pPr>
        <w:pStyle w:val="style0"/>
        <w:tabs>
          <w:tab w:leader="none" w:pos="4680" w:val="center"/>
        </w:tabs>
        <w:spacing w:line="240" w:lineRule="atLeast"/>
        <w:jc w:val="center"/>
      </w:pPr>
      <w:r>
        <w:rPr>
          <w:b/>
          <w:spacing w:val="-3"/>
          <w:sz w:val="24"/>
          <w:lang w:val="en-US"/>
        </w:rPr>
        <w:t>Preferred Values</w:t>
      </w:r>
    </w:p>
    <w:p>
      <w:pPr>
        <w:pStyle w:val="style0"/>
        <w:tabs>
          <w:tab w:leader="none" w:pos="0" w:val="left"/>
          <w:tab w:leader="none" w:pos="444" w:val="left"/>
          <w:tab w:leader="none" w:pos="720" w:val="left"/>
        </w:tabs>
        <w:spacing w:line="240" w:lineRule="atLeast"/>
        <w:jc w:val="both"/>
      </w:pPr>
      <w:r>
        <w:rPr>
          <w:spacing w:val="-3"/>
          <w:sz w:val="24"/>
          <w:lang w:val="en-US"/>
        </w:rPr>
      </w:r>
    </w:p>
    <w:tbl>
      <w:tblPr>
        <w:jc w:val="left"/>
        <w:tblInd w:type="dxa" w:w="868"/>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374"/>
        <w:gridCol w:w="2877"/>
        <w:gridCol w:w="2184"/>
      </w:tblGrid>
      <w:tr>
        <w:trPr>
          <w:cantSplit w:val="false"/>
        </w:trPr>
        <w:tc>
          <w:tcPr>
            <w:tcW w:type="dxa" w:w="337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Parameter</w:t>
            </w:r>
          </w:p>
        </w:tc>
        <w:tc>
          <w:tcPr>
            <w:tcW w:type="dxa" w:w="2877"/>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Value</w:t>
            </w:r>
          </w:p>
        </w:tc>
        <w:tc>
          <w:tcPr>
            <w:tcW w:type="dxa" w:w="218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lang w:val="en-US"/>
              </w:rPr>
              <w:t>T</w:t>
            </w:r>
            <w:r>
              <w:rPr>
                <w:b/>
                <w:spacing w:val="-3"/>
                <w:sz w:val="24"/>
                <w:lang w:val="en-US"/>
              </w:rPr>
              <w:t>/K</w:t>
            </w:r>
          </w:p>
        </w:tc>
      </w:tr>
      <w:tr>
        <w:trPr>
          <w:cantSplit w:val="false"/>
        </w:trPr>
        <w:tc>
          <w:tcPr>
            <w:tcW w:type="dxa" w:w="337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b/>
                <w:i/>
                <w:spacing w:val="-3"/>
                <w:sz w:val="24"/>
                <w:lang w:val="en-US"/>
              </w:rPr>
            </w:r>
          </w:p>
        </w:tc>
        <w:tc>
          <w:tcPr>
            <w:tcW w:type="dxa" w:w="2877"/>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spacing w:val="-3"/>
                <w:sz w:val="24"/>
                <w:lang w:val="en-US"/>
              </w:rPr>
            </w:r>
          </w:p>
        </w:tc>
        <w:tc>
          <w:tcPr>
            <w:tcW w:type="dxa" w:w="218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r>
        <w:trPr>
          <w:cantSplit w:val="false"/>
        </w:trPr>
        <w:tc>
          <w:tcPr>
            <w:tcW w:type="dxa" w:w="337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2877"/>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1.6 x 10</w:t>
            </w:r>
            <w:r>
              <w:rPr>
                <w:spacing w:val="-3"/>
                <w:sz w:val="24"/>
                <w:vertAlign w:val="superscript"/>
                <w:lang w:val="en-US"/>
              </w:rPr>
              <w:t>-15</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37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 xml:space="preserve">k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2877"/>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4.2 x 10</w:t>
            </w:r>
            <w:r>
              <w:rPr>
                <w:spacing w:val="-3"/>
                <w:sz w:val="24"/>
                <w:vertAlign w:val="superscript"/>
                <w:lang w:val="en-US"/>
              </w:rPr>
              <w:t>-12</w:t>
            </w:r>
            <w:r>
              <w:rPr>
                <w:spacing w:val="-3"/>
                <w:sz w:val="24"/>
                <w:lang w:val="en-US"/>
              </w:rPr>
              <w:t xml:space="preserve"> exp(-2345/</w:t>
            </w:r>
            <w:r>
              <w:rPr>
                <w:i/>
                <w:spacing w:val="-3"/>
                <w:sz w:val="24"/>
                <w:lang w:val="en-US"/>
              </w:rPr>
              <w:t>T</w:t>
            </w:r>
            <w:r>
              <w:rPr>
                <w:spacing w:val="-3"/>
                <w:sz w:val="24"/>
                <w:lang w:val="en-US"/>
              </w:rPr>
              <w:t>)</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290-430</w:t>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761" w:val="left"/>
          <w:tab w:leader="none" w:pos="1205" w:val="left"/>
          <w:tab w:leader="none" w:pos="1481" w:val="left"/>
        </w:tabs>
        <w:spacing w:line="240" w:lineRule="atLeast"/>
        <w:ind w:hanging="0" w:left="761" w:right="0"/>
        <w:jc w:val="both"/>
      </w:pPr>
      <w:r>
        <w:rPr>
          <w:i/>
          <w:spacing w:val="-3"/>
          <w:sz w:val="24"/>
          <w:lang w:val="en-US"/>
        </w:rPr>
        <w:t>Reliability</w:t>
      </w:r>
    </w:p>
    <w:tbl>
      <w:tblPr>
        <w:jc w:val="left"/>
        <w:tblInd w:type="dxa" w:w="868"/>
        <w:tblBorders>
          <w:top w:val="none"/>
          <w:left w:val="none"/>
          <w:bottom w:val="none"/>
          <w:insideH w:val="none"/>
          <w:right w:val="none"/>
          <w:insideV w:val="none"/>
        </w:tblBorders>
        <w:tblCellMar>
          <w:top w:type="dxa" w:w="0"/>
          <w:left w:type="dxa" w:w="108"/>
          <w:bottom w:type="dxa" w:w="0"/>
          <w:right w:type="dxa" w:w="108"/>
        </w:tblCellMar>
      </w:tblPr>
      <w:tblGrid>
        <w:gridCol w:w="3374"/>
        <w:gridCol w:w="2877"/>
        <w:gridCol w:w="2184"/>
      </w:tblGrid>
      <w:tr>
        <w:trPr>
          <w:cantSplit w:val="false"/>
        </w:trPr>
        <w:tc>
          <w:tcPr>
            <w:tcW w:type="dxa" w:w="337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log</w:t>
            </w:r>
            <w:r>
              <w:rPr>
                <w:i/>
                <w:spacing w:val="-3"/>
                <w:sz w:val="24"/>
                <w:lang w:val="en-US"/>
              </w:rPr>
              <w:t xml:space="preserve"> k</w:t>
            </w:r>
          </w:p>
        </w:tc>
        <w:tc>
          <w:tcPr>
            <w:tcW w:type="dxa" w:w="2877"/>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0.15</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374"/>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E/R</w:t>
            </w:r>
          </w:p>
        </w:tc>
        <w:tc>
          <w:tcPr>
            <w:tcW w:type="dxa" w:w="2877"/>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400</w:t>
            </w:r>
          </w:p>
        </w:tc>
        <w:tc>
          <w:tcPr>
            <w:tcW w:type="dxa" w:w="2184"/>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444" w:val="left"/>
          <w:tab w:leader="none" w:pos="888" w:val="left"/>
          <w:tab w:leader="none" w:pos="1164" w:val="left"/>
        </w:tabs>
        <w:spacing w:line="240" w:lineRule="atLeast"/>
        <w:ind w:hanging="444" w:left="444" w:right="0"/>
        <w:jc w:val="both"/>
      </w:pPr>
      <w:r>
        <w:rPr>
          <w:spacing w:val="-3"/>
          <w:sz w:val="24"/>
          <w:lang w:val="en-US"/>
        </w:rPr>
      </w:r>
    </w:p>
    <w:p>
      <w:pPr>
        <w:pStyle w:val="style0"/>
        <w:tabs>
          <w:tab w:leader="none" w:pos="0" w:val="left"/>
          <w:tab w:leader="none" w:pos="444" w:val="left"/>
          <w:tab w:leader="none" w:pos="720" w:val="left"/>
        </w:tabs>
        <w:spacing w:line="240" w:lineRule="atLeast"/>
        <w:jc w:val="both"/>
      </w:pPr>
      <w:r>
        <w:rPr>
          <w:i/>
          <w:spacing w:val="-3"/>
          <w:sz w:val="24"/>
          <w:lang w:val="en-US"/>
        </w:rPr>
        <w:t>Comments o</w:t>
      </w:r>
      <w:bookmarkStart w:id="0" w:name="_GoBack"/>
      <w:bookmarkEnd w:id="0"/>
      <w:r>
        <w:rPr>
          <w:i/>
          <w:spacing w:val="-3"/>
          <w:sz w:val="24"/>
          <w:lang w:val="en-US"/>
        </w:rPr>
        <w:t>n Preferred Values</w:t>
      </w:r>
    </w:p>
    <w:p>
      <w:pPr>
        <w:pStyle w:val="style0"/>
        <w:tabs>
          <w:tab w:leader="none" w:pos="346" w:val="left"/>
          <w:tab w:leader="none" w:pos="790" w:val="left"/>
          <w:tab w:leader="none" w:pos="1066" w:val="left"/>
        </w:tabs>
        <w:spacing w:line="240" w:lineRule="atLeast"/>
        <w:ind w:hanging="0" w:left="346" w:right="525"/>
        <w:jc w:val="both"/>
      </w:pPr>
      <w:r>
        <w:rPr>
          <w:spacing w:val="-3"/>
          <w:sz w:val="24"/>
          <w:lang w:val="en-US"/>
        </w:rPr>
        <w:t>The rate constants reported at room temperature from the absolute rate studies by Jourdain et al. (1977), Sawerysyn et al. (1992), and Talhaoui et al. (1996) and the relative rate studies by Tuazon et al. (1992) and Sokolov et al. (1998) are in good agreement.  The recommended Arrhenius expression was derived from a fit to the combined data set from all studies.</w:t>
      </w:r>
    </w:p>
    <w:p>
      <w:pPr>
        <w:pStyle w:val="style0"/>
        <w:tabs>
          <w:tab w:leader="none" w:pos="4680" w:val="center"/>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fr-FR"/>
        </w:rPr>
        <w:t>References</w:t>
      </w:r>
    </w:p>
    <w:p>
      <w:pPr>
        <w:pStyle w:val="style0"/>
        <w:tabs>
          <w:tab w:leader="none" w:pos="0" w:val="left"/>
          <w:tab w:leader="none" w:pos="288" w:val="left"/>
          <w:tab w:leader="none" w:pos="720" w:val="left"/>
        </w:tabs>
        <w:spacing w:line="240" w:lineRule="atLeast"/>
        <w:jc w:val="both"/>
      </w:pPr>
      <w:r>
        <w:rPr>
          <w:spacing w:val="-3"/>
          <w:sz w:val="24"/>
          <w:lang w:val="fr-FR"/>
        </w:rPr>
      </w:r>
    </w:p>
    <w:p>
      <w:pPr>
        <w:pStyle w:val="style0"/>
        <w:widowControl/>
        <w:ind w:hanging="0" w:left="346" w:right="484"/>
      </w:pPr>
      <w:r>
        <w:rPr>
          <w:spacing w:val="-3"/>
          <w:sz w:val="24"/>
          <w:lang w:val="fr-FR"/>
        </w:rPr>
        <w:t xml:space="preserve">Atkinson, R., Baulch, D. L., Cox, R. A., Crowley, J. N., Hampson, R. F., Hynes, R. G., Jenkin, M. E., Rossi, M. J., and Troe, J.: Atmos. </w:t>
      </w:r>
      <w:r>
        <w:rPr>
          <w:spacing w:val="-3"/>
          <w:sz w:val="24"/>
          <w:lang w:val="en-US"/>
        </w:rPr>
        <w:t xml:space="preserve">Chem. Phys., 6, 3625, 2006; IUPAC Task Group on Atmospheric  Chemical Kinetic Data </w:t>
      </w:r>
      <w:r>
        <w:rPr>
          <w:spacing w:val="-3"/>
          <w:sz w:val="24"/>
          <w:szCs w:val="24"/>
          <w:lang w:val="en-US"/>
        </w:rPr>
        <w:t xml:space="preserve">Evaluation, </w:t>
      </w:r>
      <w:hyperlink r:id="rId4">
        <w:r>
          <w:rPr>
            <w:rStyle w:val="style19"/>
            <w:sz w:val="24"/>
            <w:szCs w:val="24"/>
          </w:rPr>
          <w:t>http://iupac.pole-ether.fr</w:t>
        </w:r>
      </w:hyperlink>
    </w:p>
    <w:p>
      <w:pPr>
        <w:pStyle w:val="style0"/>
        <w:tabs>
          <w:tab w:leader="none" w:pos="706" w:val="left"/>
          <w:tab w:leader="none" w:pos="1066" w:val="left"/>
        </w:tabs>
        <w:spacing w:line="240" w:lineRule="atLeast"/>
        <w:ind w:hanging="0" w:left="346" w:right="484"/>
        <w:jc w:val="both"/>
      </w:pPr>
      <w:r>
        <w:rPr>
          <w:spacing w:val="-3"/>
          <w:sz w:val="24"/>
          <w:szCs w:val="24"/>
          <w:lang w:val="fr-FR"/>
        </w:rPr>
        <w:t xml:space="preserve">Jourdain, G. L.; Poulet, G.; Barassin, J.; Lebras, G. et Combourieu, J.: J. Pollut. Atmos. 75, 256, </w:t>
        <w:tab/>
        <w:t>1977.</w:t>
      </w:r>
    </w:p>
    <w:p>
      <w:pPr>
        <w:pStyle w:val="style0"/>
        <w:tabs>
          <w:tab w:leader="none" w:pos="1066" w:val="left"/>
        </w:tabs>
        <w:spacing w:line="240" w:lineRule="atLeast"/>
        <w:ind w:hanging="0" w:left="346" w:right="484"/>
        <w:jc w:val="both"/>
      </w:pPr>
      <w:r>
        <w:rPr>
          <w:spacing w:val="-3"/>
          <w:sz w:val="24"/>
          <w:szCs w:val="24"/>
          <w:lang w:val="fr-FR"/>
        </w:rPr>
        <w:t xml:space="preserve">Sawerysyn, J. P., Talhaoui, A., Meriaux, B. and Devolder, P.: Chem. </w:t>
      </w:r>
      <w:r>
        <w:rPr>
          <w:spacing w:val="-3"/>
          <w:sz w:val="24"/>
          <w:szCs w:val="24"/>
          <w:lang w:val="en-US"/>
        </w:rPr>
        <w:t>Phys. Lett., 198, 197, 1992.</w:t>
      </w:r>
    </w:p>
    <w:p>
      <w:pPr>
        <w:pStyle w:val="style0"/>
        <w:tabs>
          <w:tab w:leader="none" w:pos="706" w:val="left"/>
          <w:tab w:leader="none" w:pos="1066" w:val="left"/>
        </w:tabs>
        <w:spacing w:line="240" w:lineRule="atLeast"/>
        <w:ind w:hanging="0" w:left="346" w:right="484"/>
        <w:jc w:val="both"/>
      </w:pPr>
      <w:r>
        <w:rPr>
          <w:spacing w:val="-3"/>
          <w:sz w:val="24"/>
          <w:szCs w:val="24"/>
          <w:lang w:val="en-US"/>
        </w:rPr>
        <w:t xml:space="preserve">Sokolov, O., Hurley, M. D., Wallington, T. J., Kaiser, E. W., Platz, J., Nielsen, O. J., Berho, F., </w:t>
        <w:tab/>
        <w:t>Rayez, M.-T., and Lesclaux, R.: J. Phys. Chem. A, 102, 10671, 1998.</w:t>
      </w:r>
    </w:p>
    <w:p>
      <w:pPr>
        <w:pStyle w:val="style0"/>
        <w:tabs>
          <w:tab w:leader="none" w:pos="706" w:val="left"/>
          <w:tab w:leader="none" w:pos="1066" w:val="left"/>
        </w:tabs>
        <w:spacing w:line="240" w:lineRule="atLeast"/>
        <w:ind w:hanging="0" w:left="346" w:right="484"/>
        <w:jc w:val="both"/>
      </w:pPr>
      <w:r>
        <w:rPr>
          <w:spacing w:val="-3"/>
          <w:sz w:val="24"/>
          <w:szCs w:val="24"/>
          <w:lang w:val="en-US"/>
        </w:rPr>
        <w:t xml:space="preserve">Talhaoui, A., Louis, F., Meriaux, B., Devolder, P. and Sawerysyn, J. P.: J. Phys. Chem., 100, </w:t>
        <w:tab/>
        <w:t>2107, 1996.</w:t>
      </w:r>
    </w:p>
    <w:p>
      <w:pPr>
        <w:pStyle w:val="style0"/>
        <w:tabs>
          <w:tab w:leader="none" w:pos="1066" w:val="left"/>
        </w:tabs>
        <w:spacing w:line="240" w:lineRule="atLeast"/>
        <w:ind w:hanging="0" w:left="346" w:right="484"/>
        <w:jc w:val="both"/>
      </w:pPr>
      <w:r>
        <w:rPr>
          <w:spacing w:val="-3"/>
          <w:sz w:val="24"/>
          <w:szCs w:val="24"/>
          <w:lang w:val="en-US"/>
        </w:rPr>
        <w:t>Tuazon, E. C., Atkinson, R. and Corchnoy, S. B.: Int. J. Chem. Kinet</w:t>
      </w:r>
      <w:r>
        <w:rPr>
          <w:spacing w:val="-3"/>
          <w:sz w:val="24"/>
          <w:lang w:val="en-US"/>
        </w:rPr>
        <w:t>., 24, 639, 1992.</w:t>
      </w:r>
    </w:p>
    <w:p>
      <w:pPr>
        <w:pStyle w:val="style0"/>
        <w:tabs>
          <w:tab w:leader="none" w:pos="720" w:val="left"/>
        </w:tabs>
        <w:spacing w:line="240" w:lineRule="atLeast"/>
        <w:jc w:val="both"/>
      </w:pPr>
      <w:r>
        <w:rPr/>
      </w:r>
    </w:p>
    <w:p>
      <w:pPr>
        <w:pStyle w:val="style0"/>
        <w:tabs>
          <w:tab w:leader="none" w:pos="1287" w:val="left"/>
        </w:tabs>
        <w:spacing w:line="240" w:lineRule="atLeast"/>
        <w:ind w:hanging="0" w:left="567" w:right="0"/>
        <w:jc w:val="both"/>
      </w:pPr>
      <w:r>
        <w:rPr/>
        <w:drawing>
          <wp:inline distB="0" distL="0" distR="0" distT="0">
            <wp:extent cx="5534025" cy="55149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5"/>
                    <a:srcRect/>
                    <a:stretch>
                      <a:fillRect/>
                    </a:stretch>
                  </pic:blipFill>
                  <pic:spPr bwMode="auto">
                    <a:xfrm>
                      <a:off x="0" y="0"/>
                      <a:ext cx="5534025" cy="5514975"/>
                    </a:xfrm>
                    <a:prstGeom prst="rect">
                      <a:avLst/>
                    </a:prstGeom>
                    <a:noFill/>
                    <a:ln w="9525">
                      <a:noFill/>
                      <a:miter lim="800000"/>
                      <a:headEnd/>
                      <a:tailEnd/>
                    </a:ln>
                  </pic:spPr>
                </pic:pic>
              </a:graphicData>
            </a:graphic>
          </wp:inline>
        </w:drawing>
      </w:r>
    </w:p>
    <w:p>
      <w:pPr>
        <w:pStyle w:val="style0"/>
      </w:pPr>
      <w:r>
        <w:rPr/>
      </w:r>
    </w:p>
    <w:sectPr>
      <w:type w:val="nextPage"/>
      <w:pgSz w:h="16838" w:w="11906"/>
      <w:pgMar w:bottom="965" w:footer="0" w:gutter="0" w:header="0" w:left="996" w:right="1234" w:top="965"/>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G Times">
    <w:charset w:val="80"/>
    <w:family w:val="roman"/>
    <w:pitch w:val="variable"/>
  </w:font>
  <w:font w:name="Liberation Sans">
    <w:altName w:val="Arial"/>
    <w:charset w:val="80"/>
    <w:family w:val="swiss"/>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2"/>
      <w:numFmt w:val="lowerLetter"/>
      <w:lvlText w:val="(%1)"/>
      <w:lvlJc w:val="left"/>
      <w:pPr>
        <w:tabs>
          <w:tab w:pos="450" w:val="num"/>
        </w:tabs>
        <w:ind w:hanging="450" w:left="45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auto"/>
      <w:sz w:val="20"/>
      <w:szCs w:val="20"/>
      <w:lang w:bidi="ar-SA" w:eastAsia="ar-SA" w:val="en-GB"/>
    </w:rPr>
  </w:style>
  <w:style w:styleId="style1" w:type="paragraph">
    <w:name w:val="Heading 1"/>
    <w:basedOn w:val="style0"/>
    <w:next w:val="style1"/>
    <w:pPr>
      <w:keepNext/>
      <w:tabs>
        <w:tab w:leader="none" w:pos="4680" w:val="center"/>
      </w:tabs>
      <w:spacing w:line="240" w:lineRule="atLeast"/>
      <w:jc w:val="center"/>
    </w:pPr>
    <w:rPr>
      <w:b/>
      <w:spacing w:val="-3"/>
      <w:sz w:val="24"/>
      <w:lang w:val="en-US"/>
    </w:rPr>
  </w:style>
  <w:style w:styleId="style2" w:type="paragraph">
    <w:name w:val="Heading 2"/>
    <w:basedOn w:val="style0"/>
    <w:next w:val="style2"/>
    <w:pPr>
      <w:keepNext/>
      <w:widowControl/>
      <w:spacing w:line="264" w:lineRule="auto"/>
    </w:pPr>
    <w:rPr>
      <w:spacing w:val="-2"/>
      <w:sz w:val="24"/>
      <w:lang w:val="en-US"/>
    </w:rPr>
  </w:style>
  <w:style w:styleId="style3" w:type="paragraph">
    <w:name w:val="Heading 3"/>
    <w:basedOn w:val="style0"/>
    <w:next w:val="style3"/>
    <w:pPr>
      <w:keepNext/>
      <w:widowControl/>
      <w:tabs>
        <w:tab w:leader="none" w:pos="4680" w:val="center"/>
      </w:tabs>
      <w:jc w:val="center"/>
    </w:pPr>
    <w:rPr>
      <w:rFonts w:ascii="CG Times" w:cs="Arial Unicode MS" w:eastAsia="Arial Unicode MS" w:hAnsi="CG Times"/>
      <w:b/>
      <w:color w:val="000000"/>
      <w:sz w:val="24"/>
      <w:lang w:val="en-US"/>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8Num2z0"/>
    <w:next w:val="style18"/>
    <w:rPr>
      <w:strike w:val="false"/>
      <w:dstrike w:val="false"/>
      <w:vertAlign w:val="superscript"/>
    </w:rPr>
  </w:style>
  <w:style w:styleId="style19" w:type="character">
    <w:name w:val="Internet Link"/>
    <w:basedOn w:val="style15"/>
    <w:next w:val="style19"/>
    <w:rPr>
      <w:color w:val="0000FF"/>
      <w:u w:val="single"/>
      <w:lang w:bidi="zxx-" w:eastAsia="zxx-" w:val="zxx-"/>
    </w:rPr>
  </w:style>
  <w:style w:styleId="style20" w:type="paragraph">
    <w:name w:val="Heading"/>
    <w:basedOn w:val="style0"/>
    <w:next w:val="style21"/>
    <w:pPr>
      <w:keepNext/>
      <w:spacing w:after="120" w:before="240"/>
      <w:contextualSpacing w:val="false"/>
    </w:pPr>
    <w:rPr>
      <w:rFonts w:ascii="Liberation Sans" w:cs="Lohit Devanagari" w:eastAsia="DejaVu Sans" w:hAnsi="Liberation Sans"/>
      <w:sz w:val="28"/>
      <w:szCs w:val="28"/>
    </w:rPr>
  </w:style>
  <w:style w:styleId="style21" w:type="paragraph">
    <w:name w:val="Text Body"/>
    <w:basedOn w:val="style0"/>
    <w:next w:val="style21"/>
    <w:pPr>
      <w:tabs>
        <w:tab w:leader="none" w:pos="720" w:val="left"/>
      </w:tabs>
      <w:spacing w:line="240" w:lineRule="atLeast"/>
      <w:jc w:val="both"/>
    </w:pPr>
    <w:rPr>
      <w:spacing w:val="-3"/>
      <w:sz w:val="24"/>
      <w:lang w:val="en-US"/>
    </w:rPr>
  </w:style>
  <w:style w:styleId="style22" w:type="paragraph">
    <w:name w:val="List"/>
    <w:basedOn w:val="style21"/>
    <w:next w:val="style22"/>
    <w:pPr/>
    <w:rPr>
      <w:rFonts w:cs="Lohit Devanagari"/>
    </w:rPr>
  </w:style>
  <w:style w:styleId="style23" w:type="paragraph">
    <w:name w:val="Caption"/>
    <w:basedOn w:val="style0"/>
    <w:next w:val="style23"/>
    <w:pPr>
      <w:suppressLineNumbers/>
      <w:spacing w:after="120" w:before="120"/>
      <w:contextualSpacing w:val="false"/>
    </w:pPr>
    <w:rPr>
      <w:rFonts w:cs="Lohit Devanagari"/>
      <w:i/>
      <w:iCs/>
      <w:sz w:val="24"/>
      <w:szCs w:val="24"/>
    </w:rPr>
  </w:style>
  <w:style w:styleId="style24" w:type="paragraph">
    <w:name w:val="Index"/>
    <w:basedOn w:val="style0"/>
    <w:next w:val="style24"/>
    <w:pPr>
      <w:suppressLineNumbers/>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Table Contents"/>
    <w:basedOn w:val="style0"/>
    <w:next w:val="style26"/>
    <w:pPr>
      <w:suppressLineNumbers/>
    </w:pPr>
    <w:rPr/>
  </w:style>
  <w:style w:styleId="style27" w:type="paragraph">
    <w:name w:val="Table Heading"/>
    <w:basedOn w:val="style26"/>
    <w:next w:val="style27"/>
    <w:pPr>
      <w:jc w:val="center"/>
    </w:pPr>
    <w:rPr>
      <w:b/>
      <w:bCs/>
    </w:rPr>
  </w:style>
  <w:style w:styleId="style28" w:type="paragraph">
    <w:name w:val="Text Body Indent"/>
    <w:basedOn w:val="style21"/>
    <w:next w:val="style28"/>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iupac.pole-ether.fr/" TargetMode="External"/><Relationship Id="rId4" Type="http://schemas.openxmlformats.org/officeDocument/2006/relationships/hyperlink" Target="http://iupac.pole-ether.fr/" TargetMode="External"/><Relationship Id="rId5" Type="http://schemas.openxmlformats.org/officeDocument/2006/relationships/image" Target="media/image1.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2014-06-10T21:47:00.00Z</dcterms:created>
  <dc:creator>idreger</dc:creator>
  <cp:lastModifiedBy>Wallington, Timothy (T.J.)</cp:lastModifiedBy>
  <cp:lastPrinted>2004-06-07T13:56:00.00Z</cp:lastPrinted>
  <dcterms:modified xsi:type="dcterms:W3CDTF">2014-06-10T21:47:00.00Z</dcterms:modified>
  <cp:revision>2</cp:revision>
  <dc:title>IUPAC Task Group on Atmospheric Chemical Kinetic Data Evaluation – Data Sheet IV.A2.95 oClOx21</dc:title>
</cp:coreProperties>
</file>