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9F1638" w:rsidRDefault="009F1638">
      <w:pPr>
        <w:pStyle w:val="BodyTextIndent"/>
        <w:ind w:left="318" w:right="401"/>
        <w:rPr>
          <w:b/>
          <w:bCs/>
          <w:szCs w:val="24"/>
        </w:rPr>
      </w:pPr>
      <w:r w:rsidRPr="009F1638">
        <w:rPr>
          <w:b/>
          <w:bCs/>
          <w:szCs w:val="24"/>
        </w:rPr>
        <w:t xml:space="preserve">Task Group on Atmospheric Chemical Kinetic Data Evaluation – Data Sheet IV.A2.93 </w:t>
      </w:r>
    </w:p>
    <w:p w:rsidR="009F1638" w:rsidRDefault="009F1638">
      <w:pPr>
        <w:ind w:left="346" w:right="525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Website: </w:t>
      </w:r>
      <w:hyperlink r:id="rId6" w:history="1">
        <w:r w:rsidRPr="009F1638">
          <w:rPr>
            <w:rStyle w:val="Hyperlink"/>
            <w:sz w:val="24"/>
            <w:szCs w:val="24"/>
          </w:rPr>
          <w:t>http://iupac.pole-ether.fr</w:t>
        </w:r>
      </w:hyperlink>
      <w:r w:rsidRPr="009F1638">
        <w:rPr>
          <w:sz w:val="24"/>
          <w:szCs w:val="24"/>
        </w:rPr>
        <w:t xml:space="preserve">. See website for latest evaluated data. Data sheets can be downloaded for personal use </w:t>
      </w:r>
      <w:r w:rsidRPr="009F1638">
        <w:rPr>
          <w:sz w:val="24"/>
          <w:szCs w:val="24"/>
        </w:rPr>
        <w:t xml:space="preserve">only and must not be retransmitted or disseminated either electronically or in hardcopy without explicit written permission. </w:t>
      </w:r>
      <w:r w:rsidRPr="009F1638">
        <w:rPr>
          <w:sz w:val="24"/>
          <w:szCs w:val="24"/>
        </w:rPr>
        <w:t xml:space="preserve">The citation for this data sheet is: </w:t>
      </w:r>
      <w:r w:rsidRPr="009F1638">
        <w:rPr>
          <w:spacing w:val="-3"/>
          <w:sz w:val="24"/>
          <w:szCs w:val="24"/>
          <w:lang w:val="en-US"/>
        </w:rPr>
        <w:t>Atkinson, R., Baulch, D. L., Cox, R. A., Crowley, J. N., Hampson, R. F., Hynes, R. G., Jenkin,</w:t>
      </w:r>
      <w:r w:rsidRPr="009F1638">
        <w:rPr>
          <w:spacing w:val="-3"/>
          <w:sz w:val="24"/>
          <w:szCs w:val="24"/>
          <w:lang w:val="en-US"/>
        </w:rPr>
        <w:t xml:space="preserve"> M. E., Rossi, M. J., Troe, J., and Wallington, T. J.: Atmos. Chem. Phys., 8, 4141, 2008; IUPAC Task Group on Atmospheric Chemical Kinetic Data Evaluation, </w:t>
      </w:r>
      <w:hyperlink r:id="rId7" w:history="1">
        <w:r w:rsidRPr="009F1638">
          <w:rPr>
            <w:rStyle w:val="Hyperlink"/>
            <w:sz w:val="24"/>
            <w:szCs w:val="24"/>
          </w:rPr>
          <w:t>http://iupac.pole-ether.fr</w:t>
        </w:r>
      </w:hyperlink>
      <w:r w:rsidRPr="009F1638">
        <w:rPr>
          <w:sz w:val="24"/>
          <w:szCs w:val="24"/>
        </w:rPr>
        <w:t xml:space="preserve">. </w:t>
      </w:r>
    </w:p>
    <w:p w:rsidR="00000000" w:rsidRDefault="009F1638">
      <w:pPr>
        <w:ind w:left="346" w:right="525"/>
        <w:jc w:val="both"/>
      </w:pPr>
      <w:r w:rsidRPr="009F1638">
        <w:rPr>
          <w:sz w:val="24"/>
          <w:szCs w:val="24"/>
        </w:rPr>
        <w:t>This data sheet la</w:t>
      </w:r>
      <w:bookmarkStart w:id="0" w:name="_GoBack"/>
      <w:bookmarkEnd w:id="0"/>
      <w:r w:rsidRPr="009F1638">
        <w:rPr>
          <w:sz w:val="24"/>
          <w:szCs w:val="24"/>
        </w:rPr>
        <w:t>st evaluat</w:t>
      </w:r>
      <w:r w:rsidRPr="009F1638">
        <w:rPr>
          <w:sz w:val="24"/>
          <w:szCs w:val="24"/>
        </w:rPr>
        <w:t>ed: June 201</w:t>
      </w:r>
      <w:r>
        <w:rPr>
          <w:sz w:val="24"/>
          <w:szCs w:val="24"/>
        </w:rPr>
        <w:t>4</w:t>
      </w:r>
      <w:r w:rsidRPr="009F1638">
        <w:rPr>
          <w:sz w:val="24"/>
          <w:szCs w:val="24"/>
        </w:rPr>
        <w:t>; last change in preferred values: December 2007</w:t>
      </w:r>
      <w:r w:rsidRPr="009F1638">
        <w:rPr>
          <w:sz w:val="24"/>
          <w:szCs w:val="24"/>
        </w:rPr>
        <w:t>.</w:t>
      </w:r>
    </w:p>
    <w:p w:rsidR="00000000" w:rsidRDefault="009F1638">
      <w:pPr>
        <w:jc w:val="center"/>
        <w:rPr>
          <w:b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105410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8.3pt" to="545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bckg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000000" w:rsidRDefault="009F1638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Cl + 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 xml:space="preserve">FCl (HCFC-31) </w:t>
      </w:r>
      <w:r>
        <w:rPr>
          <w:rFonts w:ascii="Symbol" w:hAnsi="Symbol"/>
          <w:b/>
          <w:spacing w:val="-3"/>
          <w:sz w:val="24"/>
          <w:lang w:val="en-US"/>
        </w:rPr>
        <w:t></w:t>
      </w:r>
      <w:r>
        <w:rPr>
          <w:b/>
          <w:spacing w:val="-3"/>
          <w:sz w:val="24"/>
          <w:lang w:val="en-US"/>
        </w:rPr>
        <w:t xml:space="preserve"> HCl + CHFCl</w:t>
      </w:r>
    </w:p>
    <w:p w:rsidR="00000000" w:rsidRDefault="009F1638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9F1638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Rate coefficient data</w:t>
      </w:r>
    </w:p>
    <w:p w:rsidR="00000000" w:rsidRDefault="009F1638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868" w:type="dxa"/>
        <w:tblLayout w:type="fixed"/>
        <w:tblLook w:val="0000" w:firstRow="0" w:lastRow="0" w:firstColumn="0" w:lastColumn="0" w:noHBand="0" w:noVBand="0"/>
      </w:tblPr>
      <w:tblGrid>
        <w:gridCol w:w="2614"/>
        <w:gridCol w:w="1009"/>
        <w:gridCol w:w="2766"/>
        <w:gridCol w:w="2046"/>
      </w:tblGrid>
      <w:tr w:rsidR="00000000">
        <w:tc>
          <w:tcPr>
            <w:tcW w:w="2614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lang w:val="en-US"/>
              </w:rPr>
              <w:t>/cm</w:t>
            </w:r>
            <w:r>
              <w:rPr>
                <w:spacing w:val="-2"/>
                <w:vertAlign w:val="superscript"/>
                <w:lang w:val="en-US"/>
              </w:rPr>
              <w:t>3</w:t>
            </w:r>
            <w:r>
              <w:rPr>
                <w:spacing w:val="-2"/>
                <w:lang w:val="en-US"/>
              </w:rPr>
              <w:t xml:space="preserve"> molecule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s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1009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Temp./K</w:t>
            </w:r>
          </w:p>
        </w:tc>
        <w:tc>
          <w:tcPr>
            <w:tcW w:w="2766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pStyle w:val="Heading2"/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2046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Technique/ Comments</w:t>
            </w:r>
          </w:p>
        </w:tc>
      </w:tr>
      <w:tr w:rsidR="00000000">
        <w:tc>
          <w:tcPr>
            <w:tcW w:w="261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line="264" w:lineRule="auto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76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line="264" w:lineRule="auto"/>
              <w:rPr>
                <w:spacing w:val="-2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</w:tr>
      <w:tr w:rsidR="00000000">
        <w:tc>
          <w:tcPr>
            <w:tcW w:w="2614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1.2 x 10</w:t>
            </w:r>
            <w:r>
              <w:rPr>
                <w:spacing w:val="-2"/>
                <w:vertAlign w:val="superscript"/>
                <w:lang w:val="en-US"/>
              </w:rPr>
              <w:t>-11</w:t>
            </w:r>
            <w:r>
              <w:rPr>
                <w:spacing w:val="-2"/>
                <w:lang w:val="en-US"/>
              </w:rPr>
              <w:t xml:space="preserve"> exp(-1230/</w:t>
            </w:r>
            <w:r>
              <w:rPr>
                <w:i/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273-368</w:t>
            </w:r>
          </w:p>
        </w:tc>
        <w:tc>
          <w:tcPr>
            <w:tcW w:w="2766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Tschui</w:t>
            </w:r>
            <w:r>
              <w:rPr>
                <w:spacing w:val="-2"/>
                <w:lang w:val="en-US"/>
              </w:rPr>
              <w:t>kow-Roux et al., 1988</w:t>
            </w:r>
          </w:p>
        </w:tc>
        <w:tc>
          <w:tcPr>
            <w:tcW w:w="2046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(a)</w:t>
            </w:r>
          </w:p>
        </w:tc>
      </w:tr>
      <w:tr w:rsidR="00000000">
        <w:tc>
          <w:tcPr>
            <w:tcW w:w="2614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1.9 x 10</w:t>
            </w:r>
            <w:r>
              <w:rPr>
                <w:spacing w:val="-2"/>
                <w:vertAlign w:val="superscript"/>
                <w:lang w:val="en-US"/>
              </w:rPr>
              <w:t>-13</w:t>
            </w:r>
          </w:p>
        </w:tc>
        <w:tc>
          <w:tcPr>
            <w:tcW w:w="1009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766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</w:p>
        </w:tc>
        <w:tc>
          <w:tcPr>
            <w:tcW w:w="2046" w:type="dxa"/>
            <w:shd w:val="clear" w:color="auto" w:fill="auto"/>
          </w:tcPr>
          <w:p w:rsidR="00000000" w:rsidRDefault="009F1638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000000"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after="120"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 xml:space="preserve">(1.10 </w:t>
            </w:r>
            <w:r>
              <w:rPr>
                <w:rFonts w:ascii="Symbol" w:hAnsi="Symbol"/>
                <w:spacing w:val="-2"/>
                <w:lang w:val="en-US"/>
              </w:rPr>
              <w:t></w:t>
            </w:r>
            <w:r>
              <w:rPr>
                <w:spacing w:val="-2"/>
                <w:lang w:val="en-US"/>
              </w:rPr>
              <w:t xml:space="preserve"> 0.25) x 10</w:t>
            </w:r>
            <w:r>
              <w:rPr>
                <w:spacing w:val="-2"/>
                <w:vertAlign w:val="superscript"/>
                <w:lang w:val="en-US"/>
              </w:rPr>
              <w:t>-13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76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Tuazon et al., 1992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snapToGrid w:val="0"/>
              <w:spacing w:after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(b)</w:t>
            </w:r>
          </w:p>
        </w:tc>
      </w:tr>
    </w:tbl>
    <w:p w:rsidR="00000000" w:rsidRDefault="009F1638">
      <w:pPr>
        <w:tabs>
          <w:tab w:val="center" w:pos="4680"/>
        </w:tabs>
        <w:spacing w:line="240" w:lineRule="atLeast"/>
        <w:jc w:val="center"/>
      </w:pPr>
    </w:p>
    <w:p w:rsidR="00000000" w:rsidRDefault="009F1638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Comments</w:t>
      </w: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ind w:left="444" w:right="525" w:hanging="44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(a)</w:t>
      </w:r>
      <w:r>
        <w:rPr>
          <w:spacing w:val="-3"/>
          <w:sz w:val="24"/>
          <w:lang w:val="en-US"/>
        </w:rPr>
        <w:tab/>
        <w:t>Cl atoms were generated 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. Product yield ratios were measured by GC. Kinetic data were derived by measuring the for</w:t>
      </w:r>
      <w:r>
        <w:rPr>
          <w:spacing w:val="-3"/>
          <w:sz w:val="24"/>
          <w:lang w:val="en-US"/>
        </w:rPr>
        <w:t>mation of CHFCl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following UV irradiation at 424 nm of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-CH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FCl-Cl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mixtures at a total pressure of about 28 mbar. Derived values of </w:t>
      </w:r>
      <w:r>
        <w:rPr>
          <w:i/>
          <w:spacing w:val="-3"/>
          <w:sz w:val="24"/>
          <w:lang w:val="en-US"/>
        </w:rPr>
        <w:t>A</w:t>
      </w:r>
      <w:r>
        <w:rPr>
          <w:spacing w:val="-3"/>
          <w:sz w:val="24"/>
          <w:lang w:val="en-US"/>
        </w:rPr>
        <w:t>/</w:t>
      </w:r>
      <w:r>
        <w:rPr>
          <w:i/>
          <w:spacing w:val="-3"/>
          <w:sz w:val="24"/>
          <w:lang w:val="en-US"/>
        </w:rPr>
        <w:t>A</w:t>
      </w:r>
      <w:r>
        <w:rPr>
          <w:spacing w:val="-3"/>
          <w:sz w:val="24"/>
          <w:vertAlign w:val="subscript"/>
          <w:lang w:val="en-US"/>
        </w:rPr>
        <w:t>CH4</w:t>
      </w:r>
      <w:r>
        <w:rPr>
          <w:spacing w:val="-3"/>
          <w:sz w:val="24"/>
          <w:lang w:val="en-US"/>
        </w:rPr>
        <w:t xml:space="preserve"> = (1.92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0.01) and (</w:t>
      </w:r>
      <w:r>
        <w:rPr>
          <w:i/>
          <w:spacing w:val="-3"/>
          <w:sz w:val="24"/>
          <w:lang w:val="en-US"/>
        </w:rPr>
        <w:t>E</w:t>
      </w:r>
      <w:r>
        <w:rPr>
          <w:spacing w:val="-3"/>
          <w:sz w:val="24"/>
          <w:lang w:val="en-US"/>
        </w:rPr>
        <w:t>-</w:t>
      </w:r>
      <w:r>
        <w:rPr>
          <w:i/>
          <w:spacing w:val="-3"/>
          <w:sz w:val="24"/>
          <w:lang w:val="en-US"/>
        </w:rPr>
        <w:t>E</w:t>
      </w:r>
      <w:r>
        <w:rPr>
          <w:spacing w:val="-3"/>
          <w:sz w:val="24"/>
          <w:vertAlign w:val="subscript"/>
          <w:lang w:val="en-US"/>
        </w:rPr>
        <w:t>CH4</w:t>
      </w:r>
      <w:r>
        <w:rPr>
          <w:spacing w:val="-3"/>
          <w:sz w:val="24"/>
          <w:lang w:val="en-US"/>
        </w:rPr>
        <w:t xml:space="preserve">)/R = (-8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2) K were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= 6.6 x 1</w:t>
      </w:r>
      <w:r>
        <w:rPr>
          <w:spacing w:val="-3"/>
          <w:sz w:val="24"/>
          <w:lang w:val="en-US"/>
        </w:rPr>
        <w:t>0</w:t>
      </w:r>
      <w:r>
        <w:rPr>
          <w:spacing w:val="-3"/>
          <w:sz w:val="24"/>
          <w:vertAlign w:val="superscript"/>
          <w:lang w:val="en-US"/>
        </w:rPr>
        <w:t>-12</w:t>
      </w:r>
      <w:r>
        <w:rPr>
          <w:spacing w:val="-3"/>
          <w:sz w:val="24"/>
          <w:lang w:val="en-US"/>
        </w:rPr>
        <w:t xml:space="preserve"> exp(-1240/</w:t>
      </w:r>
      <w:r>
        <w:rPr>
          <w:i/>
          <w:spacing w:val="-3"/>
          <w:sz w:val="24"/>
          <w:lang w:val="en-US"/>
        </w:rPr>
        <w:t>T</w:t>
      </w:r>
      <w:r>
        <w:rPr>
          <w:spacing w:val="-3"/>
          <w:sz w:val="24"/>
          <w:lang w:val="en-US"/>
        </w:rPr>
        <w:t>)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</w:t>
      </w:r>
    </w:p>
    <w:p w:rsidR="00000000" w:rsidRDefault="009F1638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atLeast"/>
        <w:ind w:right="525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presence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in 986 mbar (740 Torr) air bath gas.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were measured by FTIR spectroscopy. The rate constant ratio obtained,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FCl)</w:t>
      </w:r>
      <w:r>
        <w:rPr>
          <w:spacing w:val="-3"/>
          <w:sz w:val="24"/>
          <w:lang w:val="en-US"/>
        </w:rPr>
        <w:t>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1.10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0.02 was placed on an absolute value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1.0 </w:t>
      </w:r>
      <w:r>
        <w:rPr>
          <w:rFonts w:ascii="Symbol" w:hAnsi="Symbol"/>
          <w:spacing w:val="-3"/>
          <w:sz w:val="24"/>
        </w:rPr>
        <w:t></w:t>
      </w:r>
      <w:r>
        <w:rPr>
          <w:spacing w:val="-3"/>
          <w:sz w:val="24"/>
          <w:lang w:val="en-US"/>
        </w:rPr>
        <w:t xml:space="preserve"> 10</w:t>
      </w:r>
      <w:r>
        <w:rPr>
          <w:spacing w:val="-3"/>
          <w:sz w:val="24"/>
          <w:vertAlign w:val="superscript"/>
          <w:lang w:val="en-US"/>
        </w:rPr>
        <w:t>-13</w:t>
      </w:r>
      <w:r>
        <w:rPr>
          <w:spacing w:val="-3"/>
          <w:sz w:val="24"/>
          <w:lang w:val="en-US"/>
        </w:rPr>
        <w:t xml:space="preserve">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noBreakHyphen/>
        <w:t>1</w:t>
      </w:r>
      <w:r>
        <w:rPr>
          <w:spacing w:val="-3"/>
          <w:sz w:val="24"/>
          <w:lang w:val="en-US"/>
        </w:rPr>
        <w:t xml:space="preserve"> (Atkinson et al., 2006).</w:t>
      </w: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9F1638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Preferred Values</w:t>
      </w: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882" w:type="dxa"/>
        <w:tblLayout w:type="fixed"/>
        <w:tblLook w:val="0000" w:firstRow="0" w:lastRow="0" w:firstColumn="0" w:lastColumn="0" w:noHBand="0" w:noVBand="0"/>
      </w:tblPr>
      <w:tblGrid>
        <w:gridCol w:w="3388"/>
        <w:gridCol w:w="2987"/>
        <w:gridCol w:w="2046"/>
      </w:tblGrid>
      <w:tr w:rsidR="00000000">
        <w:tc>
          <w:tcPr>
            <w:tcW w:w="33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Parameter</w:t>
            </w: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Value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i/>
                <w:iCs/>
                <w:spacing w:val="-3"/>
                <w:sz w:val="24"/>
                <w:lang w:val="en-US"/>
              </w:rPr>
              <w:t>T</w:t>
            </w:r>
            <w:r>
              <w:rPr>
                <w:b/>
                <w:spacing w:val="-3"/>
                <w:sz w:val="24"/>
                <w:lang w:val="en-US"/>
              </w:rPr>
              <w:t>/K</w:t>
            </w:r>
          </w:p>
        </w:tc>
      </w:tr>
      <w:tr w:rsidR="00000000">
        <w:tc>
          <w:tcPr>
            <w:tcW w:w="338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rPr>
                <w:spacing w:val="-3"/>
                <w:sz w:val="24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000000">
        <w:tc>
          <w:tcPr>
            <w:tcW w:w="3388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spacing w:val="-3"/>
                <w:sz w:val="24"/>
                <w:lang w:val="en-US"/>
              </w:rPr>
              <w:t xml:space="preserve"> /cm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2987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1.1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-13</w:t>
            </w:r>
          </w:p>
        </w:tc>
        <w:tc>
          <w:tcPr>
            <w:tcW w:w="2046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388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 xml:space="preserve">k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2987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6.8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-12</w:t>
            </w:r>
            <w:r>
              <w:rPr>
                <w:spacing w:val="-3"/>
                <w:sz w:val="24"/>
                <w:lang w:val="en-US"/>
              </w:rPr>
              <w:t xml:space="preserve"> exp(-1230/</w:t>
            </w:r>
            <w:r>
              <w:rPr>
                <w:i/>
                <w:spacing w:val="-3"/>
                <w:sz w:val="24"/>
                <w:lang w:val="en-US"/>
              </w:rPr>
              <w:t>T</w:t>
            </w:r>
            <w:r>
              <w:rPr>
                <w:spacing w:val="-3"/>
                <w:sz w:val="24"/>
                <w:lang w:val="en-US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270-370</w:t>
            </w:r>
          </w:p>
        </w:tc>
      </w:tr>
    </w:tbl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ind w:left="761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Reliability</w:t>
      </w:r>
    </w:p>
    <w:tbl>
      <w:tblPr>
        <w:tblW w:w="0" w:type="auto"/>
        <w:tblInd w:w="882" w:type="dxa"/>
        <w:tblLayout w:type="fixed"/>
        <w:tblLook w:val="0000" w:firstRow="0" w:lastRow="0" w:firstColumn="0" w:lastColumn="0" w:noHBand="0" w:noVBand="0"/>
      </w:tblPr>
      <w:tblGrid>
        <w:gridCol w:w="3388"/>
        <w:gridCol w:w="2987"/>
        <w:gridCol w:w="2046"/>
      </w:tblGrid>
      <w:tr w:rsidR="00000000">
        <w:tc>
          <w:tcPr>
            <w:tcW w:w="3388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i/>
                <w:spacing w:val="-3"/>
                <w:sz w:val="24"/>
                <w:lang w:val="en-US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log</w:t>
            </w:r>
            <w:r>
              <w:rPr>
                <w:i/>
                <w:spacing w:val="-3"/>
                <w:sz w:val="24"/>
                <w:lang w:val="en-US"/>
              </w:rPr>
              <w:t xml:space="preserve"> k</w:t>
            </w:r>
          </w:p>
        </w:tc>
        <w:tc>
          <w:tcPr>
            <w:tcW w:w="2987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0.3</w:t>
            </w:r>
          </w:p>
        </w:tc>
        <w:tc>
          <w:tcPr>
            <w:tcW w:w="2046" w:type="dxa"/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38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E/R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500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F1638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</w:tbl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Comments on Preferred Values</w:t>
      </w:r>
    </w:p>
    <w:p w:rsidR="00000000" w:rsidRDefault="009F1638">
      <w:pPr>
        <w:tabs>
          <w:tab w:val="left" w:pos="0"/>
          <w:tab w:val="left" w:pos="444"/>
          <w:tab w:val="left" w:pos="720"/>
        </w:tabs>
        <w:spacing w:line="240" w:lineRule="atLeast"/>
        <w:ind w:left="346" w:right="525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ab/>
        <w:t xml:space="preserve">In the relative rate study by Tuazon et al. (1992) the rate constant ratio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was measured by monitoring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following UV irr</w:t>
      </w:r>
      <w:r>
        <w:rPr>
          <w:spacing w:val="-3"/>
          <w:sz w:val="24"/>
          <w:lang w:val="en-US"/>
        </w:rPr>
        <w:t>adiation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FCl–CH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–Cl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–air mixtures. 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were monitored directly using in-situ FTIR spectroscopy.  In the relative rate study by Tschuikow-Roux et al. (1988) the rate coefficient ratio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 was measured by mon</w:t>
      </w:r>
      <w:r>
        <w:rPr>
          <w:spacing w:val="-3"/>
          <w:sz w:val="24"/>
          <w:lang w:val="en-US"/>
        </w:rPr>
        <w:t>itoring the formation of CHFCl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following UV irradiation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FCl–CH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–Cl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mixtures.  The formation of CHFCl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were measured by GC-FID and used to infer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FCl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.  Tschuikow-Roux et al. (1988) applied a large (5.089) co</w:t>
      </w:r>
      <w:r>
        <w:rPr>
          <w:spacing w:val="-3"/>
          <w:sz w:val="24"/>
          <w:lang w:val="en-US"/>
        </w:rPr>
        <w:t xml:space="preserve">rrection factor to account for </w:t>
      </w:r>
      <w:r>
        <w:rPr>
          <w:spacing w:val="-3"/>
          <w:sz w:val="24"/>
          <w:lang w:val="en-US"/>
        </w:rPr>
        <w:lastRenderedPageBreak/>
        <w:t>the response of the GC-FID to CHFCl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.  In light of the less direct approach and large correction made in the work of Tschuikow-Roux et al. (1988) the room temperature result of Tuazon et al. (1992) is preferred. The recommend</w:t>
      </w:r>
      <w:r>
        <w:rPr>
          <w:spacing w:val="-3"/>
          <w:sz w:val="24"/>
          <w:lang w:val="en-US"/>
        </w:rPr>
        <w:t>ed value is based on the room temperature results of Tuazon et al. (1992) and the temperature dependence reported by Tschuikow-Roux et al. (1988).</w:t>
      </w:r>
    </w:p>
    <w:p w:rsidR="00000000" w:rsidRDefault="009F1638">
      <w:pPr>
        <w:tabs>
          <w:tab w:val="center" w:pos="468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9F1638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References</w:t>
      </w:r>
    </w:p>
    <w:p w:rsidR="00000000" w:rsidRDefault="009F1638">
      <w:pPr>
        <w:pStyle w:val="BodyText"/>
      </w:pPr>
    </w:p>
    <w:p w:rsidR="00000000" w:rsidRPr="009F1638" w:rsidRDefault="009F1638">
      <w:pPr>
        <w:widowControl/>
        <w:ind w:left="346" w:right="525"/>
        <w:rPr>
          <w:sz w:val="24"/>
          <w:szCs w:val="24"/>
        </w:rPr>
      </w:pPr>
      <w:r>
        <w:rPr>
          <w:spacing w:val="-3"/>
          <w:sz w:val="24"/>
          <w:lang w:val="en-US"/>
        </w:rPr>
        <w:t>Atkinson, R., Baulch, D. L., Cox, R. A., Crowley, J. N., Hampson, R. F., Hynes, R. G., Jenkin, M</w:t>
      </w:r>
      <w:r>
        <w:rPr>
          <w:spacing w:val="-3"/>
          <w:sz w:val="24"/>
          <w:lang w:val="en-US"/>
        </w:rPr>
        <w:t>. E., Rossi, M.</w:t>
      </w:r>
      <w:r>
        <w:rPr>
          <w:spacing w:val="-3"/>
          <w:sz w:val="24"/>
          <w:lang w:val="en-US"/>
        </w:rPr>
        <w:t xml:space="preserve"> J., and Troe, J.: Atmos. Chem. Phys., 6, 3625, 2006; IUPAC Task Group on Atmospheric Chemical Kinetic </w:t>
      </w:r>
      <w:r w:rsidRPr="009F1638">
        <w:rPr>
          <w:spacing w:val="-3"/>
          <w:sz w:val="24"/>
          <w:szCs w:val="24"/>
          <w:lang w:val="en-US"/>
        </w:rPr>
        <w:t>Data Evaluation,</w:t>
      </w:r>
      <w:r w:rsidRPr="009F1638">
        <w:rPr>
          <w:spacing w:val="-3"/>
          <w:sz w:val="24"/>
          <w:szCs w:val="24"/>
          <w:lang w:val="en-US"/>
        </w:rPr>
        <w:t xml:space="preserve"> </w:t>
      </w:r>
      <w:hyperlink r:id="rId8" w:history="1">
        <w:r w:rsidRPr="009F1638">
          <w:rPr>
            <w:rStyle w:val="Hyperlink"/>
            <w:sz w:val="24"/>
            <w:szCs w:val="24"/>
          </w:rPr>
          <w:t>http://iupac.pole-ether.fr</w:t>
        </w:r>
      </w:hyperlink>
    </w:p>
    <w:p w:rsidR="00000000" w:rsidRDefault="009F1638">
      <w:pPr>
        <w:pStyle w:val="BodyText"/>
        <w:ind w:left="346" w:right="525"/>
      </w:pPr>
      <w:r>
        <w:t>Tschuikow-Roux, E., Faraji, F., Paddison, S., Nied</w:t>
      </w:r>
      <w:r>
        <w:t>zielski, J. and Miyokawa, K.: J. Phys. Chem., 92, 1488, 1988.</w:t>
      </w:r>
    </w:p>
    <w:p w:rsidR="00000000" w:rsidRDefault="009F1638">
      <w:pPr>
        <w:pStyle w:val="BodyText"/>
        <w:ind w:left="346" w:right="525"/>
      </w:pPr>
      <w:r>
        <w:t>Tuazon, E. C., Atkinson, R. and Corchnoy, S. B.: Int. J. Chem. Kinet., 24, 639, 1992.</w:t>
      </w:r>
    </w:p>
    <w:p w:rsidR="00000000" w:rsidRDefault="009F1638">
      <w:pPr>
        <w:pStyle w:val="BodyText"/>
      </w:pPr>
    </w:p>
    <w:p w:rsidR="00000000" w:rsidRDefault="009F1638">
      <w:pPr>
        <w:ind w:left="581"/>
      </w:pPr>
      <w:r>
        <w:rPr>
          <w:noProof/>
          <w:lang w:val="en-US" w:eastAsia="en-US"/>
        </w:rPr>
        <w:drawing>
          <wp:inline distT="0" distB="0" distL="0" distR="0">
            <wp:extent cx="5534025" cy="551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1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1638"/>
    <w:sectPr w:rsidR="00000000">
      <w:pgSz w:w="11906" w:h="16838"/>
      <w:pgMar w:top="965" w:right="926" w:bottom="965" w:left="9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8"/>
    <w:rsid w:val="009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IV.A2.93 oClOx19</vt:lpstr>
    </vt:vector>
  </TitlesOfParts>
  <Company>Ford Motor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IV.A2.93 oClOx19</dc:title>
  <dc:creator>idreger</dc:creator>
  <cp:lastModifiedBy>Wallington, Timothy (T.J.)</cp:lastModifiedBy>
  <cp:revision>2</cp:revision>
  <cp:lastPrinted>1601-01-01T00:00:00Z</cp:lastPrinted>
  <dcterms:created xsi:type="dcterms:W3CDTF">2014-06-10T15:01:00Z</dcterms:created>
  <dcterms:modified xsi:type="dcterms:W3CDTF">2014-06-10T15:01:00Z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-1404981593</vt:i4>
  </property>
  <property fmtid="{D5CDD505-2E9C-101B-9397-08002B2CF9AE}" pid="3" name="_AuthorEmail">
    <vt:lpwstr>twalling@ford.com</vt:lpwstr>
  </property>
  <property fmtid="{D5CDD505-2E9C-101B-9397-08002B2CF9AE}" pid="4" name="_AuthorEmailDisplayName">
    <vt:lpwstr>Wallington, Timothy (T.J.)</vt:lpwstr>
  </property>
  <property fmtid="{D5CDD505-2E9C-101B-9397-08002B2CF9AE}" pid="5" name="_EmailSubject">
    <vt:lpwstr>More updated data sheets to upload to website</vt:lpwstr>
  </property>
  <property fmtid="{D5CDD505-2E9C-101B-9397-08002B2CF9AE}" pid="7" name="_NewReviewCycle">
    <vt:lpwstr/>
  </property>
  <property fmtid="{D5CDD505-2E9C-101B-9397-08002B2CF9AE}" pid="8" name="_PreviousAdHocReviewCycleID">
    <vt:i4>295805076</vt:i4>
  </property>
</Properties>
</file>