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268D" w:rsidRDefault="00BD268D">
      <w:pPr>
        <w:pStyle w:val="Heading1"/>
        <w:ind w:left="170" w:right="0"/>
      </w:pPr>
      <w:r>
        <w:rPr>
          <w:b/>
          <w:bCs/>
          <w:i w:val="0"/>
          <w:iCs w:val="0"/>
          <w:sz w:val="28"/>
          <w:szCs w:val="28"/>
        </w:rPr>
        <w:t>IUPAC Task Group on Atmospheric Chemical Kinetic Data Evaluation – Data Sheet ROO_5</w:t>
      </w:r>
    </w:p>
    <w:p w:rsidR="00201ECC" w:rsidRDefault="00201ECC" w:rsidP="00201ECC">
      <w:pPr>
        <w:ind w:left="170" w:right="397"/>
        <w:jc w:val="both"/>
      </w:pPr>
      <w:r>
        <w:t>Datasheets can be downloaded for personal use only and must not be retransmitted or disseminated either electronically or in hardcopy without explicit written permission. The citation for this data sheet is: IUPAC Task Group on Atmospheric Chemical Kinetic Data Evaluation, (http://iupac.pole-ether.fr).</w:t>
      </w:r>
    </w:p>
    <w:p w:rsidR="00BD268D" w:rsidRDefault="00201ECC" w:rsidP="00201ECC">
      <w:pPr>
        <w:ind w:left="170" w:right="397"/>
        <w:jc w:val="both"/>
      </w:pPr>
      <w:r>
        <w:t xml:space="preserve">This datasheet last evaluated: June 2018; last change in preferred values: </w:t>
      </w:r>
      <w:r w:rsidR="00CB79F9">
        <w:t xml:space="preserve">June </w:t>
      </w:r>
      <w:r>
        <w:t>2018</w:t>
      </w:r>
      <w:r w:rsidR="00BD268D">
        <w:t>.</w:t>
      </w:r>
    </w:p>
    <w:p w:rsidR="00BD268D" w:rsidRDefault="00D821FB">
      <w:pPr>
        <w:jc w:val="both"/>
        <w:rPr>
          <w:b/>
          <w:color w:val="00000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-632460</wp:posOffset>
                </wp:positionH>
                <wp:positionV relativeFrom="paragraph">
                  <wp:posOffset>173355</wp:posOffset>
                </wp:positionV>
                <wp:extent cx="75596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3.65pt" to="54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omQIAAHc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" strokeweight=".26mm">
                <v:stroke joinstyle="miter" endcap="square"/>
              </v:line>
            </w:pict>
          </mc:Fallback>
        </mc:AlternateContent>
      </w:r>
    </w:p>
    <w:p w:rsidR="00BD268D" w:rsidRDefault="00BD268D">
      <w:pPr>
        <w:tabs>
          <w:tab w:val="center" w:pos="4680"/>
          <w:tab w:val="right" w:pos="9360"/>
        </w:tabs>
        <w:jc w:val="both"/>
        <w:rPr>
          <w:b/>
          <w:i/>
          <w:lang w:val="pt-BR"/>
        </w:rPr>
      </w:pPr>
      <w:r>
        <w:tab/>
      </w:r>
    </w:p>
    <w:p w:rsidR="00BD268D" w:rsidRDefault="00BD268D">
      <w:pPr>
        <w:tabs>
          <w:tab w:val="center" w:pos="4680"/>
          <w:tab w:val="right" w:pos="9360"/>
        </w:tabs>
        <w:jc w:val="both"/>
        <w:rPr>
          <w:b/>
          <w:lang w:val="pt-BR"/>
        </w:rPr>
      </w:pPr>
      <w:r>
        <w:rPr>
          <w:b/>
          <w:i/>
          <w:lang w:val="pt-BR"/>
        </w:rPr>
        <w:tab/>
        <w:t>i</w:t>
      </w:r>
      <w:r>
        <w:rPr>
          <w:b/>
          <w:lang w:val="pt-BR"/>
        </w:rPr>
        <w:t>-C</w:t>
      </w:r>
      <w:r>
        <w:rPr>
          <w:b/>
          <w:vertAlign w:val="subscript"/>
          <w:lang w:val="pt-BR"/>
        </w:rPr>
        <w:t>3</w:t>
      </w:r>
      <w:r>
        <w:rPr>
          <w:b/>
          <w:lang w:val="pt-BR"/>
        </w:rPr>
        <w:t>H</w:t>
      </w:r>
      <w:r>
        <w:rPr>
          <w:b/>
          <w:vertAlign w:val="subscript"/>
          <w:lang w:val="pt-BR"/>
        </w:rPr>
        <w:t>7</w:t>
      </w:r>
      <w:r>
        <w:rPr>
          <w:b/>
          <w:lang w:val="pt-BR"/>
        </w:rPr>
        <w:t>O</w:t>
      </w:r>
      <w:r>
        <w:rPr>
          <w:b/>
          <w:vertAlign w:val="subscript"/>
          <w:lang w:val="pt-BR"/>
        </w:rPr>
        <w:t>2</w:t>
      </w:r>
      <w:r>
        <w:rPr>
          <w:b/>
          <w:lang w:val="pt-BR"/>
        </w:rPr>
        <w:t xml:space="preserve"> + NO </w:t>
      </w:r>
      <w:r>
        <w:rPr>
          <w:rFonts w:ascii="Symbol" w:hAnsi="Symbol" w:cs="Symbol"/>
          <w:b/>
        </w:rPr>
        <w:t></w:t>
      </w:r>
      <w:r>
        <w:rPr>
          <w:b/>
          <w:lang w:val="pt-BR"/>
        </w:rPr>
        <w:t xml:space="preserve"> </w:t>
      </w:r>
      <w:r>
        <w:rPr>
          <w:b/>
          <w:i/>
          <w:lang w:val="pt-BR"/>
        </w:rPr>
        <w:t>i</w:t>
      </w:r>
      <w:r>
        <w:rPr>
          <w:b/>
          <w:lang w:val="pt-BR"/>
        </w:rPr>
        <w:t>-C</w:t>
      </w:r>
      <w:r>
        <w:rPr>
          <w:b/>
          <w:vertAlign w:val="subscript"/>
          <w:lang w:val="pt-BR"/>
        </w:rPr>
        <w:t>3</w:t>
      </w:r>
      <w:r>
        <w:rPr>
          <w:b/>
          <w:lang w:val="pt-BR"/>
        </w:rPr>
        <w:t>H</w:t>
      </w:r>
      <w:r>
        <w:rPr>
          <w:b/>
          <w:vertAlign w:val="subscript"/>
          <w:lang w:val="pt-BR"/>
        </w:rPr>
        <w:t>7</w:t>
      </w:r>
      <w:r>
        <w:rPr>
          <w:b/>
          <w:lang w:val="pt-BR"/>
        </w:rPr>
        <w:t>O + NO</w:t>
      </w:r>
      <w:r>
        <w:rPr>
          <w:b/>
          <w:vertAlign w:val="subscript"/>
          <w:lang w:val="pt-BR"/>
        </w:rPr>
        <w:t>2</w:t>
      </w:r>
      <w:r>
        <w:rPr>
          <w:b/>
          <w:lang w:val="pt-BR"/>
        </w:rPr>
        <w:tab/>
        <w:t>(1)</w:t>
      </w:r>
    </w:p>
    <w:p w:rsidR="00BD268D" w:rsidRDefault="00BD268D">
      <w:pPr>
        <w:tabs>
          <w:tab w:val="center" w:pos="4550"/>
          <w:tab w:val="right" w:pos="9360"/>
        </w:tabs>
        <w:jc w:val="both"/>
        <w:rPr>
          <w:lang w:val="pt-BR"/>
        </w:rPr>
      </w:pPr>
      <w:r>
        <w:rPr>
          <w:b/>
          <w:lang w:val="pt-BR"/>
        </w:rPr>
        <w:tab/>
      </w:r>
      <w:r>
        <w:rPr>
          <w:b/>
          <w:i/>
          <w:lang w:val="pt-BR"/>
        </w:rPr>
        <w:t>i</w:t>
      </w:r>
      <w:r>
        <w:rPr>
          <w:b/>
          <w:lang w:val="pt-BR"/>
        </w:rPr>
        <w:t>-C</w:t>
      </w:r>
      <w:r>
        <w:rPr>
          <w:b/>
          <w:vertAlign w:val="subscript"/>
          <w:lang w:val="pt-BR"/>
        </w:rPr>
        <w:t>3</w:t>
      </w:r>
      <w:r>
        <w:rPr>
          <w:b/>
          <w:lang w:val="pt-BR"/>
        </w:rPr>
        <w:t>H</w:t>
      </w:r>
      <w:r>
        <w:rPr>
          <w:b/>
          <w:vertAlign w:val="subscript"/>
          <w:lang w:val="pt-BR"/>
        </w:rPr>
        <w:t>7</w:t>
      </w:r>
      <w:r>
        <w:rPr>
          <w:b/>
          <w:lang w:val="pt-BR"/>
        </w:rPr>
        <w:t>O</w:t>
      </w:r>
      <w:r>
        <w:rPr>
          <w:b/>
          <w:vertAlign w:val="subscript"/>
          <w:lang w:val="pt-BR"/>
        </w:rPr>
        <w:t>2</w:t>
      </w:r>
      <w:r>
        <w:rPr>
          <w:b/>
          <w:lang w:val="pt-BR"/>
        </w:rPr>
        <w:t xml:space="preserve"> + NO + M </w:t>
      </w:r>
      <w:r>
        <w:rPr>
          <w:rFonts w:ascii="Symbol" w:hAnsi="Symbol" w:cs="Symbol"/>
          <w:b/>
        </w:rPr>
        <w:t></w:t>
      </w:r>
      <w:r>
        <w:rPr>
          <w:b/>
          <w:lang w:val="pt-BR"/>
        </w:rPr>
        <w:t xml:space="preserve"> </w:t>
      </w:r>
      <w:r>
        <w:rPr>
          <w:b/>
          <w:i/>
          <w:lang w:val="pt-BR"/>
        </w:rPr>
        <w:t>i</w:t>
      </w:r>
      <w:r>
        <w:rPr>
          <w:b/>
          <w:lang w:val="pt-BR"/>
        </w:rPr>
        <w:t>-C</w:t>
      </w:r>
      <w:r>
        <w:rPr>
          <w:b/>
          <w:vertAlign w:val="subscript"/>
          <w:lang w:val="pt-BR"/>
        </w:rPr>
        <w:t>3</w:t>
      </w:r>
      <w:r>
        <w:rPr>
          <w:b/>
          <w:lang w:val="pt-BR"/>
        </w:rPr>
        <w:t>H</w:t>
      </w:r>
      <w:r>
        <w:rPr>
          <w:b/>
          <w:vertAlign w:val="subscript"/>
          <w:lang w:val="pt-BR"/>
        </w:rPr>
        <w:t>7</w:t>
      </w:r>
      <w:r>
        <w:rPr>
          <w:b/>
          <w:lang w:val="pt-BR"/>
        </w:rPr>
        <w:t>ONO</w:t>
      </w:r>
      <w:r>
        <w:rPr>
          <w:b/>
          <w:vertAlign w:val="subscript"/>
          <w:lang w:val="pt-BR"/>
        </w:rPr>
        <w:t>2</w:t>
      </w:r>
      <w:r>
        <w:rPr>
          <w:b/>
          <w:lang w:val="pt-BR"/>
        </w:rPr>
        <w:t xml:space="preserve"> + M</w:t>
      </w:r>
      <w:r>
        <w:rPr>
          <w:b/>
          <w:lang w:val="pt-BR"/>
        </w:rPr>
        <w:tab/>
        <w:t>(2)</w:t>
      </w:r>
    </w:p>
    <w:p w:rsidR="00BD268D" w:rsidRDefault="00BD268D">
      <w:pPr>
        <w:tabs>
          <w:tab w:val="left" w:pos="-1440"/>
          <w:tab w:val="left" w:pos="-720"/>
          <w:tab w:val="left" w:pos="288"/>
        </w:tabs>
        <w:jc w:val="both"/>
        <w:rPr>
          <w:lang w:val="pt-BR"/>
        </w:rPr>
      </w:pPr>
    </w:p>
    <w:p w:rsidR="00BD268D" w:rsidRPr="001E4621" w:rsidRDefault="00BD268D">
      <w:pPr>
        <w:tabs>
          <w:tab w:val="left" w:pos="-1440"/>
          <w:tab w:val="left" w:pos="-720"/>
          <w:tab w:val="left" w:pos="288"/>
        </w:tabs>
        <w:ind w:left="429"/>
        <w:jc w:val="both"/>
        <w:rPr>
          <w:rFonts w:ascii="Symbol" w:eastAsia="Symbol" w:hAnsi="Symbol" w:cs="Symbol"/>
          <w:lang w:val="pt-BR"/>
        </w:rPr>
      </w:pPr>
      <w:r>
        <w:rPr>
          <w:rFonts w:ascii="Symbol" w:eastAsia="Symbol" w:hAnsi="Symbol" w:cs="Symbol"/>
        </w:rPr>
        <w:t></w:t>
      </w:r>
      <w:r>
        <w:rPr>
          <w:i/>
          <w:lang w:val="pt-BR"/>
        </w:rPr>
        <w:t>H</w:t>
      </w:r>
      <w:r>
        <w:rPr>
          <w:lang w:val="pt-BR"/>
        </w:rPr>
        <w:t>°(1) = -40.5 kJ·mol</w:t>
      </w:r>
      <w:r>
        <w:rPr>
          <w:vertAlign w:val="superscript"/>
          <w:lang w:val="pt-BR"/>
        </w:rPr>
        <w:t>-1</w:t>
      </w:r>
    </w:p>
    <w:p w:rsidR="00BD268D" w:rsidRDefault="00BD268D">
      <w:pPr>
        <w:tabs>
          <w:tab w:val="left" w:pos="-1440"/>
          <w:tab w:val="left" w:pos="-720"/>
          <w:tab w:val="left" w:pos="288"/>
        </w:tabs>
        <w:ind w:left="429"/>
        <w:jc w:val="both"/>
        <w:rPr>
          <w:lang w:val="pt-BR"/>
        </w:rPr>
      </w:pPr>
      <w:r>
        <w:rPr>
          <w:rFonts w:ascii="Symbol" w:eastAsia="Symbol" w:hAnsi="Symbol" w:cs="Symbol"/>
        </w:rPr>
        <w:t></w:t>
      </w:r>
      <w:r>
        <w:rPr>
          <w:i/>
          <w:lang w:val="pt-BR"/>
        </w:rPr>
        <w:t>H</w:t>
      </w:r>
      <w:r>
        <w:rPr>
          <w:lang w:val="pt-BR"/>
        </w:rPr>
        <w:t>°(2) = -212.2 kJ·mol</w:t>
      </w:r>
      <w:r>
        <w:rPr>
          <w:vertAlign w:val="superscript"/>
          <w:lang w:val="pt-BR"/>
        </w:rPr>
        <w:t>-1</w:t>
      </w:r>
    </w:p>
    <w:p w:rsidR="00BD268D" w:rsidRDefault="00BD268D">
      <w:pPr>
        <w:tabs>
          <w:tab w:val="left" w:pos="-1440"/>
          <w:tab w:val="left" w:pos="-720"/>
          <w:tab w:val="left" w:pos="288"/>
        </w:tabs>
        <w:jc w:val="both"/>
        <w:rPr>
          <w:lang w:val="pt-BR"/>
        </w:rPr>
      </w:pPr>
    </w:p>
    <w:p w:rsidR="00BD268D" w:rsidRDefault="00BD268D">
      <w:pPr>
        <w:tabs>
          <w:tab w:val="center" w:pos="4680"/>
        </w:tabs>
        <w:spacing w:line="360" w:lineRule="auto"/>
        <w:jc w:val="center"/>
      </w:pPr>
      <w:r>
        <w:rPr>
          <w:b/>
        </w:rPr>
        <w:t>Rate coefficient data (</w:t>
      </w:r>
      <w:r>
        <w:rPr>
          <w:b/>
          <w:i/>
        </w:rPr>
        <w:t>k</w:t>
      </w:r>
      <w:r>
        <w:rPr>
          <w:b/>
        </w:rPr>
        <w:t xml:space="preserve"> = </w:t>
      </w:r>
      <w:r>
        <w:rPr>
          <w:b/>
          <w:i/>
        </w:rPr>
        <w:t>k</w:t>
      </w:r>
      <w:r>
        <w:rPr>
          <w:b/>
          <w:vertAlign w:val="subscript"/>
        </w:rPr>
        <w:t>1</w:t>
      </w:r>
      <w:r>
        <w:rPr>
          <w:b/>
        </w:rPr>
        <w:t xml:space="preserve"> + </w:t>
      </w:r>
      <w:r>
        <w:rPr>
          <w:b/>
          <w:i/>
        </w:rPr>
        <w:t>k</w:t>
      </w:r>
      <w:r>
        <w:rPr>
          <w:b/>
          <w:vertAlign w:val="subscript"/>
        </w:rPr>
        <w:t>2</w:t>
      </w:r>
      <w:r>
        <w:rPr>
          <w:b/>
        </w:rPr>
        <w:t>)</w:t>
      </w:r>
    </w:p>
    <w:p w:rsidR="00BD268D" w:rsidRDefault="00BD268D">
      <w:pPr>
        <w:tabs>
          <w:tab w:val="left" w:pos="-1440"/>
          <w:tab w:val="left" w:pos="-720"/>
          <w:tab w:val="left" w:pos="288"/>
        </w:tabs>
        <w:jc w:val="both"/>
      </w:pPr>
    </w:p>
    <w:tbl>
      <w:tblPr>
        <w:tblW w:w="0" w:type="auto"/>
        <w:tblInd w:w="785" w:type="dxa"/>
        <w:tblLayout w:type="fixed"/>
        <w:tblLook w:val="0000" w:firstRow="0" w:lastRow="0" w:firstColumn="0" w:lastColumn="0" w:noHBand="0" w:noVBand="0"/>
      </w:tblPr>
      <w:tblGrid>
        <w:gridCol w:w="3434"/>
        <w:gridCol w:w="922"/>
        <w:gridCol w:w="2849"/>
        <w:gridCol w:w="1383"/>
        <w:gridCol w:w="69"/>
      </w:tblGrid>
      <w:tr w:rsidR="00BD268D" w:rsidTr="009266A5">
        <w:tc>
          <w:tcPr>
            <w:tcW w:w="3434" w:type="dxa"/>
            <w:tcBorders>
              <w:top w:val="double" w:sz="1" w:space="0" w:color="000000"/>
              <w:bottom w:val="single" w:sz="4" w:space="0" w:color="000000"/>
            </w:tcBorders>
            <w:shd w:val="clear" w:color="auto" w:fill="auto"/>
          </w:tcPr>
          <w:p w:rsidR="00BD268D" w:rsidRDefault="00BD268D">
            <w:pPr>
              <w:snapToGrid w:val="0"/>
              <w:spacing w:before="120" w:after="120" w:line="264" w:lineRule="auto"/>
              <w:jc w:val="both"/>
              <w:rPr>
                <w:spacing w:val="-2"/>
                <w:sz w:val="20"/>
              </w:rPr>
            </w:pPr>
            <w:r>
              <w:rPr>
                <w:i/>
                <w:spacing w:val="-2"/>
                <w:sz w:val="20"/>
              </w:rPr>
              <w:t>k</w:t>
            </w:r>
            <w:r>
              <w:rPr>
                <w:spacing w:val="-2"/>
                <w:sz w:val="20"/>
              </w:rPr>
              <w:t>/cm</w:t>
            </w:r>
            <w:r>
              <w:rPr>
                <w:spacing w:val="-2"/>
                <w:sz w:val="20"/>
                <w:vertAlign w:val="superscript"/>
              </w:rPr>
              <w:t>3</w:t>
            </w:r>
            <w:r>
              <w:rPr>
                <w:spacing w:val="-2"/>
                <w:sz w:val="20"/>
              </w:rPr>
              <w:t xml:space="preserve"> molecule</w:t>
            </w:r>
            <w:r>
              <w:rPr>
                <w:spacing w:val="-2"/>
                <w:sz w:val="20"/>
                <w:vertAlign w:val="superscript"/>
              </w:rPr>
              <w:t>-1</w:t>
            </w:r>
            <w:r>
              <w:rPr>
                <w:spacing w:val="-2"/>
                <w:sz w:val="20"/>
              </w:rPr>
              <w:t xml:space="preserve"> s</w:t>
            </w:r>
            <w:r>
              <w:rPr>
                <w:spacing w:val="-2"/>
                <w:sz w:val="20"/>
                <w:vertAlign w:val="superscript"/>
              </w:rPr>
              <w:t>-1</w:t>
            </w:r>
            <w:r>
              <w:rPr>
                <w:spacing w:val="-2"/>
                <w:sz w:val="20"/>
              </w:rPr>
              <w:t xml:space="preserve"> </w:t>
            </w:r>
          </w:p>
        </w:tc>
        <w:tc>
          <w:tcPr>
            <w:tcW w:w="922" w:type="dxa"/>
            <w:tcBorders>
              <w:top w:val="double" w:sz="1" w:space="0" w:color="000000"/>
              <w:bottom w:val="single" w:sz="4" w:space="0" w:color="000000"/>
            </w:tcBorders>
            <w:shd w:val="clear" w:color="auto" w:fill="auto"/>
          </w:tcPr>
          <w:p w:rsidR="00BD268D" w:rsidRDefault="00BD268D">
            <w:pPr>
              <w:snapToGrid w:val="0"/>
              <w:spacing w:before="120" w:after="120" w:line="264" w:lineRule="auto"/>
              <w:jc w:val="both"/>
              <w:rPr>
                <w:iCs/>
                <w:sz w:val="20"/>
              </w:rPr>
            </w:pPr>
            <w:r>
              <w:rPr>
                <w:spacing w:val="-2"/>
                <w:sz w:val="20"/>
              </w:rPr>
              <w:t>Temp./K</w:t>
            </w:r>
          </w:p>
        </w:tc>
        <w:tc>
          <w:tcPr>
            <w:tcW w:w="2849" w:type="dxa"/>
            <w:tcBorders>
              <w:top w:val="double" w:sz="1" w:space="0" w:color="000000"/>
              <w:bottom w:val="single" w:sz="4" w:space="0" w:color="000000"/>
            </w:tcBorders>
            <w:shd w:val="clear" w:color="auto" w:fill="auto"/>
          </w:tcPr>
          <w:p w:rsidR="00BD268D" w:rsidRDefault="00BD268D">
            <w:pPr>
              <w:pStyle w:val="Heading2"/>
              <w:snapToGrid w:val="0"/>
              <w:spacing w:before="120" w:after="120" w:line="264" w:lineRule="auto"/>
              <w:rPr>
                <w:spacing w:val="-2"/>
                <w:sz w:val="20"/>
              </w:rPr>
            </w:pPr>
            <w:r>
              <w:rPr>
                <w:b w:val="0"/>
                <w:iCs/>
                <w:sz w:val="20"/>
              </w:rPr>
              <w:t>Reference</w:t>
            </w:r>
          </w:p>
        </w:tc>
        <w:tc>
          <w:tcPr>
            <w:tcW w:w="1452" w:type="dxa"/>
            <w:gridSpan w:val="2"/>
            <w:tcBorders>
              <w:top w:val="double" w:sz="1" w:space="0" w:color="000000"/>
              <w:bottom w:val="single" w:sz="4" w:space="0" w:color="000000"/>
            </w:tcBorders>
            <w:shd w:val="clear" w:color="auto" w:fill="auto"/>
          </w:tcPr>
          <w:p w:rsidR="00BD268D" w:rsidRDefault="00BD268D">
            <w:pPr>
              <w:snapToGrid w:val="0"/>
              <w:spacing w:before="120" w:after="120" w:line="264" w:lineRule="auto"/>
              <w:jc w:val="both"/>
            </w:pPr>
            <w:r>
              <w:rPr>
                <w:spacing w:val="-2"/>
                <w:sz w:val="20"/>
              </w:rPr>
              <w:t>Technique/ Comments</w:t>
            </w:r>
          </w:p>
        </w:tc>
      </w:tr>
      <w:tr w:rsidR="00BD268D" w:rsidTr="009266A5">
        <w:tc>
          <w:tcPr>
            <w:tcW w:w="3434" w:type="dxa"/>
            <w:tcBorders>
              <w:top w:val="single" w:sz="4" w:space="0" w:color="000000"/>
            </w:tcBorders>
            <w:shd w:val="clear" w:color="auto" w:fill="auto"/>
          </w:tcPr>
          <w:p w:rsidR="00BD268D" w:rsidRDefault="00BD268D">
            <w:pPr>
              <w:snapToGrid w:val="0"/>
              <w:spacing w:before="120" w:line="264" w:lineRule="auto"/>
              <w:jc w:val="both"/>
              <w:rPr>
                <w:spacing w:val="-2"/>
                <w:sz w:val="20"/>
              </w:rPr>
            </w:pPr>
            <w:r>
              <w:rPr>
                <w:i/>
                <w:spacing w:val="-2"/>
                <w:sz w:val="20"/>
              </w:rPr>
              <w:t>Absolute Rate Coefficients</w:t>
            </w:r>
          </w:p>
        </w:tc>
        <w:tc>
          <w:tcPr>
            <w:tcW w:w="922" w:type="dxa"/>
            <w:tcBorders>
              <w:top w:val="single" w:sz="4" w:space="0" w:color="000000"/>
            </w:tcBorders>
            <w:shd w:val="clear" w:color="auto" w:fill="auto"/>
          </w:tcPr>
          <w:p w:rsidR="00BD268D" w:rsidRDefault="00BD268D">
            <w:pPr>
              <w:snapToGrid w:val="0"/>
              <w:spacing w:before="120" w:line="264" w:lineRule="auto"/>
              <w:jc w:val="both"/>
              <w:rPr>
                <w:spacing w:val="-2"/>
                <w:sz w:val="20"/>
              </w:rPr>
            </w:pPr>
          </w:p>
        </w:tc>
        <w:tc>
          <w:tcPr>
            <w:tcW w:w="2849" w:type="dxa"/>
            <w:tcBorders>
              <w:top w:val="single" w:sz="4" w:space="0" w:color="000000"/>
            </w:tcBorders>
            <w:shd w:val="clear" w:color="auto" w:fill="auto"/>
          </w:tcPr>
          <w:p w:rsidR="00BD268D" w:rsidRDefault="00BD268D">
            <w:pPr>
              <w:snapToGrid w:val="0"/>
              <w:spacing w:before="120" w:line="264" w:lineRule="auto"/>
              <w:rPr>
                <w:spacing w:val="-2"/>
                <w:sz w:val="20"/>
              </w:rPr>
            </w:pPr>
          </w:p>
        </w:tc>
        <w:tc>
          <w:tcPr>
            <w:tcW w:w="1452" w:type="dxa"/>
            <w:gridSpan w:val="2"/>
            <w:tcBorders>
              <w:top w:val="single" w:sz="4" w:space="0" w:color="000000"/>
            </w:tcBorders>
            <w:shd w:val="clear" w:color="auto" w:fill="auto"/>
          </w:tcPr>
          <w:p w:rsidR="00BD268D" w:rsidRDefault="00BD268D">
            <w:pPr>
              <w:snapToGrid w:val="0"/>
              <w:spacing w:before="120" w:line="264" w:lineRule="auto"/>
              <w:jc w:val="both"/>
              <w:rPr>
                <w:spacing w:val="-2"/>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 xml:space="preserve">(3.5 </w:t>
            </w:r>
            <w:r>
              <w:rPr>
                <w:rFonts w:ascii="Symbol" w:hAnsi="Symbol" w:cs="Symbol"/>
                <w:sz w:val="20"/>
              </w:rPr>
              <w:t></w:t>
            </w:r>
            <w:r>
              <w:rPr>
                <w:sz w:val="20"/>
              </w:rPr>
              <w:t xml:space="preserve"> 0.3)</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-12</w:t>
            </w:r>
          </w:p>
        </w:tc>
        <w:tc>
          <w:tcPr>
            <w:tcW w:w="922" w:type="dxa"/>
            <w:shd w:val="clear" w:color="auto" w:fill="auto"/>
          </w:tcPr>
          <w:p w:rsidR="00BD268D" w:rsidRDefault="00BD268D">
            <w:pPr>
              <w:snapToGrid w:val="0"/>
              <w:spacing w:line="264" w:lineRule="auto"/>
              <w:jc w:val="both"/>
              <w:rPr>
                <w:sz w:val="20"/>
              </w:rPr>
            </w:pPr>
            <w:r>
              <w:rPr>
                <w:sz w:val="20"/>
              </w:rPr>
              <w:t>298</w:t>
            </w:r>
          </w:p>
        </w:tc>
        <w:tc>
          <w:tcPr>
            <w:tcW w:w="2849" w:type="dxa"/>
            <w:shd w:val="clear" w:color="auto" w:fill="auto"/>
          </w:tcPr>
          <w:p w:rsidR="00BD268D" w:rsidRDefault="00BD268D">
            <w:pPr>
              <w:snapToGrid w:val="0"/>
              <w:spacing w:line="264" w:lineRule="auto"/>
              <w:jc w:val="both"/>
              <w:rPr>
                <w:sz w:val="20"/>
              </w:rPr>
            </w:pPr>
            <w:r>
              <w:rPr>
                <w:sz w:val="20"/>
              </w:rPr>
              <w:t>Adachi and Basco, 1982</w:t>
            </w:r>
          </w:p>
        </w:tc>
        <w:tc>
          <w:tcPr>
            <w:tcW w:w="1383" w:type="dxa"/>
            <w:shd w:val="clear" w:color="auto" w:fill="auto"/>
          </w:tcPr>
          <w:p w:rsidR="00BD268D" w:rsidRDefault="00BD268D">
            <w:pPr>
              <w:snapToGrid w:val="0"/>
              <w:spacing w:line="264" w:lineRule="auto"/>
              <w:jc w:val="both"/>
              <w:rPr>
                <w:sz w:val="20"/>
              </w:rPr>
            </w:pPr>
            <w:r>
              <w:rPr>
                <w:sz w:val="20"/>
              </w:rPr>
              <w:t>FP-AS</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 xml:space="preserve">(5.0 </w:t>
            </w:r>
            <w:r>
              <w:rPr>
                <w:rFonts w:ascii="Symbol" w:hAnsi="Symbol" w:cs="Symbol"/>
                <w:sz w:val="20"/>
              </w:rPr>
              <w:t></w:t>
            </w:r>
            <w:r>
              <w:rPr>
                <w:sz w:val="20"/>
              </w:rPr>
              <w:t xml:space="preserve"> 1.2)</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-12</w:t>
            </w:r>
          </w:p>
        </w:tc>
        <w:tc>
          <w:tcPr>
            <w:tcW w:w="922" w:type="dxa"/>
            <w:shd w:val="clear" w:color="auto" w:fill="auto"/>
          </w:tcPr>
          <w:p w:rsidR="00BD268D" w:rsidRDefault="00BD268D">
            <w:pPr>
              <w:snapToGrid w:val="0"/>
              <w:spacing w:line="264" w:lineRule="auto"/>
              <w:jc w:val="both"/>
              <w:rPr>
                <w:sz w:val="20"/>
              </w:rPr>
            </w:pPr>
            <w:r>
              <w:rPr>
                <w:sz w:val="20"/>
              </w:rPr>
              <w:t>290</w:t>
            </w:r>
          </w:p>
        </w:tc>
        <w:tc>
          <w:tcPr>
            <w:tcW w:w="2849" w:type="dxa"/>
            <w:shd w:val="clear" w:color="auto" w:fill="auto"/>
          </w:tcPr>
          <w:p w:rsidR="00BD268D" w:rsidRDefault="00BD268D">
            <w:pPr>
              <w:snapToGrid w:val="0"/>
              <w:spacing w:line="264" w:lineRule="auto"/>
              <w:jc w:val="both"/>
              <w:rPr>
                <w:sz w:val="20"/>
              </w:rPr>
            </w:pPr>
            <w:r>
              <w:rPr>
                <w:sz w:val="20"/>
              </w:rPr>
              <w:t>Peeters et al., 1992</w:t>
            </w:r>
          </w:p>
        </w:tc>
        <w:tc>
          <w:tcPr>
            <w:tcW w:w="1383" w:type="dxa"/>
            <w:shd w:val="clear" w:color="auto" w:fill="auto"/>
          </w:tcPr>
          <w:p w:rsidR="00BD268D" w:rsidRDefault="00BD268D">
            <w:pPr>
              <w:snapToGrid w:val="0"/>
              <w:spacing w:line="264" w:lineRule="auto"/>
              <w:jc w:val="both"/>
              <w:rPr>
                <w:sz w:val="20"/>
              </w:rPr>
            </w:pPr>
            <w:r>
              <w:rPr>
                <w:sz w:val="20"/>
              </w:rPr>
              <w:t>DF-MS (a)</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lang w:val="de-DE"/>
              </w:rPr>
              <w:t>2.7</w:t>
            </w:r>
            <w:r w:rsidR="00CB79F9" w:rsidRPr="00FE1E26">
              <w:rPr>
                <w:sz w:val="20"/>
              </w:rPr>
              <w:t xml:space="preserve"> </w:t>
            </w:r>
            <w:r w:rsidR="00CB79F9" w:rsidRPr="00FE1E26">
              <w:rPr>
                <w:sz w:val="20"/>
              </w:rPr>
              <w:sym w:font="Symbol" w:char="F0B4"/>
            </w:r>
            <w:r w:rsidR="00CB79F9" w:rsidRPr="00FE1E26">
              <w:rPr>
                <w:sz w:val="20"/>
              </w:rPr>
              <w:t xml:space="preserve"> </w:t>
            </w:r>
            <w:r>
              <w:rPr>
                <w:sz w:val="20"/>
                <w:lang w:val="de-DE"/>
              </w:rPr>
              <w:t>10</w:t>
            </w:r>
            <w:r>
              <w:rPr>
                <w:sz w:val="20"/>
                <w:vertAlign w:val="superscript"/>
                <w:lang w:val="de-DE"/>
              </w:rPr>
              <w:t>-12</w:t>
            </w:r>
            <w:r>
              <w:rPr>
                <w:sz w:val="20"/>
                <w:lang w:val="de-DE"/>
              </w:rPr>
              <w:t xml:space="preserve"> exp[(360 ± 60)/</w:t>
            </w:r>
            <w:r>
              <w:rPr>
                <w:i/>
                <w:sz w:val="20"/>
                <w:lang w:val="de-DE"/>
              </w:rPr>
              <w:t>T</w:t>
            </w:r>
            <w:r>
              <w:rPr>
                <w:sz w:val="20"/>
                <w:lang w:val="de-DE"/>
              </w:rPr>
              <w:t>]</w:t>
            </w:r>
          </w:p>
        </w:tc>
        <w:tc>
          <w:tcPr>
            <w:tcW w:w="922" w:type="dxa"/>
            <w:shd w:val="clear" w:color="auto" w:fill="auto"/>
          </w:tcPr>
          <w:p w:rsidR="00BD268D" w:rsidRDefault="00BD268D">
            <w:pPr>
              <w:snapToGrid w:val="0"/>
              <w:spacing w:line="264" w:lineRule="auto"/>
              <w:jc w:val="both"/>
              <w:rPr>
                <w:sz w:val="20"/>
              </w:rPr>
            </w:pPr>
            <w:r>
              <w:rPr>
                <w:sz w:val="20"/>
              </w:rPr>
              <w:t>201-401</w:t>
            </w:r>
          </w:p>
        </w:tc>
        <w:tc>
          <w:tcPr>
            <w:tcW w:w="2849" w:type="dxa"/>
            <w:shd w:val="clear" w:color="auto" w:fill="auto"/>
          </w:tcPr>
          <w:p w:rsidR="00BD268D" w:rsidRDefault="00BD268D">
            <w:pPr>
              <w:snapToGrid w:val="0"/>
              <w:spacing w:line="264" w:lineRule="auto"/>
              <w:jc w:val="both"/>
              <w:rPr>
                <w:sz w:val="20"/>
              </w:rPr>
            </w:pPr>
            <w:r>
              <w:rPr>
                <w:sz w:val="20"/>
              </w:rPr>
              <w:t>Eberhard et al., 1996</w:t>
            </w:r>
          </w:p>
        </w:tc>
        <w:tc>
          <w:tcPr>
            <w:tcW w:w="1383" w:type="dxa"/>
            <w:shd w:val="clear" w:color="auto" w:fill="auto"/>
          </w:tcPr>
          <w:p w:rsidR="00BD268D" w:rsidRDefault="00BD268D">
            <w:pPr>
              <w:snapToGrid w:val="0"/>
              <w:spacing w:line="264" w:lineRule="auto"/>
              <w:jc w:val="both"/>
              <w:rPr>
                <w:sz w:val="20"/>
              </w:rPr>
            </w:pPr>
            <w:r>
              <w:rPr>
                <w:sz w:val="20"/>
              </w:rPr>
              <w:t>F-CIMS (b)</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(9.0 ± 1.5)</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-12</w:t>
            </w:r>
          </w:p>
        </w:tc>
        <w:tc>
          <w:tcPr>
            <w:tcW w:w="922" w:type="dxa"/>
            <w:shd w:val="clear" w:color="auto" w:fill="auto"/>
          </w:tcPr>
          <w:p w:rsidR="00BD268D" w:rsidRDefault="00BD268D">
            <w:pPr>
              <w:snapToGrid w:val="0"/>
              <w:spacing w:line="264" w:lineRule="auto"/>
              <w:jc w:val="both"/>
              <w:rPr>
                <w:sz w:val="20"/>
              </w:rPr>
            </w:pPr>
            <w:r>
              <w:rPr>
                <w:sz w:val="20"/>
              </w:rPr>
              <w:t>298</w:t>
            </w:r>
          </w:p>
        </w:tc>
        <w:tc>
          <w:tcPr>
            <w:tcW w:w="2849" w:type="dxa"/>
            <w:shd w:val="clear" w:color="auto" w:fill="auto"/>
          </w:tcPr>
          <w:p w:rsidR="00BD268D" w:rsidRDefault="00BD268D">
            <w:pPr>
              <w:snapToGrid w:val="0"/>
              <w:spacing w:line="264" w:lineRule="auto"/>
              <w:jc w:val="both"/>
              <w:rPr>
                <w:sz w:val="20"/>
              </w:rPr>
            </w:pPr>
          </w:p>
        </w:tc>
        <w:tc>
          <w:tcPr>
            <w:tcW w:w="1383" w:type="dxa"/>
            <w:shd w:val="clear" w:color="auto" w:fill="auto"/>
          </w:tcPr>
          <w:p w:rsidR="00BD268D" w:rsidRDefault="00BD268D">
            <w:pPr>
              <w:snapToGrid w:val="0"/>
              <w:spacing w:line="264" w:lineRule="auto"/>
              <w:jc w:val="both"/>
              <w:rPr>
                <w:sz w:val="20"/>
              </w:rPr>
            </w:pP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(9.1 ± 1.5)</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-12</w:t>
            </w:r>
          </w:p>
        </w:tc>
        <w:tc>
          <w:tcPr>
            <w:tcW w:w="922" w:type="dxa"/>
            <w:shd w:val="clear" w:color="auto" w:fill="auto"/>
          </w:tcPr>
          <w:p w:rsidR="00BD268D" w:rsidRDefault="00BD268D">
            <w:pPr>
              <w:snapToGrid w:val="0"/>
              <w:spacing w:line="264" w:lineRule="auto"/>
              <w:jc w:val="both"/>
              <w:rPr>
                <w:sz w:val="20"/>
              </w:rPr>
            </w:pPr>
            <w:r>
              <w:rPr>
                <w:sz w:val="20"/>
              </w:rPr>
              <w:t>298</w:t>
            </w:r>
          </w:p>
        </w:tc>
        <w:tc>
          <w:tcPr>
            <w:tcW w:w="2849" w:type="dxa"/>
            <w:shd w:val="clear" w:color="auto" w:fill="auto"/>
          </w:tcPr>
          <w:p w:rsidR="00BD268D" w:rsidRDefault="00BD268D">
            <w:pPr>
              <w:snapToGrid w:val="0"/>
              <w:spacing w:line="264" w:lineRule="auto"/>
              <w:jc w:val="both"/>
              <w:rPr>
                <w:sz w:val="20"/>
              </w:rPr>
            </w:pPr>
            <w:r>
              <w:rPr>
                <w:sz w:val="20"/>
              </w:rPr>
              <w:t>Eberhard and Howard, 1996</w:t>
            </w:r>
          </w:p>
        </w:tc>
        <w:tc>
          <w:tcPr>
            <w:tcW w:w="1383" w:type="dxa"/>
            <w:shd w:val="clear" w:color="auto" w:fill="auto"/>
          </w:tcPr>
          <w:p w:rsidR="00BD268D" w:rsidRDefault="00BD268D">
            <w:pPr>
              <w:snapToGrid w:val="0"/>
              <w:spacing w:line="264" w:lineRule="auto"/>
              <w:jc w:val="both"/>
              <w:rPr>
                <w:sz w:val="20"/>
              </w:rPr>
            </w:pPr>
            <w:r>
              <w:rPr>
                <w:sz w:val="20"/>
              </w:rPr>
              <w:t>F-CIMS (c)</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lang w:val="de-DE"/>
              </w:rPr>
              <w:t>4.3</w:t>
            </w:r>
            <w:r w:rsidR="00CB79F9" w:rsidRPr="00FE1E26">
              <w:rPr>
                <w:sz w:val="20"/>
              </w:rPr>
              <w:t xml:space="preserve"> </w:t>
            </w:r>
            <w:r w:rsidR="00CB79F9" w:rsidRPr="00FE1E26">
              <w:rPr>
                <w:sz w:val="20"/>
              </w:rPr>
              <w:sym w:font="Symbol" w:char="F0B4"/>
            </w:r>
            <w:r w:rsidR="00CB79F9" w:rsidRPr="00FE1E26">
              <w:rPr>
                <w:sz w:val="20"/>
              </w:rPr>
              <w:t xml:space="preserve"> </w:t>
            </w:r>
            <w:r>
              <w:rPr>
                <w:sz w:val="20"/>
                <w:lang w:val="de-DE"/>
              </w:rPr>
              <w:t>10</w:t>
            </w:r>
            <w:r>
              <w:rPr>
                <w:sz w:val="20"/>
                <w:vertAlign w:val="superscript"/>
                <w:lang w:val="de-DE"/>
              </w:rPr>
              <w:t>-12</w:t>
            </w:r>
            <w:r>
              <w:rPr>
                <w:sz w:val="20"/>
                <w:lang w:val="de-DE"/>
              </w:rPr>
              <w:t xml:space="preserve"> exp[(268 ± 56)/</w:t>
            </w:r>
            <w:r>
              <w:rPr>
                <w:i/>
                <w:sz w:val="20"/>
                <w:lang w:val="de-DE"/>
              </w:rPr>
              <w:t>T</w:t>
            </w:r>
            <w:r>
              <w:rPr>
                <w:sz w:val="20"/>
                <w:lang w:val="de-DE"/>
              </w:rPr>
              <w:t>]</w:t>
            </w:r>
          </w:p>
        </w:tc>
        <w:tc>
          <w:tcPr>
            <w:tcW w:w="922" w:type="dxa"/>
            <w:shd w:val="clear" w:color="auto" w:fill="auto"/>
          </w:tcPr>
          <w:p w:rsidR="00BD268D" w:rsidRDefault="00BD268D">
            <w:pPr>
              <w:snapToGrid w:val="0"/>
              <w:spacing w:line="264" w:lineRule="auto"/>
              <w:jc w:val="both"/>
              <w:rPr>
                <w:sz w:val="20"/>
              </w:rPr>
            </w:pPr>
            <w:r>
              <w:rPr>
                <w:sz w:val="20"/>
              </w:rPr>
              <w:t>213-298</w:t>
            </w:r>
          </w:p>
        </w:tc>
        <w:tc>
          <w:tcPr>
            <w:tcW w:w="2849" w:type="dxa"/>
            <w:shd w:val="clear" w:color="auto" w:fill="auto"/>
          </w:tcPr>
          <w:p w:rsidR="00BD268D" w:rsidRDefault="00BD268D">
            <w:pPr>
              <w:snapToGrid w:val="0"/>
              <w:spacing w:line="264" w:lineRule="auto"/>
              <w:jc w:val="both"/>
              <w:rPr>
                <w:sz w:val="20"/>
              </w:rPr>
            </w:pPr>
            <w:r>
              <w:rPr>
                <w:sz w:val="20"/>
              </w:rPr>
              <w:t>Chow et al., 2003</w:t>
            </w:r>
          </w:p>
        </w:tc>
        <w:tc>
          <w:tcPr>
            <w:tcW w:w="1383" w:type="dxa"/>
            <w:shd w:val="clear" w:color="auto" w:fill="auto"/>
          </w:tcPr>
          <w:p w:rsidR="00BD268D" w:rsidRDefault="00BD268D">
            <w:pPr>
              <w:snapToGrid w:val="0"/>
              <w:spacing w:line="264" w:lineRule="auto"/>
              <w:jc w:val="both"/>
              <w:rPr>
                <w:sz w:val="20"/>
              </w:rPr>
            </w:pPr>
            <w:r>
              <w:rPr>
                <w:sz w:val="20"/>
              </w:rPr>
              <w:t>F-CIMS (d)</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(1.05 ± 0.14)</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-11</w:t>
            </w:r>
          </w:p>
        </w:tc>
        <w:tc>
          <w:tcPr>
            <w:tcW w:w="922" w:type="dxa"/>
            <w:shd w:val="clear" w:color="auto" w:fill="auto"/>
          </w:tcPr>
          <w:p w:rsidR="00BD268D" w:rsidRDefault="00BD268D">
            <w:pPr>
              <w:snapToGrid w:val="0"/>
              <w:spacing w:line="264" w:lineRule="auto"/>
              <w:jc w:val="both"/>
              <w:rPr>
                <w:sz w:val="20"/>
              </w:rPr>
            </w:pPr>
            <w:r>
              <w:rPr>
                <w:sz w:val="20"/>
              </w:rPr>
              <w:t>298</w:t>
            </w:r>
          </w:p>
        </w:tc>
        <w:tc>
          <w:tcPr>
            <w:tcW w:w="2849" w:type="dxa"/>
            <w:shd w:val="clear" w:color="auto" w:fill="auto"/>
          </w:tcPr>
          <w:p w:rsidR="00BD268D" w:rsidRDefault="00BD268D">
            <w:pPr>
              <w:snapToGrid w:val="0"/>
              <w:spacing w:line="264" w:lineRule="auto"/>
              <w:jc w:val="both"/>
              <w:rPr>
                <w:sz w:val="20"/>
              </w:rPr>
            </w:pPr>
          </w:p>
        </w:tc>
        <w:tc>
          <w:tcPr>
            <w:tcW w:w="1383" w:type="dxa"/>
            <w:shd w:val="clear" w:color="auto" w:fill="auto"/>
          </w:tcPr>
          <w:p w:rsidR="00BD268D" w:rsidRDefault="00BD268D">
            <w:pPr>
              <w:snapToGrid w:val="0"/>
              <w:spacing w:line="264" w:lineRule="auto"/>
              <w:jc w:val="both"/>
              <w:rPr>
                <w:sz w:val="20"/>
              </w:rPr>
            </w:pP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sz w:val="20"/>
              </w:rPr>
              <w:t>(8.0 ± 1.5)</w:t>
            </w:r>
            <w:r w:rsidR="00CB79F9" w:rsidRPr="00FE1E26">
              <w:rPr>
                <w:sz w:val="20"/>
              </w:rPr>
              <w:t xml:space="preserve"> </w:t>
            </w:r>
            <w:r w:rsidR="00CB79F9" w:rsidRPr="00FE1E26">
              <w:rPr>
                <w:sz w:val="20"/>
              </w:rPr>
              <w:sym w:font="Symbol" w:char="F0B4"/>
            </w:r>
            <w:r w:rsidR="00CB79F9" w:rsidRPr="00FE1E26">
              <w:rPr>
                <w:sz w:val="20"/>
              </w:rPr>
              <w:t xml:space="preserve"> </w:t>
            </w:r>
            <w:r>
              <w:rPr>
                <w:sz w:val="20"/>
              </w:rPr>
              <w:t>10</w:t>
            </w:r>
            <w:r>
              <w:rPr>
                <w:sz w:val="20"/>
                <w:vertAlign w:val="superscript"/>
              </w:rPr>
              <w:t>-12</w:t>
            </w:r>
          </w:p>
        </w:tc>
        <w:tc>
          <w:tcPr>
            <w:tcW w:w="922" w:type="dxa"/>
            <w:shd w:val="clear" w:color="auto" w:fill="auto"/>
          </w:tcPr>
          <w:p w:rsidR="00BD268D" w:rsidRDefault="00BD268D">
            <w:pPr>
              <w:snapToGrid w:val="0"/>
              <w:spacing w:line="264" w:lineRule="auto"/>
              <w:jc w:val="both"/>
              <w:rPr>
                <w:sz w:val="20"/>
              </w:rPr>
            </w:pPr>
            <w:r>
              <w:rPr>
                <w:sz w:val="20"/>
              </w:rPr>
              <w:t>298</w:t>
            </w:r>
          </w:p>
        </w:tc>
        <w:tc>
          <w:tcPr>
            <w:tcW w:w="2849" w:type="dxa"/>
            <w:shd w:val="clear" w:color="auto" w:fill="auto"/>
          </w:tcPr>
          <w:p w:rsidR="00BD268D" w:rsidRDefault="00BD268D">
            <w:pPr>
              <w:snapToGrid w:val="0"/>
              <w:spacing w:line="264" w:lineRule="auto"/>
              <w:jc w:val="both"/>
              <w:rPr>
                <w:sz w:val="20"/>
              </w:rPr>
            </w:pPr>
            <w:r>
              <w:rPr>
                <w:sz w:val="20"/>
              </w:rPr>
              <w:t>Xing et al., 2005</w:t>
            </w:r>
          </w:p>
        </w:tc>
        <w:tc>
          <w:tcPr>
            <w:tcW w:w="1383" w:type="dxa"/>
            <w:shd w:val="clear" w:color="auto" w:fill="auto"/>
          </w:tcPr>
          <w:p w:rsidR="00BD268D" w:rsidRDefault="00BD268D">
            <w:pPr>
              <w:snapToGrid w:val="0"/>
              <w:spacing w:line="264" w:lineRule="auto"/>
              <w:jc w:val="both"/>
            </w:pPr>
            <w:r>
              <w:rPr>
                <w:sz w:val="20"/>
              </w:rPr>
              <w:t>LP-MS (e)</w:t>
            </w:r>
          </w:p>
        </w:tc>
        <w:tc>
          <w:tcPr>
            <w:tcW w:w="69" w:type="dxa"/>
            <w:shd w:val="clear" w:color="auto" w:fill="auto"/>
          </w:tcPr>
          <w:p w:rsidR="00BD268D" w:rsidRDefault="00BD268D">
            <w:pPr>
              <w:snapToGrid w:val="0"/>
            </w:pPr>
          </w:p>
        </w:tc>
      </w:tr>
      <w:tr w:rsidR="00BD268D" w:rsidTr="009266A5">
        <w:tblPrEx>
          <w:tblCellMar>
            <w:left w:w="0" w:type="dxa"/>
            <w:right w:w="0" w:type="dxa"/>
          </w:tblCellMar>
        </w:tblPrEx>
        <w:tc>
          <w:tcPr>
            <w:tcW w:w="3434" w:type="dxa"/>
            <w:shd w:val="clear" w:color="auto" w:fill="auto"/>
          </w:tcPr>
          <w:p w:rsidR="00BD268D" w:rsidRDefault="00BD268D">
            <w:pPr>
              <w:snapToGrid w:val="0"/>
              <w:spacing w:before="120" w:line="264" w:lineRule="auto"/>
              <w:jc w:val="both"/>
              <w:rPr>
                <w:sz w:val="20"/>
              </w:rPr>
            </w:pPr>
            <w:r>
              <w:rPr>
                <w:i/>
                <w:sz w:val="20"/>
              </w:rPr>
              <w:t>Branching Ratios</w:t>
            </w:r>
          </w:p>
        </w:tc>
        <w:tc>
          <w:tcPr>
            <w:tcW w:w="922" w:type="dxa"/>
            <w:shd w:val="clear" w:color="auto" w:fill="auto"/>
          </w:tcPr>
          <w:p w:rsidR="00BD268D" w:rsidRDefault="00BD268D">
            <w:pPr>
              <w:snapToGrid w:val="0"/>
              <w:spacing w:before="120" w:line="264" w:lineRule="auto"/>
              <w:jc w:val="both"/>
              <w:rPr>
                <w:sz w:val="20"/>
              </w:rPr>
            </w:pPr>
          </w:p>
        </w:tc>
        <w:tc>
          <w:tcPr>
            <w:tcW w:w="2849" w:type="dxa"/>
            <w:shd w:val="clear" w:color="auto" w:fill="auto"/>
          </w:tcPr>
          <w:p w:rsidR="00BD268D" w:rsidRDefault="00BD268D">
            <w:pPr>
              <w:snapToGrid w:val="0"/>
              <w:spacing w:before="120" w:line="264" w:lineRule="auto"/>
              <w:jc w:val="both"/>
              <w:rPr>
                <w:sz w:val="20"/>
              </w:rPr>
            </w:pPr>
          </w:p>
        </w:tc>
        <w:tc>
          <w:tcPr>
            <w:tcW w:w="1383" w:type="dxa"/>
            <w:shd w:val="clear" w:color="auto" w:fill="auto"/>
          </w:tcPr>
          <w:p w:rsidR="00BD268D" w:rsidRDefault="00BD268D">
            <w:pPr>
              <w:snapToGrid w:val="0"/>
              <w:spacing w:before="120" w:line="264" w:lineRule="auto"/>
              <w:jc w:val="both"/>
              <w:rPr>
                <w:sz w:val="20"/>
              </w:rPr>
            </w:pP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Default="00BD268D">
            <w:pPr>
              <w:snapToGrid w:val="0"/>
              <w:spacing w:line="264" w:lineRule="auto"/>
              <w:jc w:val="both"/>
              <w:rPr>
                <w:sz w:val="20"/>
              </w:rPr>
            </w:pPr>
            <w:r>
              <w:rPr>
                <w:i/>
                <w:sz w:val="20"/>
              </w:rPr>
              <w:t>k</w:t>
            </w:r>
            <w:r>
              <w:rPr>
                <w:sz w:val="20"/>
                <w:vertAlign w:val="subscript"/>
              </w:rPr>
              <w:t>2</w:t>
            </w:r>
            <w:r>
              <w:rPr>
                <w:sz w:val="20"/>
              </w:rPr>
              <w:t>/</w:t>
            </w:r>
            <w:r>
              <w:rPr>
                <w:i/>
                <w:sz w:val="20"/>
              </w:rPr>
              <w:t>k</w:t>
            </w:r>
            <w:r>
              <w:rPr>
                <w:sz w:val="20"/>
              </w:rPr>
              <w:t xml:space="preserve"> = 0.042 ± 0.003  (1 bar air)</w:t>
            </w:r>
          </w:p>
        </w:tc>
        <w:tc>
          <w:tcPr>
            <w:tcW w:w="922" w:type="dxa"/>
            <w:shd w:val="clear" w:color="auto" w:fill="auto"/>
          </w:tcPr>
          <w:p w:rsidR="00BD268D" w:rsidRDefault="00BD268D">
            <w:pPr>
              <w:snapToGrid w:val="0"/>
              <w:spacing w:line="264" w:lineRule="auto"/>
              <w:jc w:val="both"/>
              <w:rPr>
                <w:sz w:val="20"/>
                <w:lang w:val="fr-FR"/>
              </w:rPr>
            </w:pPr>
            <w:r>
              <w:rPr>
                <w:sz w:val="20"/>
              </w:rPr>
              <w:t>299</w:t>
            </w:r>
          </w:p>
        </w:tc>
        <w:tc>
          <w:tcPr>
            <w:tcW w:w="2849" w:type="dxa"/>
            <w:shd w:val="clear" w:color="auto" w:fill="auto"/>
          </w:tcPr>
          <w:p w:rsidR="00BD268D" w:rsidRDefault="00BD268D">
            <w:pPr>
              <w:snapToGrid w:val="0"/>
              <w:spacing w:line="264" w:lineRule="auto"/>
              <w:rPr>
                <w:sz w:val="20"/>
              </w:rPr>
            </w:pPr>
            <w:r>
              <w:rPr>
                <w:sz w:val="20"/>
                <w:lang w:val="fr-FR"/>
              </w:rPr>
              <w:t>Atkinson et al., 1982;</w:t>
            </w:r>
            <w:r>
              <w:rPr>
                <w:sz w:val="20"/>
                <w:lang w:val="fr-FR"/>
              </w:rPr>
              <w:br/>
              <w:t>Carter and Atkinson, 1989</w:t>
            </w:r>
          </w:p>
        </w:tc>
        <w:tc>
          <w:tcPr>
            <w:tcW w:w="1383" w:type="dxa"/>
            <w:shd w:val="clear" w:color="auto" w:fill="auto"/>
          </w:tcPr>
          <w:p w:rsidR="00BD268D" w:rsidRDefault="00BD268D">
            <w:pPr>
              <w:snapToGrid w:val="0"/>
              <w:spacing w:line="264" w:lineRule="auto"/>
              <w:jc w:val="both"/>
              <w:rPr>
                <w:sz w:val="20"/>
              </w:rPr>
            </w:pPr>
            <w:r>
              <w:rPr>
                <w:sz w:val="20"/>
              </w:rPr>
              <w:t>(f)</w:t>
            </w:r>
          </w:p>
        </w:tc>
        <w:tc>
          <w:tcPr>
            <w:tcW w:w="69" w:type="dxa"/>
            <w:shd w:val="clear" w:color="auto" w:fill="auto"/>
          </w:tcPr>
          <w:p w:rsidR="00BD268D" w:rsidRDefault="00BD268D">
            <w:pPr>
              <w:snapToGrid w:val="0"/>
              <w:rPr>
                <w:sz w:val="20"/>
              </w:rPr>
            </w:pPr>
          </w:p>
        </w:tc>
      </w:tr>
      <w:tr w:rsidR="00BD268D" w:rsidTr="009266A5">
        <w:tblPrEx>
          <w:tblCellMar>
            <w:left w:w="0" w:type="dxa"/>
            <w:right w:w="0" w:type="dxa"/>
          </w:tblCellMar>
        </w:tblPrEx>
        <w:tc>
          <w:tcPr>
            <w:tcW w:w="3434" w:type="dxa"/>
            <w:shd w:val="clear" w:color="auto" w:fill="auto"/>
          </w:tcPr>
          <w:p w:rsidR="00BD268D" w:rsidRPr="001E4621" w:rsidRDefault="00BD268D">
            <w:pPr>
              <w:snapToGrid w:val="0"/>
              <w:spacing w:line="264" w:lineRule="auto"/>
              <w:jc w:val="both"/>
              <w:rPr>
                <w:sz w:val="20"/>
                <w:lang w:val="de-DE"/>
              </w:rPr>
            </w:pPr>
            <w:r w:rsidRPr="001E4621">
              <w:rPr>
                <w:i/>
                <w:sz w:val="20"/>
                <w:lang w:val="de-DE"/>
              </w:rPr>
              <w:t>k</w:t>
            </w:r>
            <w:r w:rsidRPr="001E4621">
              <w:rPr>
                <w:sz w:val="20"/>
                <w:vertAlign w:val="subscript"/>
                <w:lang w:val="de-DE"/>
              </w:rPr>
              <w:t>2</w:t>
            </w:r>
            <w:r w:rsidRPr="001E4621">
              <w:rPr>
                <w:sz w:val="20"/>
                <w:lang w:val="de-DE"/>
              </w:rPr>
              <w:t>/</w:t>
            </w:r>
            <w:r w:rsidRPr="001E4621">
              <w:rPr>
                <w:i/>
                <w:sz w:val="20"/>
                <w:lang w:val="de-DE"/>
              </w:rPr>
              <w:t>k</w:t>
            </w:r>
            <w:r w:rsidRPr="001E4621">
              <w:rPr>
                <w:sz w:val="20"/>
                <w:lang w:val="de-DE"/>
              </w:rPr>
              <w:t xml:space="preserve"> = 1.815</w:t>
            </w:r>
            <w:r w:rsidR="00CB79F9" w:rsidRPr="00FE1E26">
              <w:rPr>
                <w:sz w:val="20"/>
              </w:rPr>
              <w:t xml:space="preserve"> </w:t>
            </w:r>
            <w:r w:rsidR="00CB79F9" w:rsidRPr="00FE1E26">
              <w:rPr>
                <w:sz w:val="20"/>
              </w:rPr>
              <w:sym w:font="Symbol" w:char="F0B4"/>
            </w:r>
            <w:r w:rsidR="00CB79F9" w:rsidRPr="00FE1E26">
              <w:rPr>
                <w:sz w:val="20"/>
              </w:rPr>
              <w:t xml:space="preserve"> </w:t>
            </w:r>
            <w:r w:rsidRPr="001E4621">
              <w:rPr>
                <w:sz w:val="20"/>
                <w:lang w:val="de-DE"/>
              </w:rPr>
              <w:t>10</w:t>
            </w:r>
            <w:r w:rsidRPr="001E4621">
              <w:rPr>
                <w:sz w:val="20"/>
                <w:vertAlign w:val="superscript"/>
                <w:lang w:val="de-DE"/>
              </w:rPr>
              <w:t>-4</w:t>
            </w:r>
            <w:r w:rsidRPr="001E4621">
              <w:rPr>
                <w:sz w:val="20"/>
                <w:lang w:val="de-DE"/>
              </w:rPr>
              <w:t xml:space="preserve"> exp(1020/</w:t>
            </w:r>
            <w:r w:rsidRPr="001E4621">
              <w:rPr>
                <w:i/>
                <w:sz w:val="20"/>
                <w:lang w:val="de-DE"/>
              </w:rPr>
              <w:t>T</w:t>
            </w:r>
            <w:r w:rsidRPr="001E4621">
              <w:rPr>
                <w:sz w:val="20"/>
                <w:lang w:val="de-DE"/>
              </w:rPr>
              <w:t>)</w:t>
            </w:r>
          </w:p>
          <w:p w:rsidR="00BD268D" w:rsidRPr="001E4621" w:rsidRDefault="00BD268D">
            <w:pPr>
              <w:spacing w:line="264" w:lineRule="auto"/>
              <w:jc w:val="both"/>
              <w:rPr>
                <w:sz w:val="20"/>
                <w:lang w:val="de-DE"/>
              </w:rPr>
            </w:pPr>
            <w:r w:rsidRPr="001E4621">
              <w:rPr>
                <w:sz w:val="20"/>
                <w:lang w:val="de-DE"/>
              </w:rPr>
              <w:t>(133 mbar N</w:t>
            </w:r>
            <w:r w:rsidRPr="001E4621">
              <w:rPr>
                <w:sz w:val="20"/>
                <w:vertAlign w:val="subscript"/>
                <w:lang w:val="de-DE"/>
              </w:rPr>
              <w:t>2</w:t>
            </w:r>
            <w:r w:rsidRPr="001E4621">
              <w:rPr>
                <w:sz w:val="20"/>
                <w:lang w:val="de-DE"/>
              </w:rPr>
              <w:t>)</w:t>
            </w:r>
          </w:p>
        </w:tc>
        <w:tc>
          <w:tcPr>
            <w:tcW w:w="922" w:type="dxa"/>
            <w:shd w:val="clear" w:color="auto" w:fill="auto"/>
          </w:tcPr>
          <w:p w:rsidR="00BD268D" w:rsidRDefault="00BD268D">
            <w:pPr>
              <w:snapToGrid w:val="0"/>
              <w:spacing w:line="264" w:lineRule="auto"/>
              <w:jc w:val="both"/>
              <w:rPr>
                <w:sz w:val="20"/>
              </w:rPr>
            </w:pPr>
            <w:r>
              <w:rPr>
                <w:sz w:val="20"/>
              </w:rPr>
              <w:t>213-298</w:t>
            </w:r>
          </w:p>
        </w:tc>
        <w:tc>
          <w:tcPr>
            <w:tcW w:w="2849" w:type="dxa"/>
            <w:shd w:val="clear" w:color="auto" w:fill="auto"/>
          </w:tcPr>
          <w:p w:rsidR="00BD268D" w:rsidRDefault="00BD268D">
            <w:pPr>
              <w:snapToGrid w:val="0"/>
              <w:spacing w:line="264" w:lineRule="auto"/>
              <w:jc w:val="both"/>
              <w:rPr>
                <w:sz w:val="20"/>
              </w:rPr>
            </w:pPr>
            <w:r>
              <w:rPr>
                <w:sz w:val="20"/>
              </w:rPr>
              <w:t>Chow et al., 2003</w:t>
            </w:r>
          </w:p>
        </w:tc>
        <w:tc>
          <w:tcPr>
            <w:tcW w:w="1383" w:type="dxa"/>
            <w:shd w:val="clear" w:color="auto" w:fill="auto"/>
          </w:tcPr>
          <w:p w:rsidR="00BD268D" w:rsidRDefault="00BD268D">
            <w:pPr>
              <w:snapToGrid w:val="0"/>
              <w:spacing w:line="264" w:lineRule="auto"/>
              <w:jc w:val="both"/>
            </w:pPr>
            <w:r>
              <w:rPr>
                <w:sz w:val="20"/>
              </w:rPr>
              <w:t>F-CIMS (d)</w:t>
            </w:r>
          </w:p>
        </w:tc>
        <w:tc>
          <w:tcPr>
            <w:tcW w:w="69" w:type="dxa"/>
            <w:shd w:val="clear" w:color="auto" w:fill="auto"/>
          </w:tcPr>
          <w:p w:rsidR="00BD268D" w:rsidRDefault="00BD268D">
            <w:pPr>
              <w:snapToGrid w:val="0"/>
            </w:pPr>
          </w:p>
        </w:tc>
      </w:tr>
      <w:tr w:rsidR="001E4621" w:rsidTr="009266A5">
        <w:tblPrEx>
          <w:tblCellMar>
            <w:left w:w="0" w:type="dxa"/>
            <w:right w:w="0" w:type="dxa"/>
          </w:tblCellMar>
        </w:tblPrEx>
        <w:tc>
          <w:tcPr>
            <w:tcW w:w="3434" w:type="dxa"/>
            <w:shd w:val="clear" w:color="auto" w:fill="auto"/>
          </w:tcPr>
          <w:p w:rsidR="001E4621" w:rsidRDefault="001E4621" w:rsidP="00201ECC">
            <w:pPr>
              <w:snapToGrid w:val="0"/>
              <w:spacing w:after="120" w:line="264" w:lineRule="auto"/>
              <w:jc w:val="both"/>
              <w:rPr>
                <w:sz w:val="20"/>
              </w:rPr>
            </w:pPr>
            <w:r>
              <w:rPr>
                <w:i/>
                <w:sz w:val="20"/>
              </w:rPr>
              <w:t>k</w:t>
            </w:r>
            <w:r>
              <w:rPr>
                <w:sz w:val="20"/>
                <w:vertAlign w:val="subscript"/>
              </w:rPr>
              <w:t>2</w:t>
            </w:r>
            <w:r>
              <w:rPr>
                <w:sz w:val="20"/>
              </w:rPr>
              <w:t>/</w:t>
            </w:r>
            <w:r>
              <w:rPr>
                <w:i/>
                <w:sz w:val="20"/>
              </w:rPr>
              <w:t>k</w:t>
            </w:r>
            <w:r>
              <w:rPr>
                <w:sz w:val="20"/>
              </w:rPr>
              <w:t xml:space="preserve"> = 0.005  (133 mbar N</w:t>
            </w:r>
            <w:r>
              <w:rPr>
                <w:sz w:val="20"/>
                <w:vertAlign w:val="subscript"/>
              </w:rPr>
              <w:t>2</w:t>
            </w:r>
            <w:r>
              <w:rPr>
                <w:sz w:val="20"/>
              </w:rPr>
              <w:t>)</w:t>
            </w:r>
          </w:p>
        </w:tc>
        <w:tc>
          <w:tcPr>
            <w:tcW w:w="922" w:type="dxa"/>
            <w:shd w:val="clear" w:color="auto" w:fill="auto"/>
          </w:tcPr>
          <w:p w:rsidR="001E4621" w:rsidRDefault="001E4621" w:rsidP="00201ECC">
            <w:pPr>
              <w:snapToGrid w:val="0"/>
              <w:spacing w:after="120" w:line="264" w:lineRule="auto"/>
              <w:jc w:val="both"/>
              <w:rPr>
                <w:sz w:val="20"/>
              </w:rPr>
            </w:pPr>
            <w:r>
              <w:rPr>
                <w:sz w:val="20"/>
              </w:rPr>
              <w:t>298</w:t>
            </w:r>
          </w:p>
        </w:tc>
        <w:tc>
          <w:tcPr>
            <w:tcW w:w="2849" w:type="dxa"/>
            <w:shd w:val="clear" w:color="auto" w:fill="auto"/>
          </w:tcPr>
          <w:p w:rsidR="001E4621" w:rsidRDefault="001E4621" w:rsidP="00201ECC">
            <w:pPr>
              <w:snapToGrid w:val="0"/>
              <w:spacing w:after="120" w:line="264" w:lineRule="auto"/>
              <w:jc w:val="both"/>
              <w:rPr>
                <w:sz w:val="20"/>
              </w:rPr>
            </w:pPr>
          </w:p>
        </w:tc>
        <w:tc>
          <w:tcPr>
            <w:tcW w:w="1383" w:type="dxa"/>
            <w:shd w:val="clear" w:color="auto" w:fill="auto"/>
          </w:tcPr>
          <w:p w:rsidR="001E4621" w:rsidRDefault="001E4621" w:rsidP="00201ECC">
            <w:pPr>
              <w:snapToGrid w:val="0"/>
              <w:spacing w:after="120" w:line="264" w:lineRule="auto"/>
              <w:jc w:val="both"/>
              <w:rPr>
                <w:sz w:val="20"/>
              </w:rPr>
            </w:pPr>
          </w:p>
        </w:tc>
        <w:tc>
          <w:tcPr>
            <w:tcW w:w="69" w:type="dxa"/>
            <w:shd w:val="clear" w:color="auto" w:fill="auto"/>
          </w:tcPr>
          <w:p w:rsidR="001E4621" w:rsidRDefault="001E4621">
            <w:pPr>
              <w:snapToGrid w:val="0"/>
            </w:pPr>
          </w:p>
        </w:tc>
      </w:tr>
      <w:tr w:rsidR="009266A5" w:rsidTr="009266A5">
        <w:tblPrEx>
          <w:tblCellMar>
            <w:left w:w="0" w:type="dxa"/>
            <w:right w:w="0" w:type="dxa"/>
          </w:tblCellMar>
        </w:tblPrEx>
        <w:tc>
          <w:tcPr>
            <w:tcW w:w="3434" w:type="dxa"/>
            <w:shd w:val="clear" w:color="auto" w:fill="auto"/>
          </w:tcPr>
          <w:p w:rsidR="009266A5" w:rsidRPr="00FE1E26" w:rsidRDefault="009266A5" w:rsidP="00201ECC">
            <w:pPr>
              <w:snapToGrid w:val="0"/>
              <w:jc w:val="both"/>
              <w:rPr>
                <w:i/>
                <w:sz w:val="20"/>
              </w:rPr>
            </w:pPr>
            <w:r w:rsidRPr="00FE1E26">
              <w:rPr>
                <w:i/>
                <w:sz w:val="20"/>
              </w:rPr>
              <w:t>k</w:t>
            </w:r>
            <w:r w:rsidRPr="00FE1E26">
              <w:rPr>
                <w:sz w:val="20"/>
                <w:vertAlign w:val="subscript"/>
              </w:rPr>
              <w:t>2</w:t>
            </w:r>
            <w:r w:rsidRPr="00FE1E26">
              <w:rPr>
                <w:sz w:val="20"/>
              </w:rPr>
              <w:t>/</w:t>
            </w:r>
            <w:r w:rsidRPr="00FE1E26">
              <w:rPr>
                <w:i/>
                <w:sz w:val="20"/>
              </w:rPr>
              <w:t>k</w:t>
            </w:r>
            <w:r w:rsidRPr="00DA6DF5">
              <w:rPr>
                <w:sz w:val="20"/>
                <w:vertAlign w:val="subscript"/>
              </w:rPr>
              <w:t>1</w:t>
            </w:r>
            <w:r w:rsidRPr="00FE1E26">
              <w:rPr>
                <w:sz w:val="20"/>
              </w:rPr>
              <w:t xml:space="preserve"> = </w:t>
            </w:r>
            <w:r>
              <w:rPr>
                <w:sz w:val="20"/>
              </w:rPr>
              <w:t>(6.0</w:t>
            </w:r>
            <w:r w:rsidRPr="00FE1E26">
              <w:rPr>
                <w:sz w:val="20"/>
              </w:rPr>
              <w:t xml:space="preserve"> </w:t>
            </w:r>
            <w:r w:rsidRPr="00FE1E26">
              <w:rPr>
                <w:sz w:val="20"/>
              </w:rPr>
              <w:sym w:font="Symbol" w:char="F0B1"/>
            </w:r>
            <w:r w:rsidRPr="00FE1E26">
              <w:rPr>
                <w:sz w:val="20"/>
              </w:rPr>
              <w:t xml:space="preserve"> 1</w:t>
            </w:r>
            <w:r>
              <w:rPr>
                <w:sz w:val="20"/>
              </w:rPr>
              <w:t>.1</w:t>
            </w:r>
            <w:r w:rsidRPr="00FE1E26">
              <w:rPr>
                <w:sz w:val="20"/>
              </w:rPr>
              <w:t xml:space="preserve">) </w:t>
            </w:r>
            <w:r w:rsidRPr="00FE1E26">
              <w:rPr>
                <w:sz w:val="20"/>
              </w:rPr>
              <w:sym w:font="Symbol" w:char="F0B4"/>
            </w:r>
            <w:r w:rsidRPr="00FE1E26">
              <w:rPr>
                <w:sz w:val="20"/>
              </w:rPr>
              <w:t xml:space="preserve"> 10</w:t>
            </w:r>
            <w:r w:rsidRPr="00FE1E26">
              <w:rPr>
                <w:sz w:val="20"/>
                <w:vertAlign w:val="superscript"/>
              </w:rPr>
              <w:t>-3</w:t>
            </w:r>
            <w:r w:rsidRPr="00FE1E26">
              <w:rPr>
                <w:sz w:val="20"/>
              </w:rPr>
              <w:t xml:space="preserve"> </w:t>
            </w:r>
            <w:r>
              <w:rPr>
                <w:sz w:val="20"/>
              </w:rPr>
              <w:t>(55</w:t>
            </w:r>
            <w:r w:rsidRPr="00FE1E26">
              <w:rPr>
                <w:sz w:val="20"/>
              </w:rPr>
              <w:t xml:space="preserve"> Torr N</w:t>
            </w:r>
            <w:r w:rsidRPr="00FE1E26">
              <w:rPr>
                <w:sz w:val="20"/>
                <w:vertAlign w:val="subscript"/>
              </w:rPr>
              <w:t>2</w:t>
            </w:r>
            <w:r w:rsidRPr="00FE1E26">
              <w:rPr>
                <w:sz w:val="20"/>
              </w:rPr>
              <w:t>)</w:t>
            </w:r>
          </w:p>
        </w:tc>
        <w:tc>
          <w:tcPr>
            <w:tcW w:w="922" w:type="dxa"/>
            <w:shd w:val="clear" w:color="auto" w:fill="auto"/>
          </w:tcPr>
          <w:p w:rsidR="009266A5" w:rsidRDefault="009266A5" w:rsidP="00201ECC">
            <w:pPr>
              <w:snapToGrid w:val="0"/>
              <w:jc w:val="both"/>
              <w:rPr>
                <w:sz w:val="20"/>
              </w:rPr>
            </w:pPr>
            <w:r>
              <w:rPr>
                <w:sz w:val="20"/>
              </w:rPr>
              <w:t>298</w:t>
            </w:r>
          </w:p>
        </w:tc>
        <w:tc>
          <w:tcPr>
            <w:tcW w:w="2849" w:type="dxa"/>
            <w:shd w:val="clear" w:color="auto" w:fill="auto"/>
          </w:tcPr>
          <w:p w:rsidR="009266A5" w:rsidRDefault="009266A5" w:rsidP="00201ECC">
            <w:pPr>
              <w:snapToGrid w:val="0"/>
              <w:jc w:val="both"/>
              <w:rPr>
                <w:sz w:val="20"/>
              </w:rPr>
            </w:pPr>
            <w:r w:rsidRPr="00DC4A3E">
              <w:rPr>
                <w:sz w:val="20"/>
              </w:rPr>
              <w:t>Butkovskaya</w:t>
            </w:r>
            <w:r>
              <w:rPr>
                <w:sz w:val="20"/>
              </w:rPr>
              <w:t xml:space="preserve"> et al., 2010</w:t>
            </w:r>
          </w:p>
        </w:tc>
        <w:tc>
          <w:tcPr>
            <w:tcW w:w="1383" w:type="dxa"/>
            <w:shd w:val="clear" w:color="auto" w:fill="auto"/>
          </w:tcPr>
          <w:p w:rsidR="009266A5" w:rsidRDefault="009266A5" w:rsidP="00201ECC">
            <w:pPr>
              <w:snapToGrid w:val="0"/>
              <w:rPr>
                <w:sz w:val="20"/>
              </w:rPr>
            </w:pPr>
            <w:r>
              <w:rPr>
                <w:sz w:val="20"/>
              </w:rPr>
              <w:t>F-CIMS (g)</w:t>
            </w:r>
          </w:p>
        </w:tc>
        <w:tc>
          <w:tcPr>
            <w:tcW w:w="69" w:type="dxa"/>
            <w:shd w:val="clear" w:color="auto" w:fill="auto"/>
          </w:tcPr>
          <w:p w:rsidR="009266A5" w:rsidRDefault="009266A5">
            <w:pPr>
              <w:snapToGrid w:val="0"/>
            </w:pPr>
          </w:p>
        </w:tc>
      </w:tr>
      <w:tr w:rsidR="009266A5" w:rsidTr="009266A5">
        <w:tblPrEx>
          <w:tblCellMar>
            <w:left w:w="0" w:type="dxa"/>
            <w:right w:w="0" w:type="dxa"/>
          </w:tblCellMar>
        </w:tblPrEx>
        <w:tc>
          <w:tcPr>
            <w:tcW w:w="3434" w:type="dxa"/>
            <w:tcBorders>
              <w:bottom w:val="single" w:sz="4" w:space="0" w:color="000000"/>
            </w:tcBorders>
            <w:shd w:val="clear" w:color="auto" w:fill="auto"/>
          </w:tcPr>
          <w:p w:rsidR="009266A5" w:rsidRPr="00FE1E26" w:rsidRDefault="009266A5" w:rsidP="00201ECC">
            <w:pPr>
              <w:snapToGrid w:val="0"/>
              <w:jc w:val="both"/>
              <w:rPr>
                <w:i/>
                <w:sz w:val="20"/>
              </w:rPr>
            </w:pPr>
            <w:r w:rsidRPr="00FE1E26">
              <w:rPr>
                <w:i/>
                <w:sz w:val="20"/>
              </w:rPr>
              <w:t>k</w:t>
            </w:r>
            <w:r w:rsidRPr="00FE1E26">
              <w:rPr>
                <w:sz w:val="20"/>
                <w:vertAlign w:val="subscript"/>
              </w:rPr>
              <w:t>2</w:t>
            </w:r>
            <w:r w:rsidRPr="00FE1E26">
              <w:rPr>
                <w:sz w:val="20"/>
              </w:rPr>
              <w:t>/</w:t>
            </w:r>
            <w:r w:rsidRPr="00FE1E26">
              <w:rPr>
                <w:i/>
                <w:sz w:val="20"/>
              </w:rPr>
              <w:t>k</w:t>
            </w:r>
            <w:r w:rsidRPr="00DA6DF5">
              <w:rPr>
                <w:sz w:val="20"/>
                <w:vertAlign w:val="subscript"/>
              </w:rPr>
              <w:t>1</w:t>
            </w:r>
            <w:r>
              <w:rPr>
                <w:sz w:val="20"/>
              </w:rPr>
              <w:t xml:space="preserve"> = (27.4</w:t>
            </w:r>
            <w:r w:rsidRPr="00FE1E26">
              <w:rPr>
                <w:sz w:val="20"/>
              </w:rPr>
              <w:t xml:space="preserve"> </w:t>
            </w:r>
            <w:r w:rsidRPr="00FE1E26">
              <w:rPr>
                <w:sz w:val="20"/>
              </w:rPr>
              <w:sym w:font="Symbol" w:char="F0B1"/>
            </w:r>
            <w:r>
              <w:rPr>
                <w:sz w:val="20"/>
              </w:rPr>
              <w:t xml:space="preserve"> 6.6</w:t>
            </w:r>
            <w:r w:rsidRPr="00FE1E26">
              <w:rPr>
                <w:sz w:val="20"/>
              </w:rPr>
              <w:t xml:space="preserve">) </w:t>
            </w:r>
            <w:r w:rsidRPr="00FE1E26">
              <w:rPr>
                <w:sz w:val="20"/>
              </w:rPr>
              <w:sym w:font="Symbol" w:char="F0B4"/>
            </w:r>
            <w:r w:rsidRPr="00FE1E26">
              <w:rPr>
                <w:sz w:val="20"/>
              </w:rPr>
              <w:t xml:space="preserve"> 10</w:t>
            </w:r>
            <w:r w:rsidRPr="00FE1E26">
              <w:rPr>
                <w:sz w:val="20"/>
                <w:vertAlign w:val="superscript"/>
              </w:rPr>
              <w:t>-3</w:t>
            </w:r>
            <w:r>
              <w:rPr>
                <w:sz w:val="20"/>
              </w:rPr>
              <w:t xml:space="preserve"> (5</w:t>
            </w:r>
            <w:r w:rsidRPr="00FE1E26">
              <w:rPr>
                <w:sz w:val="20"/>
              </w:rPr>
              <w:t>00 Torr N</w:t>
            </w:r>
            <w:r w:rsidRPr="00FE1E26">
              <w:rPr>
                <w:sz w:val="20"/>
                <w:vertAlign w:val="subscript"/>
              </w:rPr>
              <w:t>2</w:t>
            </w:r>
            <w:r w:rsidRPr="00FE1E26">
              <w:rPr>
                <w:sz w:val="20"/>
              </w:rPr>
              <w:t>)</w:t>
            </w:r>
          </w:p>
        </w:tc>
        <w:tc>
          <w:tcPr>
            <w:tcW w:w="922" w:type="dxa"/>
            <w:tcBorders>
              <w:bottom w:val="single" w:sz="4" w:space="0" w:color="000000"/>
            </w:tcBorders>
            <w:shd w:val="clear" w:color="auto" w:fill="auto"/>
          </w:tcPr>
          <w:p w:rsidR="009266A5" w:rsidRDefault="009266A5" w:rsidP="00201ECC">
            <w:pPr>
              <w:snapToGrid w:val="0"/>
              <w:jc w:val="both"/>
              <w:rPr>
                <w:sz w:val="20"/>
              </w:rPr>
            </w:pPr>
          </w:p>
        </w:tc>
        <w:tc>
          <w:tcPr>
            <w:tcW w:w="2849" w:type="dxa"/>
            <w:tcBorders>
              <w:bottom w:val="single" w:sz="4" w:space="0" w:color="000000"/>
            </w:tcBorders>
            <w:shd w:val="clear" w:color="auto" w:fill="auto"/>
          </w:tcPr>
          <w:p w:rsidR="009266A5" w:rsidRDefault="009266A5" w:rsidP="00201ECC">
            <w:pPr>
              <w:snapToGrid w:val="0"/>
              <w:jc w:val="both"/>
              <w:rPr>
                <w:sz w:val="20"/>
              </w:rPr>
            </w:pPr>
          </w:p>
        </w:tc>
        <w:tc>
          <w:tcPr>
            <w:tcW w:w="1383" w:type="dxa"/>
            <w:tcBorders>
              <w:bottom w:val="single" w:sz="4" w:space="0" w:color="000000"/>
            </w:tcBorders>
            <w:shd w:val="clear" w:color="auto" w:fill="auto"/>
          </w:tcPr>
          <w:p w:rsidR="009266A5" w:rsidRDefault="009266A5" w:rsidP="00201ECC">
            <w:pPr>
              <w:snapToGrid w:val="0"/>
              <w:rPr>
                <w:sz w:val="20"/>
              </w:rPr>
            </w:pPr>
          </w:p>
        </w:tc>
        <w:tc>
          <w:tcPr>
            <w:tcW w:w="69" w:type="dxa"/>
            <w:shd w:val="clear" w:color="auto" w:fill="auto"/>
          </w:tcPr>
          <w:p w:rsidR="009266A5" w:rsidRDefault="009266A5">
            <w:pPr>
              <w:snapToGrid w:val="0"/>
            </w:pPr>
          </w:p>
        </w:tc>
      </w:tr>
    </w:tbl>
    <w:p w:rsidR="00BD268D" w:rsidRDefault="00BD268D">
      <w:pPr>
        <w:pStyle w:val="Heading1"/>
        <w:tabs>
          <w:tab w:val="left" w:pos="4867"/>
          <w:tab w:val="left" w:pos="7982"/>
          <w:tab w:val="left" w:pos="8395"/>
          <w:tab w:val="left" w:pos="8812"/>
        </w:tabs>
        <w:spacing w:line="360" w:lineRule="auto"/>
        <w:jc w:val="center"/>
      </w:pPr>
    </w:p>
    <w:p w:rsidR="00BD268D" w:rsidRDefault="00BD268D">
      <w:pPr>
        <w:pStyle w:val="Heading2"/>
      </w:pPr>
      <w:r>
        <w:t>Comments</w:t>
      </w:r>
    </w:p>
    <w:p w:rsidR="00BD268D" w:rsidRDefault="00BD268D"/>
    <w:p w:rsidR="00BD268D" w:rsidRDefault="00BD268D">
      <w:pPr>
        <w:tabs>
          <w:tab w:val="left" w:pos="-1440"/>
          <w:tab w:val="left" w:pos="-720"/>
          <w:tab w:val="left" w:pos="444"/>
        </w:tabs>
        <w:ind w:left="444" w:right="553" w:hanging="444"/>
        <w:jc w:val="both"/>
      </w:pPr>
      <w:r>
        <w:t>(a)</w:t>
      </w:r>
      <w:r>
        <w:tab/>
        <w:t>Low pressure flow tube at 2.7 mbar He. Rate constant derived from analysis of NO</w:t>
      </w:r>
      <w:r>
        <w:rPr>
          <w:vertAlign w:val="subscript"/>
        </w:rPr>
        <w:t>2</w:t>
      </w:r>
      <w:r>
        <w:t xml:space="preserve"> growth profiles.</w:t>
      </w:r>
    </w:p>
    <w:p w:rsidR="00BD268D" w:rsidRDefault="00BD268D">
      <w:pPr>
        <w:tabs>
          <w:tab w:val="left" w:pos="-1440"/>
          <w:tab w:val="left" w:pos="-720"/>
          <w:tab w:val="left" w:pos="444"/>
        </w:tabs>
        <w:ind w:left="444" w:right="553" w:hanging="444"/>
        <w:jc w:val="both"/>
        <w:rPr>
          <w:i/>
        </w:rPr>
      </w:pPr>
      <w:r>
        <w:t>(b)</w:t>
      </w:r>
      <w:r>
        <w:tab/>
      </w:r>
      <w:r>
        <w:rPr>
          <w:i/>
        </w:rPr>
        <w:t>i</w:t>
      </w:r>
      <w:r>
        <w:t>-C</w:t>
      </w:r>
      <w:r>
        <w:rPr>
          <w:vertAlign w:val="subscript"/>
        </w:rPr>
        <w:t>3</w:t>
      </w:r>
      <w:r>
        <w:t>H</w:t>
      </w:r>
      <w:r>
        <w:rPr>
          <w:vertAlign w:val="subscript"/>
        </w:rPr>
        <w:t>7</w:t>
      </w:r>
      <w:r>
        <w:t>O</w:t>
      </w:r>
      <w:r>
        <w:rPr>
          <w:vertAlign w:val="subscript"/>
        </w:rPr>
        <w:t>2</w:t>
      </w:r>
      <w:r>
        <w:t xml:space="preserve"> radicals produced by reaction of O</w:t>
      </w:r>
      <w:r>
        <w:rPr>
          <w:vertAlign w:val="subscript"/>
        </w:rPr>
        <w:t>2</w:t>
      </w:r>
      <w:r>
        <w:t xml:space="preserve"> with </w:t>
      </w:r>
      <w:r>
        <w:rPr>
          <w:i/>
        </w:rPr>
        <w:t>i</w:t>
      </w:r>
      <w:r>
        <w:t>-C</w:t>
      </w:r>
      <w:r>
        <w:rPr>
          <w:vertAlign w:val="subscript"/>
        </w:rPr>
        <w:t>3</w:t>
      </w:r>
      <w:r>
        <w:t>H</w:t>
      </w:r>
      <w:r>
        <w:rPr>
          <w:vertAlign w:val="subscript"/>
        </w:rPr>
        <w:t>7</w:t>
      </w:r>
      <w:r>
        <w:t xml:space="preserve"> radicals produced by thermal decomposition of isobutyl nitrate.  </w:t>
      </w:r>
      <w:r>
        <w:rPr>
          <w:i/>
        </w:rPr>
        <w:t>i</w:t>
      </w:r>
      <w:r>
        <w:t>-C</w:t>
      </w:r>
      <w:r>
        <w:rPr>
          <w:vertAlign w:val="subscript"/>
        </w:rPr>
        <w:t>3</w:t>
      </w:r>
      <w:r>
        <w:t>H</w:t>
      </w:r>
      <w:r>
        <w:rPr>
          <w:vertAlign w:val="subscript"/>
        </w:rPr>
        <w:t>7</w:t>
      </w:r>
      <w:r>
        <w:t>O</w:t>
      </w:r>
      <w:r>
        <w:rPr>
          <w:vertAlign w:val="subscript"/>
        </w:rPr>
        <w:t>2</w:t>
      </w:r>
      <w:r>
        <w:t xml:space="preserve"> was detected as its parent negative ion formed by reaction with O</w:t>
      </w:r>
      <w:r>
        <w:rPr>
          <w:vertAlign w:val="subscript"/>
        </w:rPr>
        <w:t>2</w:t>
      </w:r>
      <w:r>
        <w:rPr>
          <w:vertAlign w:val="superscript"/>
        </w:rPr>
        <w:t>-</w:t>
      </w:r>
      <w:r>
        <w:t xml:space="preserve">.  </w:t>
      </w:r>
      <w:r>
        <w:rPr>
          <w:i/>
        </w:rPr>
        <w:t>k</w:t>
      </w:r>
      <w:r>
        <w:t xml:space="preserve"> determined by pseudo-first order loss of </w:t>
      </w:r>
      <w:r>
        <w:rPr>
          <w:i/>
        </w:rPr>
        <w:t>i</w:t>
      </w:r>
      <w:r>
        <w:t>-C</w:t>
      </w:r>
      <w:r>
        <w:rPr>
          <w:vertAlign w:val="subscript"/>
        </w:rPr>
        <w:t>3</w:t>
      </w:r>
      <w:r>
        <w:t>H</w:t>
      </w:r>
      <w:r>
        <w:rPr>
          <w:vertAlign w:val="subscript"/>
        </w:rPr>
        <w:t>7</w:t>
      </w:r>
      <w:r>
        <w:t>O</w:t>
      </w:r>
      <w:r>
        <w:rPr>
          <w:vertAlign w:val="subscript"/>
        </w:rPr>
        <w:t>2</w:t>
      </w:r>
      <w:r>
        <w:t xml:space="preserve"> in the presence of NO.</w:t>
      </w:r>
    </w:p>
    <w:p w:rsidR="00BD268D" w:rsidRDefault="00BD268D">
      <w:pPr>
        <w:numPr>
          <w:ilvl w:val="0"/>
          <w:numId w:val="13"/>
        </w:numPr>
        <w:tabs>
          <w:tab w:val="left" w:pos="-1440"/>
          <w:tab w:val="left" w:pos="-720"/>
        </w:tabs>
        <w:ind w:right="553"/>
        <w:jc w:val="both"/>
      </w:pPr>
      <w:r>
        <w:rPr>
          <w:i/>
        </w:rPr>
        <w:t>i</w:t>
      </w:r>
      <w:r>
        <w:t>-C</w:t>
      </w:r>
      <w:r>
        <w:rPr>
          <w:vertAlign w:val="subscript"/>
        </w:rPr>
        <w:t>3</w:t>
      </w:r>
      <w:r>
        <w:t>H</w:t>
      </w:r>
      <w:r>
        <w:rPr>
          <w:vertAlign w:val="subscript"/>
        </w:rPr>
        <w:t>7</w:t>
      </w:r>
      <w:r>
        <w:t>O</w:t>
      </w:r>
      <w:r>
        <w:rPr>
          <w:vertAlign w:val="subscript"/>
        </w:rPr>
        <w:t>2</w:t>
      </w:r>
      <w:r>
        <w:t xml:space="preserve"> produced by reaction of O</w:t>
      </w:r>
      <w:r>
        <w:rPr>
          <w:vertAlign w:val="subscript"/>
        </w:rPr>
        <w:t>2</w:t>
      </w:r>
      <w:r>
        <w:t xml:space="preserve"> with </w:t>
      </w:r>
      <w:r>
        <w:rPr>
          <w:i/>
        </w:rPr>
        <w:t>i</w:t>
      </w:r>
      <w:r>
        <w:t>-C</w:t>
      </w:r>
      <w:r>
        <w:rPr>
          <w:vertAlign w:val="subscript"/>
        </w:rPr>
        <w:t>3</w:t>
      </w:r>
      <w:r>
        <w:t>H</w:t>
      </w:r>
      <w:r>
        <w:rPr>
          <w:vertAlign w:val="subscript"/>
        </w:rPr>
        <w:t>7</w:t>
      </w:r>
      <w:r>
        <w:t xml:space="preserve"> produced in a low frequency RF discharge through </w:t>
      </w:r>
      <w:r>
        <w:rPr>
          <w:i/>
        </w:rPr>
        <w:t>i</w:t>
      </w:r>
      <w:r>
        <w:t>-propyl iodide.</w:t>
      </w:r>
    </w:p>
    <w:p w:rsidR="00BD268D" w:rsidRDefault="00BD268D">
      <w:pPr>
        <w:numPr>
          <w:ilvl w:val="0"/>
          <w:numId w:val="13"/>
        </w:numPr>
        <w:tabs>
          <w:tab w:val="left" w:pos="-1440"/>
          <w:tab w:val="left" w:pos="-720"/>
        </w:tabs>
        <w:ind w:right="553"/>
        <w:jc w:val="both"/>
      </w:pPr>
      <w:r>
        <w:lastRenderedPageBreak/>
        <w:t>Turbulent flow reactor at 100 Torr (133 mbar) N</w:t>
      </w:r>
      <w:r>
        <w:rPr>
          <w:vertAlign w:val="subscript"/>
        </w:rPr>
        <w:t>2</w:t>
      </w:r>
      <w:r>
        <w:t xml:space="preserve"> total pressure. C</w:t>
      </w:r>
      <w:r>
        <w:rPr>
          <w:vertAlign w:val="subscript"/>
        </w:rPr>
        <w:t>3</w:t>
      </w:r>
      <w:r>
        <w:t>H</w:t>
      </w:r>
      <w:r>
        <w:rPr>
          <w:vertAlign w:val="subscript"/>
        </w:rPr>
        <w:t>7</w:t>
      </w:r>
      <w:r>
        <w:t>O</w:t>
      </w:r>
      <w:r>
        <w:rPr>
          <w:vertAlign w:val="subscript"/>
        </w:rPr>
        <w:t>2</w:t>
      </w:r>
      <w:r>
        <w:t xml:space="preserve"> radicals were generated by the reaction of Cl atoms with C</w:t>
      </w:r>
      <w:r>
        <w:rPr>
          <w:vertAlign w:val="subscript"/>
        </w:rPr>
        <w:t>3</w:t>
      </w:r>
      <w:r>
        <w:t>H</w:t>
      </w:r>
      <w:r>
        <w:rPr>
          <w:vertAlign w:val="subscript"/>
        </w:rPr>
        <w:t>8</w:t>
      </w:r>
      <w:r>
        <w:t xml:space="preserve"> in the presence of O</w:t>
      </w:r>
      <w:r>
        <w:rPr>
          <w:vertAlign w:val="subscript"/>
        </w:rPr>
        <w:t>2</w:t>
      </w:r>
      <w:r>
        <w:t xml:space="preserve">, thus both </w:t>
      </w:r>
      <w:r>
        <w:rPr>
          <w:i/>
        </w:rPr>
        <w:t>n</w:t>
      </w:r>
      <w:r>
        <w:t>-C</w:t>
      </w:r>
      <w:r>
        <w:rPr>
          <w:vertAlign w:val="subscript"/>
        </w:rPr>
        <w:t>3</w:t>
      </w:r>
      <w:r>
        <w:t>H</w:t>
      </w:r>
      <w:r>
        <w:rPr>
          <w:vertAlign w:val="subscript"/>
        </w:rPr>
        <w:t>7</w:t>
      </w:r>
      <w:r>
        <w:t>O</w:t>
      </w:r>
      <w:r>
        <w:rPr>
          <w:vertAlign w:val="subscript"/>
        </w:rPr>
        <w:t>2</w:t>
      </w:r>
      <w:r>
        <w:t xml:space="preserve"> and </w:t>
      </w:r>
      <w:r>
        <w:rPr>
          <w:i/>
        </w:rPr>
        <w:t>i</w:t>
      </w:r>
      <w:r>
        <w:t>-C</w:t>
      </w:r>
      <w:r>
        <w:rPr>
          <w:vertAlign w:val="subscript"/>
        </w:rPr>
        <w:t>3</w:t>
      </w:r>
      <w:r>
        <w:t>H</w:t>
      </w:r>
      <w:r>
        <w:rPr>
          <w:vertAlign w:val="subscript"/>
        </w:rPr>
        <w:t>7</w:t>
      </w:r>
      <w:r>
        <w:t>O</w:t>
      </w:r>
      <w:r>
        <w:rPr>
          <w:vertAlign w:val="subscript"/>
        </w:rPr>
        <w:t>2</w:t>
      </w:r>
      <w:r>
        <w:t xml:space="preserve"> were present and the rate coefficients measured are overall values for both isomers, which were detected as C</w:t>
      </w:r>
      <w:r>
        <w:rPr>
          <w:vertAlign w:val="subscript"/>
        </w:rPr>
        <w:t>3</w:t>
      </w:r>
      <w:r>
        <w:t>H</w:t>
      </w:r>
      <w:r>
        <w:rPr>
          <w:vertAlign w:val="subscript"/>
        </w:rPr>
        <w:t>7</w:t>
      </w:r>
      <w:r>
        <w:t>OOH</w:t>
      </w:r>
      <w:r>
        <w:rPr>
          <w:vertAlign w:val="superscript"/>
        </w:rPr>
        <w:t>+</w:t>
      </w:r>
      <w:r>
        <w:t>(H</w:t>
      </w:r>
      <w:r>
        <w:rPr>
          <w:vertAlign w:val="subscript"/>
        </w:rPr>
        <w:t>2</w:t>
      </w:r>
      <w:r>
        <w:t>O)</w:t>
      </w:r>
      <w:r>
        <w:rPr>
          <w:vertAlign w:val="subscript"/>
        </w:rPr>
        <w:t>3</w:t>
      </w:r>
      <w:r>
        <w:t xml:space="preserve"> following reaction with H</w:t>
      </w:r>
      <w:r>
        <w:rPr>
          <w:vertAlign w:val="superscript"/>
        </w:rPr>
        <w:t>+</w:t>
      </w:r>
      <w:r>
        <w:t>(H</w:t>
      </w:r>
      <w:r>
        <w:rPr>
          <w:vertAlign w:val="subscript"/>
        </w:rPr>
        <w:t>2</w:t>
      </w:r>
      <w:r>
        <w:t>O)</w:t>
      </w:r>
      <w:r>
        <w:rPr>
          <w:vertAlign w:val="subscript"/>
        </w:rPr>
        <w:t>4</w:t>
      </w:r>
      <w:r>
        <w:t xml:space="preserve"> ions. For branching ratio measurements, </w:t>
      </w:r>
      <w:r>
        <w:rPr>
          <w:i/>
        </w:rPr>
        <w:t>i</w:t>
      </w:r>
      <w:r>
        <w:t>-C</w:t>
      </w:r>
      <w:r>
        <w:rPr>
          <w:vertAlign w:val="subscript"/>
        </w:rPr>
        <w:t>3</w:t>
      </w:r>
      <w:r>
        <w:t>H</w:t>
      </w:r>
      <w:r>
        <w:rPr>
          <w:vertAlign w:val="subscript"/>
        </w:rPr>
        <w:t>7</w:t>
      </w:r>
      <w:r>
        <w:t>O</w:t>
      </w:r>
      <w:r>
        <w:rPr>
          <w:vertAlign w:val="subscript"/>
        </w:rPr>
        <w:t>2</w:t>
      </w:r>
      <w:r>
        <w:t xml:space="preserve"> was selectively generated from the reaction of H atoms with C</w:t>
      </w:r>
      <w:r>
        <w:rPr>
          <w:vertAlign w:val="subscript"/>
        </w:rPr>
        <w:t>3</w:t>
      </w:r>
      <w:r>
        <w:t>H</w:t>
      </w:r>
      <w:r>
        <w:rPr>
          <w:vertAlign w:val="subscript"/>
        </w:rPr>
        <w:t>6</w:t>
      </w:r>
      <w:r>
        <w:t xml:space="preserve"> in the presence of O</w:t>
      </w:r>
      <w:r>
        <w:rPr>
          <w:vertAlign w:val="subscript"/>
        </w:rPr>
        <w:t>2</w:t>
      </w:r>
      <w:r>
        <w:t xml:space="preserve">. </w:t>
      </w:r>
      <w:r>
        <w:rPr>
          <w:i/>
        </w:rPr>
        <w:t>i</w:t>
      </w:r>
      <w:r>
        <w:t>-C</w:t>
      </w:r>
      <w:r>
        <w:rPr>
          <w:vertAlign w:val="subscript"/>
        </w:rPr>
        <w:t>3</w:t>
      </w:r>
      <w:r>
        <w:t>H</w:t>
      </w:r>
      <w:r>
        <w:rPr>
          <w:vertAlign w:val="subscript"/>
        </w:rPr>
        <w:t>7</w:t>
      </w:r>
      <w:r>
        <w:t>ONO</w:t>
      </w:r>
      <w:r>
        <w:rPr>
          <w:vertAlign w:val="subscript"/>
        </w:rPr>
        <w:t>2</w:t>
      </w:r>
      <w:r>
        <w:t xml:space="preserve"> was detected using H</w:t>
      </w:r>
      <w:r>
        <w:rPr>
          <w:vertAlign w:val="superscript"/>
        </w:rPr>
        <w:t>+</w:t>
      </w:r>
      <w:r>
        <w:t>(H</w:t>
      </w:r>
      <w:r>
        <w:rPr>
          <w:vertAlign w:val="subscript"/>
        </w:rPr>
        <w:t>2</w:t>
      </w:r>
      <w:r>
        <w:t>O)</w:t>
      </w:r>
      <w:r>
        <w:rPr>
          <w:vertAlign w:val="subscript"/>
        </w:rPr>
        <w:t>4</w:t>
      </w:r>
      <w:r>
        <w:t xml:space="preserve"> ions; NO</w:t>
      </w:r>
      <w:r>
        <w:rPr>
          <w:vertAlign w:val="subscript"/>
        </w:rPr>
        <w:t>2</w:t>
      </w:r>
      <w:r>
        <w:t xml:space="preserve"> was detected as NO</w:t>
      </w:r>
      <w:r>
        <w:rPr>
          <w:vertAlign w:val="subscript"/>
        </w:rPr>
        <w:t>2</w:t>
      </w:r>
      <w:r>
        <w:t>- following electron transfer from SF</w:t>
      </w:r>
      <w:r>
        <w:rPr>
          <w:vertAlign w:val="subscript"/>
        </w:rPr>
        <w:t>6</w:t>
      </w:r>
      <w:r>
        <w:rPr>
          <w:vertAlign w:val="superscript"/>
        </w:rPr>
        <w:t>-</w:t>
      </w:r>
      <w:r>
        <w:t xml:space="preserve">. </w:t>
      </w:r>
    </w:p>
    <w:p w:rsidR="001E4621" w:rsidRDefault="001E4621">
      <w:pPr>
        <w:numPr>
          <w:ilvl w:val="0"/>
          <w:numId w:val="13"/>
        </w:numPr>
        <w:tabs>
          <w:tab w:val="left" w:pos="-1440"/>
          <w:tab w:val="left" w:pos="-720"/>
        </w:tabs>
        <w:ind w:right="553"/>
        <w:jc w:val="both"/>
      </w:pPr>
      <w:r>
        <w:rPr>
          <w:i/>
        </w:rPr>
        <w:t>i</w:t>
      </w:r>
      <w:r>
        <w:t>-C</w:t>
      </w:r>
      <w:r>
        <w:rPr>
          <w:vertAlign w:val="subscript"/>
        </w:rPr>
        <w:t>3</w:t>
      </w:r>
      <w:r>
        <w:t>H</w:t>
      </w:r>
      <w:r>
        <w:rPr>
          <w:vertAlign w:val="subscript"/>
        </w:rPr>
        <w:t>7</w:t>
      </w:r>
      <w:r>
        <w:t>O</w:t>
      </w:r>
      <w:r>
        <w:rPr>
          <w:vertAlign w:val="subscript"/>
        </w:rPr>
        <w:t>2</w:t>
      </w:r>
      <w:r>
        <w:t xml:space="preserve"> generated by reaction of </w:t>
      </w:r>
      <w:r>
        <w:rPr>
          <w:i/>
        </w:rPr>
        <w:t>i</w:t>
      </w:r>
      <w:r>
        <w:t>-C</w:t>
      </w:r>
      <w:r>
        <w:rPr>
          <w:vertAlign w:val="subscript"/>
        </w:rPr>
        <w:t>3</w:t>
      </w:r>
      <w:r>
        <w:t>H</w:t>
      </w:r>
      <w:r>
        <w:rPr>
          <w:vertAlign w:val="subscript"/>
        </w:rPr>
        <w:t>7</w:t>
      </w:r>
      <w:r>
        <w:t xml:space="preserve"> with O</w:t>
      </w:r>
      <w:r>
        <w:rPr>
          <w:vertAlign w:val="subscript"/>
        </w:rPr>
        <w:t>2</w:t>
      </w:r>
      <w:r>
        <w:t xml:space="preserve">, whereby </w:t>
      </w:r>
      <w:r>
        <w:rPr>
          <w:i/>
        </w:rPr>
        <w:t>i</w:t>
      </w:r>
      <w:r>
        <w:t>-C</w:t>
      </w:r>
      <w:r>
        <w:rPr>
          <w:vertAlign w:val="subscript"/>
        </w:rPr>
        <w:t>3</w:t>
      </w:r>
      <w:r>
        <w:t>H</w:t>
      </w:r>
      <w:r>
        <w:rPr>
          <w:vertAlign w:val="subscript"/>
        </w:rPr>
        <w:t>7</w:t>
      </w:r>
      <w:r>
        <w:t xml:space="preserve"> radicals were generated in the 193 nm photolysis of </w:t>
      </w:r>
      <w:r>
        <w:rPr>
          <w:i/>
        </w:rPr>
        <w:t>i</w:t>
      </w:r>
      <w:r>
        <w:t>-C</w:t>
      </w:r>
      <w:r>
        <w:rPr>
          <w:vertAlign w:val="subscript"/>
        </w:rPr>
        <w:t>3</w:t>
      </w:r>
      <w:r>
        <w:t>H</w:t>
      </w:r>
      <w:r>
        <w:rPr>
          <w:vertAlign w:val="subscript"/>
        </w:rPr>
        <w:t>7</w:t>
      </w:r>
      <w:r>
        <w:t xml:space="preserve">Br, or the 248 nm photolysis of </w:t>
      </w:r>
      <w:r>
        <w:rPr>
          <w:i/>
        </w:rPr>
        <w:t>i</w:t>
      </w:r>
      <w:r>
        <w:t>-C</w:t>
      </w:r>
      <w:r>
        <w:rPr>
          <w:vertAlign w:val="subscript"/>
        </w:rPr>
        <w:t>3</w:t>
      </w:r>
      <w:r>
        <w:t>H</w:t>
      </w:r>
      <w:r>
        <w:rPr>
          <w:vertAlign w:val="subscript"/>
        </w:rPr>
        <w:t>7</w:t>
      </w:r>
      <w:r>
        <w:t xml:space="preserve">I. </w:t>
      </w:r>
      <w:r>
        <w:rPr>
          <w:i/>
        </w:rPr>
        <w:t>i</w:t>
      </w:r>
      <w:r>
        <w:t>-C</w:t>
      </w:r>
      <w:r>
        <w:rPr>
          <w:vertAlign w:val="subscript"/>
        </w:rPr>
        <w:t>3</w:t>
      </w:r>
      <w:r>
        <w:t>H</w:t>
      </w:r>
      <w:r>
        <w:rPr>
          <w:vertAlign w:val="subscript"/>
        </w:rPr>
        <w:t>7</w:t>
      </w:r>
      <w:r>
        <w:t>O</w:t>
      </w:r>
      <w:r>
        <w:rPr>
          <w:vertAlign w:val="subscript"/>
        </w:rPr>
        <w:t>2</w:t>
      </w:r>
      <w:r w:rsidR="009266A5">
        <w:t xml:space="preserve"> </w:t>
      </w:r>
      <w:r>
        <w:t>was detected as the negative parent ion</w:t>
      </w:r>
      <w:r w:rsidR="009266A5">
        <w:t xml:space="preserve">. </w:t>
      </w:r>
      <w:r>
        <w:t>The bath gas was was 4 – 5.3 mbar (He). Owing to poor sensitivity, and resultant side/secondary reactions the rate coefficient was extracted by numerical modelling of a complex reaction scheme.</w:t>
      </w:r>
    </w:p>
    <w:p w:rsidR="00BD268D" w:rsidRDefault="00BD268D">
      <w:pPr>
        <w:numPr>
          <w:ilvl w:val="0"/>
          <w:numId w:val="13"/>
        </w:numPr>
        <w:tabs>
          <w:tab w:val="left" w:pos="-1440"/>
          <w:tab w:val="left" w:pos="-720"/>
        </w:tabs>
        <w:ind w:right="553"/>
        <w:jc w:val="both"/>
      </w:pPr>
      <w:r>
        <w:t>Photolysis of CH</w:t>
      </w:r>
      <w:r>
        <w:rPr>
          <w:vertAlign w:val="subscript"/>
        </w:rPr>
        <w:t>3</w:t>
      </w:r>
      <w:r>
        <w:t>ONO-NO-C</w:t>
      </w:r>
      <w:r>
        <w:rPr>
          <w:vertAlign w:val="subscript"/>
        </w:rPr>
        <w:t>3</w:t>
      </w:r>
      <w:r>
        <w:t>H</w:t>
      </w:r>
      <w:r>
        <w:rPr>
          <w:vertAlign w:val="subscript"/>
        </w:rPr>
        <w:t>8</w:t>
      </w:r>
      <w:r>
        <w:t>-air or Cl</w:t>
      </w:r>
      <w:r>
        <w:rPr>
          <w:vertAlign w:val="subscript"/>
        </w:rPr>
        <w:t>2</w:t>
      </w:r>
      <w:r>
        <w:t>-NO-C</w:t>
      </w:r>
      <w:r>
        <w:rPr>
          <w:vertAlign w:val="subscript"/>
        </w:rPr>
        <w:t>3</w:t>
      </w:r>
      <w:r>
        <w:t>H</w:t>
      </w:r>
      <w:r>
        <w:rPr>
          <w:vertAlign w:val="subscript"/>
        </w:rPr>
        <w:t>8</w:t>
      </w:r>
      <w:r>
        <w:t xml:space="preserve">-air mixtures at a total pressure of 1 bar.  The branching ratio was determined from the measured yields of </w:t>
      </w:r>
      <w:r>
        <w:rPr>
          <w:i/>
        </w:rPr>
        <w:t>i</w:t>
      </w:r>
      <w:r>
        <w:t>-C</w:t>
      </w:r>
      <w:r>
        <w:rPr>
          <w:vertAlign w:val="subscript"/>
        </w:rPr>
        <w:t>3</w:t>
      </w:r>
      <w:r>
        <w:t>H</w:t>
      </w:r>
      <w:r>
        <w:rPr>
          <w:vertAlign w:val="subscript"/>
        </w:rPr>
        <w:t>7</w:t>
      </w:r>
      <w:r>
        <w:t>ONO</w:t>
      </w:r>
      <w:r>
        <w:rPr>
          <w:vertAlign w:val="subscript"/>
        </w:rPr>
        <w:t>2</w:t>
      </w:r>
      <w:r>
        <w:t xml:space="preserve"> and the consumption of C</w:t>
      </w:r>
      <w:r>
        <w:rPr>
          <w:vertAlign w:val="subscript"/>
        </w:rPr>
        <w:t>3</w:t>
      </w:r>
      <w:r>
        <w:t>H</w:t>
      </w:r>
      <w:r>
        <w:rPr>
          <w:vertAlign w:val="subscript"/>
        </w:rPr>
        <w:t>8</w:t>
      </w:r>
      <w:r>
        <w:t>.  Carter and Atkinson (1989) have re-evaluated the branching ratio, cited above, from the original data (Atkinson et al., 1982) on the basis of revised data for the rate coefficients of the HO radical reactions with alkanes.</w:t>
      </w:r>
    </w:p>
    <w:p w:rsidR="009266A5" w:rsidRDefault="009266A5">
      <w:pPr>
        <w:numPr>
          <w:ilvl w:val="0"/>
          <w:numId w:val="13"/>
        </w:numPr>
        <w:tabs>
          <w:tab w:val="left" w:pos="-1440"/>
          <w:tab w:val="left" w:pos="-720"/>
        </w:tabs>
        <w:ind w:right="553"/>
        <w:jc w:val="both"/>
      </w:pPr>
      <w:r w:rsidRPr="00E33E36">
        <w:rPr>
          <w:color w:val="000000"/>
        </w:rPr>
        <w:t>Turbulent flow reactor with CIMS detection of products</w:t>
      </w:r>
      <w:r w:rsidR="00766DD5">
        <w:rPr>
          <w:color w:val="000000"/>
        </w:rPr>
        <w:t xml:space="preserve"> us</w:t>
      </w:r>
      <w:r w:rsidR="00634A7A">
        <w:rPr>
          <w:color w:val="000000"/>
        </w:rPr>
        <w:t>i</w:t>
      </w:r>
      <w:r w:rsidR="00766DD5">
        <w:rPr>
          <w:color w:val="000000"/>
        </w:rPr>
        <w:t>ng F</w:t>
      </w:r>
      <w:r w:rsidR="00766DD5" w:rsidRPr="00766DD5">
        <w:rPr>
          <w:color w:val="000000"/>
          <w:vertAlign w:val="superscript"/>
        </w:rPr>
        <w:t>-</w:t>
      </w:r>
      <w:r w:rsidR="00766DD5">
        <w:rPr>
          <w:color w:val="000000"/>
        </w:rPr>
        <w:t xml:space="preserve"> primary ions</w:t>
      </w:r>
      <w:r>
        <w:rPr>
          <w:color w:val="000000"/>
        </w:rPr>
        <w:t>. Branching ratios (</w:t>
      </w:r>
      <w:r w:rsidRPr="00BC4DFD">
        <w:rPr>
          <w:i/>
          <w:color w:val="000000"/>
        </w:rPr>
        <w:t>k</w:t>
      </w:r>
      <w:r w:rsidRPr="00BC4DFD">
        <w:rPr>
          <w:color w:val="000000"/>
          <w:vertAlign w:val="subscript"/>
        </w:rPr>
        <w:t>2</w:t>
      </w:r>
      <w:r>
        <w:rPr>
          <w:color w:val="000000"/>
        </w:rPr>
        <w:t xml:space="preserve"> / </w:t>
      </w:r>
      <w:r w:rsidRPr="00BC4DFD">
        <w:rPr>
          <w:i/>
          <w:color w:val="000000"/>
        </w:rPr>
        <w:t>k</w:t>
      </w:r>
      <w:r w:rsidRPr="00BC4DFD">
        <w:rPr>
          <w:color w:val="000000"/>
          <w:vertAlign w:val="subscript"/>
        </w:rPr>
        <w:t>1</w:t>
      </w:r>
      <w:r>
        <w:rPr>
          <w:color w:val="000000"/>
        </w:rPr>
        <w:t xml:space="preserve">) were derived by monitoring the formation of </w:t>
      </w:r>
      <w:r w:rsidRPr="00BC4DFD">
        <w:rPr>
          <w:color w:val="000000"/>
        </w:rPr>
        <w:t>C</w:t>
      </w:r>
      <w:r w:rsidRPr="00BC4DFD">
        <w:rPr>
          <w:color w:val="000000"/>
          <w:vertAlign w:val="subscript"/>
        </w:rPr>
        <w:t>2</w:t>
      </w:r>
      <w:r w:rsidRPr="00BC4DFD">
        <w:rPr>
          <w:color w:val="000000"/>
        </w:rPr>
        <w:t>H</w:t>
      </w:r>
      <w:r w:rsidRPr="00BC4DFD">
        <w:rPr>
          <w:color w:val="000000"/>
          <w:vertAlign w:val="subscript"/>
        </w:rPr>
        <w:t>5</w:t>
      </w:r>
      <w:r w:rsidRPr="00BC4DFD">
        <w:rPr>
          <w:color w:val="000000"/>
        </w:rPr>
        <w:t>ONO</w:t>
      </w:r>
      <w:r w:rsidRPr="00BC4DFD">
        <w:rPr>
          <w:color w:val="000000"/>
          <w:vertAlign w:val="subscript"/>
        </w:rPr>
        <w:t>2</w:t>
      </w:r>
      <w:r>
        <w:rPr>
          <w:color w:val="000000"/>
        </w:rPr>
        <w:t xml:space="preserve"> (</w:t>
      </w:r>
      <w:r w:rsidR="00766DD5">
        <w:rPr>
          <w:color w:val="000000"/>
        </w:rPr>
        <w:t xml:space="preserve">detected </w:t>
      </w:r>
      <w:r>
        <w:rPr>
          <w:color w:val="000000"/>
        </w:rPr>
        <w:t xml:space="preserve">as </w:t>
      </w:r>
      <w:r w:rsidRPr="009266A5">
        <w:rPr>
          <w:color w:val="000000"/>
        </w:rPr>
        <w:t>NO</w:t>
      </w:r>
      <w:r w:rsidRPr="009266A5">
        <w:rPr>
          <w:color w:val="000000"/>
          <w:vertAlign w:val="subscript"/>
        </w:rPr>
        <w:t>3</w:t>
      </w:r>
      <w:r w:rsidRPr="009266A5">
        <w:rPr>
          <w:color w:val="000000"/>
          <w:vertAlign w:val="superscript"/>
        </w:rPr>
        <w:t>-</w:t>
      </w:r>
      <w:r>
        <w:rPr>
          <w:color w:val="000000"/>
        </w:rPr>
        <w:t xml:space="preserve">) relative to </w:t>
      </w:r>
      <w:r w:rsidRPr="00BC4DFD">
        <w:rPr>
          <w:color w:val="000000"/>
        </w:rPr>
        <w:t>CH</w:t>
      </w:r>
      <w:r>
        <w:rPr>
          <w:color w:val="000000"/>
          <w:vertAlign w:val="subscript"/>
        </w:rPr>
        <w:t>3</w:t>
      </w:r>
      <w:r>
        <w:rPr>
          <w:color w:val="000000"/>
        </w:rPr>
        <w:t>C(O)CH</w:t>
      </w:r>
      <w:r w:rsidRPr="009266A5">
        <w:rPr>
          <w:color w:val="000000"/>
          <w:vertAlign w:val="subscript"/>
        </w:rPr>
        <w:t>3</w:t>
      </w:r>
      <w:r>
        <w:rPr>
          <w:color w:val="000000"/>
        </w:rPr>
        <w:t xml:space="preserve">, the latter formed (at a yield of 0.16 ± 0.025) in the reaction of  </w:t>
      </w:r>
      <w:r>
        <w:rPr>
          <w:i/>
        </w:rPr>
        <w:t>i</w:t>
      </w:r>
      <w:r>
        <w:t>-C</w:t>
      </w:r>
      <w:r>
        <w:rPr>
          <w:vertAlign w:val="subscript"/>
        </w:rPr>
        <w:t>3</w:t>
      </w:r>
      <w:r>
        <w:t>H</w:t>
      </w:r>
      <w:r>
        <w:rPr>
          <w:vertAlign w:val="subscript"/>
        </w:rPr>
        <w:t>7</w:t>
      </w:r>
      <w:r>
        <w:t>O</w:t>
      </w:r>
      <w:r>
        <w:rPr>
          <w:vertAlign w:val="subscript"/>
        </w:rPr>
        <w:t xml:space="preserve">2 </w:t>
      </w:r>
      <w:r>
        <w:t xml:space="preserve">(from reaction 1) </w:t>
      </w:r>
      <w:r>
        <w:rPr>
          <w:color w:val="000000"/>
        </w:rPr>
        <w:t xml:space="preserve">with NO. </w:t>
      </w:r>
    </w:p>
    <w:p w:rsidR="00BD268D" w:rsidRDefault="00BD268D">
      <w:pPr>
        <w:tabs>
          <w:tab w:val="left" w:pos="-1440"/>
          <w:tab w:val="left" w:pos="-720"/>
          <w:tab w:val="left" w:pos="444"/>
        </w:tabs>
        <w:jc w:val="both"/>
      </w:pPr>
    </w:p>
    <w:p w:rsidR="00201ECC" w:rsidRDefault="00201ECC">
      <w:pPr>
        <w:tabs>
          <w:tab w:val="left" w:pos="-1440"/>
          <w:tab w:val="left" w:pos="-720"/>
          <w:tab w:val="left" w:pos="444"/>
        </w:tabs>
        <w:jc w:val="both"/>
      </w:pPr>
    </w:p>
    <w:p w:rsidR="00201ECC" w:rsidRDefault="00201ECC" w:rsidP="00201ECC">
      <w:pPr>
        <w:tabs>
          <w:tab w:val="left" w:pos="-1440"/>
          <w:tab w:val="left" w:pos="-720"/>
          <w:tab w:val="left" w:pos="444"/>
        </w:tabs>
        <w:jc w:val="both"/>
      </w:pPr>
    </w:p>
    <w:p w:rsidR="00201ECC" w:rsidRDefault="00201ECC" w:rsidP="00201ECC">
      <w:pPr>
        <w:pStyle w:val="Heading3"/>
      </w:pPr>
      <w:r>
        <w:t>Preferred Values</w:t>
      </w:r>
    </w:p>
    <w:p w:rsidR="00201ECC" w:rsidRPr="00220658" w:rsidRDefault="00201ECC" w:rsidP="00201ECC"/>
    <w:tbl>
      <w:tblPr>
        <w:tblW w:w="0" w:type="auto"/>
        <w:tblInd w:w="454" w:type="dxa"/>
        <w:tblLayout w:type="fixed"/>
        <w:tblLook w:val="0000" w:firstRow="0" w:lastRow="0" w:firstColumn="0" w:lastColumn="0" w:noHBand="0" w:noVBand="0"/>
      </w:tblPr>
      <w:tblGrid>
        <w:gridCol w:w="2348"/>
        <w:gridCol w:w="4961"/>
        <w:gridCol w:w="1559"/>
      </w:tblGrid>
      <w:tr w:rsidR="00201ECC" w:rsidRPr="00220658" w:rsidTr="00201ECC">
        <w:tc>
          <w:tcPr>
            <w:tcW w:w="2348" w:type="dxa"/>
            <w:tcBorders>
              <w:top w:val="single" w:sz="4" w:space="0" w:color="000000"/>
              <w:bottom w:val="single" w:sz="4" w:space="0" w:color="000000"/>
            </w:tcBorders>
            <w:shd w:val="clear" w:color="auto" w:fill="auto"/>
          </w:tcPr>
          <w:p w:rsidR="00201ECC" w:rsidRPr="00220658" w:rsidRDefault="00201ECC" w:rsidP="00201ECC">
            <w:pPr>
              <w:tabs>
                <w:tab w:val="left" w:pos="0"/>
                <w:tab w:val="left" w:pos="444"/>
                <w:tab w:val="left" w:pos="720"/>
              </w:tabs>
              <w:spacing w:line="240" w:lineRule="atLeast"/>
              <w:jc w:val="center"/>
              <w:rPr>
                <w:b/>
                <w:spacing w:val="-3"/>
              </w:rPr>
            </w:pPr>
            <w:r w:rsidRPr="00220658">
              <w:rPr>
                <w:b/>
                <w:spacing w:val="-3"/>
              </w:rPr>
              <w:t>Parameter</w:t>
            </w:r>
          </w:p>
        </w:tc>
        <w:tc>
          <w:tcPr>
            <w:tcW w:w="4961" w:type="dxa"/>
            <w:tcBorders>
              <w:top w:val="single" w:sz="4" w:space="0" w:color="000000"/>
              <w:bottom w:val="single" w:sz="4" w:space="0" w:color="000000"/>
            </w:tcBorders>
            <w:shd w:val="clear" w:color="auto" w:fill="auto"/>
          </w:tcPr>
          <w:p w:rsidR="00201ECC" w:rsidRPr="00220658" w:rsidRDefault="00201ECC" w:rsidP="00201ECC">
            <w:pPr>
              <w:tabs>
                <w:tab w:val="left" w:pos="0"/>
                <w:tab w:val="left" w:pos="444"/>
                <w:tab w:val="left" w:pos="720"/>
              </w:tabs>
              <w:spacing w:line="240" w:lineRule="atLeast"/>
              <w:jc w:val="center"/>
              <w:rPr>
                <w:b/>
                <w:spacing w:val="-3"/>
              </w:rPr>
            </w:pPr>
            <w:r w:rsidRPr="00220658">
              <w:rPr>
                <w:b/>
                <w:spacing w:val="-3"/>
              </w:rPr>
              <w:t>Value</w:t>
            </w:r>
          </w:p>
        </w:tc>
        <w:tc>
          <w:tcPr>
            <w:tcW w:w="1559" w:type="dxa"/>
            <w:tcBorders>
              <w:top w:val="single" w:sz="4" w:space="0" w:color="000000"/>
              <w:bottom w:val="single" w:sz="4" w:space="0" w:color="000000"/>
            </w:tcBorders>
            <w:shd w:val="clear" w:color="auto" w:fill="auto"/>
          </w:tcPr>
          <w:p w:rsidR="00201ECC" w:rsidRPr="00220658" w:rsidRDefault="00201ECC" w:rsidP="00201ECC">
            <w:pPr>
              <w:tabs>
                <w:tab w:val="left" w:pos="0"/>
                <w:tab w:val="left" w:pos="444"/>
                <w:tab w:val="left" w:pos="720"/>
              </w:tabs>
              <w:spacing w:line="240" w:lineRule="atLeast"/>
              <w:jc w:val="center"/>
            </w:pPr>
            <w:r w:rsidRPr="00220658">
              <w:rPr>
                <w:b/>
                <w:spacing w:val="-3"/>
              </w:rPr>
              <w:t>T/K</w:t>
            </w:r>
          </w:p>
        </w:tc>
      </w:tr>
      <w:tr w:rsidR="00201ECC" w:rsidRPr="00220658" w:rsidTr="00201ECC">
        <w:tc>
          <w:tcPr>
            <w:tcW w:w="2348" w:type="dxa"/>
            <w:tcBorders>
              <w:top w:val="single" w:sz="4" w:space="0" w:color="000000"/>
            </w:tcBorders>
            <w:shd w:val="clear" w:color="auto" w:fill="auto"/>
          </w:tcPr>
          <w:p w:rsidR="00201ECC" w:rsidRPr="00220658" w:rsidRDefault="00201ECC" w:rsidP="00201ECC">
            <w:pPr>
              <w:tabs>
                <w:tab w:val="left" w:pos="0"/>
                <w:tab w:val="left" w:pos="444"/>
                <w:tab w:val="left" w:pos="720"/>
              </w:tabs>
              <w:snapToGrid w:val="0"/>
              <w:spacing w:line="240" w:lineRule="atLeast"/>
              <w:jc w:val="center"/>
              <w:rPr>
                <w:i/>
                <w:spacing w:val="-3"/>
              </w:rPr>
            </w:pPr>
          </w:p>
        </w:tc>
        <w:tc>
          <w:tcPr>
            <w:tcW w:w="4961" w:type="dxa"/>
            <w:tcBorders>
              <w:top w:val="single" w:sz="4" w:space="0" w:color="000000"/>
            </w:tcBorders>
            <w:shd w:val="clear" w:color="auto" w:fill="auto"/>
          </w:tcPr>
          <w:p w:rsidR="00201ECC" w:rsidRPr="00220658" w:rsidRDefault="00201ECC" w:rsidP="00201ECC">
            <w:pPr>
              <w:tabs>
                <w:tab w:val="left" w:pos="0"/>
                <w:tab w:val="left" w:pos="444"/>
                <w:tab w:val="left" w:pos="720"/>
              </w:tabs>
              <w:snapToGrid w:val="0"/>
              <w:spacing w:line="240" w:lineRule="atLeast"/>
              <w:rPr>
                <w:spacing w:val="-3"/>
              </w:rPr>
            </w:pPr>
          </w:p>
        </w:tc>
        <w:tc>
          <w:tcPr>
            <w:tcW w:w="1559" w:type="dxa"/>
            <w:tcBorders>
              <w:top w:val="single" w:sz="4" w:space="0" w:color="000000"/>
            </w:tcBorders>
            <w:shd w:val="clear" w:color="auto" w:fill="auto"/>
          </w:tcPr>
          <w:p w:rsidR="00201ECC" w:rsidRPr="00220658" w:rsidRDefault="00201ECC" w:rsidP="00201ECC">
            <w:pPr>
              <w:tabs>
                <w:tab w:val="left" w:pos="0"/>
                <w:tab w:val="left" w:pos="444"/>
                <w:tab w:val="left" w:pos="720"/>
              </w:tabs>
              <w:snapToGrid w:val="0"/>
              <w:spacing w:line="240" w:lineRule="atLeast"/>
              <w:jc w:val="center"/>
              <w:rPr>
                <w:spacing w:val="-3"/>
              </w:rPr>
            </w:pPr>
          </w:p>
        </w:tc>
      </w:tr>
      <w:tr w:rsidR="00201ECC" w:rsidRPr="007255C1" w:rsidTr="00201ECC">
        <w:tc>
          <w:tcPr>
            <w:tcW w:w="2348" w:type="dxa"/>
            <w:shd w:val="clear" w:color="auto" w:fill="auto"/>
          </w:tcPr>
          <w:p w:rsidR="00201ECC" w:rsidRPr="007255C1" w:rsidRDefault="00201ECC" w:rsidP="00201ECC">
            <w:pPr>
              <w:tabs>
                <w:tab w:val="left" w:pos="0"/>
                <w:tab w:val="left" w:pos="444"/>
                <w:tab w:val="left" w:pos="720"/>
              </w:tabs>
              <w:spacing w:line="240" w:lineRule="atLeast"/>
              <w:jc w:val="center"/>
              <w:rPr>
                <w:spacing w:val="-3"/>
                <w:lang w:val="en-US"/>
              </w:rPr>
            </w:pPr>
            <w:r w:rsidRPr="007255C1">
              <w:rPr>
                <w:i/>
                <w:spacing w:val="-3"/>
              </w:rPr>
              <w:t>k</w:t>
            </w:r>
            <w:r w:rsidRPr="007255C1">
              <w:rPr>
                <w:spacing w:val="-3"/>
              </w:rPr>
              <w:t xml:space="preserve"> /cm</w:t>
            </w:r>
            <w:r w:rsidRPr="007255C1">
              <w:rPr>
                <w:spacing w:val="-3"/>
                <w:vertAlign w:val="superscript"/>
              </w:rPr>
              <w:t>3</w:t>
            </w:r>
            <w:r w:rsidRPr="007255C1">
              <w:rPr>
                <w:spacing w:val="-3"/>
              </w:rPr>
              <w:t xml:space="preserve"> molecule</w:t>
            </w:r>
            <w:r w:rsidRPr="007255C1">
              <w:rPr>
                <w:spacing w:val="-3"/>
                <w:vertAlign w:val="superscript"/>
              </w:rPr>
              <w:t>-1</w:t>
            </w:r>
            <w:r w:rsidRPr="007255C1">
              <w:rPr>
                <w:spacing w:val="-3"/>
              </w:rPr>
              <w:t xml:space="preserve"> s</w:t>
            </w:r>
            <w:r w:rsidRPr="007255C1">
              <w:rPr>
                <w:spacing w:val="-3"/>
                <w:vertAlign w:val="superscript"/>
              </w:rPr>
              <w:t>-1</w:t>
            </w:r>
          </w:p>
        </w:tc>
        <w:tc>
          <w:tcPr>
            <w:tcW w:w="4961" w:type="dxa"/>
            <w:shd w:val="clear" w:color="auto" w:fill="auto"/>
          </w:tcPr>
          <w:p w:rsidR="00201ECC" w:rsidRPr="007255C1" w:rsidRDefault="00201ECC" w:rsidP="00201ECC">
            <w:pPr>
              <w:tabs>
                <w:tab w:val="left" w:pos="0"/>
                <w:tab w:val="left" w:pos="444"/>
                <w:tab w:val="left" w:pos="720"/>
              </w:tabs>
              <w:spacing w:line="240" w:lineRule="atLeast"/>
              <w:rPr>
                <w:spacing w:val="-3"/>
              </w:rPr>
            </w:pPr>
            <w:r>
              <w:t>9.0</w:t>
            </w:r>
            <w:r w:rsidR="00CB79F9" w:rsidRPr="00FE1E26">
              <w:rPr>
                <w:sz w:val="20"/>
              </w:rPr>
              <w:t xml:space="preserve"> </w:t>
            </w:r>
            <w:r w:rsidR="00CB79F9" w:rsidRPr="00FE1E26">
              <w:rPr>
                <w:sz w:val="20"/>
              </w:rPr>
              <w:sym w:font="Symbol" w:char="F0B4"/>
            </w:r>
            <w:r w:rsidR="00CB79F9" w:rsidRPr="00FE1E26">
              <w:rPr>
                <w:sz w:val="20"/>
              </w:rPr>
              <w:t xml:space="preserve"> </w:t>
            </w:r>
            <w:r>
              <w:t>10</w:t>
            </w:r>
            <w:r>
              <w:rPr>
                <w:vertAlign w:val="superscript"/>
              </w:rPr>
              <w:t>-12</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pPr>
            <w:r w:rsidRPr="007255C1">
              <w:rPr>
                <w:spacing w:val="-3"/>
              </w:rPr>
              <w:t>298</w:t>
            </w:r>
          </w:p>
        </w:tc>
      </w:tr>
      <w:tr w:rsidR="00201ECC" w:rsidRPr="007255C1" w:rsidTr="00201ECC">
        <w:tc>
          <w:tcPr>
            <w:tcW w:w="2348" w:type="dxa"/>
            <w:shd w:val="clear" w:color="auto" w:fill="auto"/>
          </w:tcPr>
          <w:p w:rsidR="00201ECC" w:rsidRPr="007255C1" w:rsidRDefault="00201ECC" w:rsidP="00201ECC">
            <w:pPr>
              <w:tabs>
                <w:tab w:val="left" w:pos="0"/>
                <w:tab w:val="left" w:pos="444"/>
                <w:tab w:val="left" w:pos="720"/>
              </w:tabs>
              <w:spacing w:line="240" w:lineRule="atLeast"/>
              <w:jc w:val="center"/>
              <w:rPr>
                <w:i/>
                <w:spacing w:val="-3"/>
              </w:rPr>
            </w:pPr>
            <w:r w:rsidRPr="007255C1">
              <w:rPr>
                <w:i/>
                <w:spacing w:val="-3"/>
              </w:rPr>
              <w:t xml:space="preserve">k </w:t>
            </w:r>
            <w:r w:rsidRPr="009777F9">
              <w:rPr>
                <w:spacing w:val="-3"/>
              </w:rPr>
              <w:t>/</w:t>
            </w:r>
            <w:r w:rsidRPr="007255C1">
              <w:rPr>
                <w:spacing w:val="-3"/>
              </w:rPr>
              <w:t>cm</w:t>
            </w:r>
            <w:r w:rsidRPr="007255C1">
              <w:rPr>
                <w:spacing w:val="-3"/>
                <w:vertAlign w:val="superscript"/>
              </w:rPr>
              <w:t>3</w:t>
            </w:r>
            <w:r w:rsidRPr="007255C1">
              <w:rPr>
                <w:spacing w:val="-3"/>
              </w:rPr>
              <w:t xml:space="preserve"> molecule</w:t>
            </w:r>
            <w:r w:rsidRPr="007255C1">
              <w:rPr>
                <w:spacing w:val="-3"/>
                <w:vertAlign w:val="superscript"/>
              </w:rPr>
              <w:t>-1</w:t>
            </w:r>
            <w:r w:rsidRPr="007255C1">
              <w:rPr>
                <w:spacing w:val="-3"/>
              </w:rPr>
              <w:t xml:space="preserve"> s</w:t>
            </w:r>
            <w:r w:rsidRPr="007255C1">
              <w:rPr>
                <w:spacing w:val="-3"/>
                <w:vertAlign w:val="superscript"/>
              </w:rPr>
              <w:t>-1</w:t>
            </w:r>
          </w:p>
        </w:tc>
        <w:tc>
          <w:tcPr>
            <w:tcW w:w="4961" w:type="dxa"/>
            <w:shd w:val="clear" w:color="auto" w:fill="auto"/>
          </w:tcPr>
          <w:p w:rsidR="00201ECC" w:rsidRPr="007255C1" w:rsidRDefault="00201ECC" w:rsidP="00201ECC">
            <w:pPr>
              <w:tabs>
                <w:tab w:val="left" w:pos="0"/>
                <w:tab w:val="left" w:pos="444"/>
                <w:tab w:val="left" w:pos="720"/>
              </w:tabs>
              <w:spacing w:line="240" w:lineRule="atLeast"/>
              <w:rPr>
                <w:spacing w:val="-3"/>
                <w:lang w:val="en-US"/>
              </w:rPr>
            </w:pPr>
            <w:r>
              <w:t>2.7</w:t>
            </w:r>
            <w:r w:rsidR="00CB79F9" w:rsidRPr="00FE1E26">
              <w:rPr>
                <w:sz w:val="20"/>
              </w:rPr>
              <w:t xml:space="preserve"> </w:t>
            </w:r>
            <w:r w:rsidR="00CB79F9" w:rsidRPr="00FE1E26">
              <w:rPr>
                <w:sz w:val="20"/>
              </w:rPr>
              <w:sym w:font="Symbol" w:char="F0B4"/>
            </w:r>
            <w:r w:rsidR="00CB79F9" w:rsidRPr="00FE1E26">
              <w:rPr>
                <w:sz w:val="20"/>
              </w:rPr>
              <w:t xml:space="preserve"> </w:t>
            </w:r>
            <w:r>
              <w:t>10</w:t>
            </w:r>
            <w:r>
              <w:rPr>
                <w:vertAlign w:val="superscript"/>
              </w:rPr>
              <w:t>-12</w:t>
            </w:r>
            <w:r>
              <w:t xml:space="preserve"> exp(360/</w:t>
            </w:r>
            <w:r>
              <w:rPr>
                <w:i/>
              </w:rPr>
              <w:t>T</w:t>
            </w:r>
            <w:r>
              <w:t>)</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rPr>
                <w:spacing w:val="-3"/>
              </w:rPr>
            </w:pPr>
            <w:r w:rsidRPr="007255C1">
              <w:rPr>
                <w:spacing w:val="-3"/>
              </w:rPr>
              <w:t>2</w:t>
            </w:r>
            <w:r>
              <w:rPr>
                <w:spacing w:val="-3"/>
              </w:rPr>
              <w:t>0</w:t>
            </w:r>
            <w:r w:rsidRPr="007255C1">
              <w:rPr>
                <w:spacing w:val="-3"/>
              </w:rPr>
              <w:t>0-</w:t>
            </w:r>
            <w:r>
              <w:rPr>
                <w:spacing w:val="-3"/>
              </w:rPr>
              <w:t>410</w:t>
            </w:r>
          </w:p>
        </w:tc>
      </w:tr>
      <w:tr w:rsidR="00201ECC" w:rsidRPr="007255C1" w:rsidTr="00201ECC">
        <w:tc>
          <w:tcPr>
            <w:tcW w:w="2348" w:type="dxa"/>
            <w:shd w:val="clear" w:color="auto" w:fill="auto"/>
          </w:tcPr>
          <w:p w:rsidR="00201ECC" w:rsidRPr="00E375F0" w:rsidRDefault="00213750" w:rsidP="00201ECC">
            <w:pPr>
              <w:tabs>
                <w:tab w:val="left" w:pos="0"/>
                <w:tab w:val="left" w:pos="444"/>
                <w:tab w:val="left" w:pos="720"/>
              </w:tabs>
              <w:spacing w:line="240" w:lineRule="atLeast"/>
              <w:jc w:val="center"/>
              <w:rPr>
                <w:spacing w:val="-3"/>
              </w:rPr>
            </w:pPr>
            <w:r w:rsidRPr="00213750">
              <w:rPr>
                <w:i/>
              </w:rPr>
              <w:sym w:font="Symbol" w:char="F061"/>
            </w:r>
            <w:r>
              <w:rPr>
                <w:i/>
              </w:rPr>
              <w:t xml:space="preserve"> </w:t>
            </w:r>
            <w:r w:rsidR="00201ECC">
              <w:rPr>
                <w:i/>
              </w:rPr>
              <w:t xml:space="preserve"> </w:t>
            </w:r>
          </w:p>
        </w:tc>
        <w:tc>
          <w:tcPr>
            <w:tcW w:w="4961" w:type="dxa"/>
            <w:shd w:val="clear" w:color="auto" w:fill="auto"/>
          </w:tcPr>
          <w:p w:rsidR="00201ECC" w:rsidRPr="008714F5" w:rsidRDefault="00213750" w:rsidP="00201ECC">
            <w:pPr>
              <w:tabs>
                <w:tab w:val="left" w:pos="0"/>
                <w:tab w:val="left" w:pos="444"/>
                <w:tab w:val="left" w:pos="720"/>
              </w:tabs>
              <w:spacing w:line="240" w:lineRule="atLeast"/>
            </w:pPr>
            <w:r w:rsidRPr="008714F5">
              <w:t>1.95</w:t>
            </w:r>
            <w:r w:rsidR="00CB79F9" w:rsidRPr="00FE1E26">
              <w:rPr>
                <w:sz w:val="20"/>
              </w:rPr>
              <w:t xml:space="preserve"> </w:t>
            </w:r>
            <w:r w:rsidR="00CB79F9" w:rsidRPr="00FE1E26">
              <w:rPr>
                <w:sz w:val="20"/>
              </w:rPr>
              <w:sym w:font="Symbol" w:char="F0B4"/>
            </w:r>
            <w:r w:rsidR="00CB79F9" w:rsidRPr="00FE1E26">
              <w:rPr>
                <w:sz w:val="20"/>
              </w:rPr>
              <w:t xml:space="preserve"> </w:t>
            </w:r>
            <w:r w:rsidRPr="008714F5">
              <w:t>10</w:t>
            </w:r>
            <w:r w:rsidRPr="008714F5">
              <w:rPr>
                <w:vertAlign w:val="superscript"/>
              </w:rPr>
              <w:t>-22</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rPr>
                <w:spacing w:val="-3"/>
              </w:rPr>
            </w:pPr>
          </w:p>
        </w:tc>
      </w:tr>
      <w:tr w:rsidR="00201ECC" w:rsidRPr="007255C1" w:rsidTr="00201ECC">
        <w:tc>
          <w:tcPr>
            <w:tcW w:w="2348" w:type="dxa"/>
            <w:shd w:val="clear" w:color="auto" w:fill="auto"/>
          </w:tcPr>
          <w:p w:rsidR="00201ECC" w:rsidRPr="00213750" w:rsidRDefault="00213750" w:rsidP="00201ECC">
            <w:pPr>
              <w:tabs>
                <w:tab w:val="left" w:pos="0"/>
                <w:tab w:val="left" w:pos="444"/>
                <w:tab w:val="left" w:pos="720"/>
              </w:tabs>
              <w:spacing w:line="240" w:lineRule="atLeast"/>
              <w:jc w:val="center"/>
              <w:rPr>
                <w:i/>
              </w:rPr>
            </w:pPr>
            <w:r w:rsidRPr="00213750">
              <w:rPr>
                <w:i/>
              </w:rPr>
              <w:sym w:font="Symbol" w:char="F062"/>
            </w:r>
            <w:r w:rsidRPr="00213750">
              <w:rPr>
                <w:i/>
              </w:rPr>
              <w:t xml:space="preserve"> </w:t>
            </w:r>
          </w:p>
        </w:tc>
        <w:tc>
          <w:tcPr>
            <w:tcW w:w="4961" w:type="dxa"/>
            <w:shd w:val="clear" w:color="auto" w:fill="auto"/>
          </w:tcPr>
          <w:p w:rsidR="00201ECC" w:rsidRPr="008714F5" w:rsidRDefault="00213750" w:rsidP="00201ECC">
            <w:pPr>
              <w:tabs>
                <w:tab w:val="left" w:pos="0"/>
                <w:tab w:val="left" w:pos="444"/>
                <w:tab w:val="left" w:pos="720"/>
              </w:tabs>
              <w:spacing w:line="240" w:lineRule="atLeast"/>
              <w:rPr>
                <w:rFonts w:ascii="Symbol" w:hAnsi="Symbol" w:cs="Symbol"/>
              </w:rPr>
            </w:pP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rPr>
                <w:spacing w:val="-3"/>
              </w:rPr>
            </w:pPr>
          </w:p>
        </w:tc>
      </w:tr>
      <w:tr w:rsidR="00213750" w:rsidRPr="007255C1" w:rsidTr="00201ECC">
        <w:tc>
          <w:tcPr>
            <w:tcW w:w="2348" w:type="dxa"/>
            <w:shd w:val="clear" w:color="auto" w:fill="auto"/>
          </w:tcPr>
          <w:p w:rsidR="00213750" w:rsidRPr="00213750" w:rsidRDefault="00CB79F9" w:rsidP="00201ECC">
            <w:pPr>
              <w:tabs>
                <w:tab w:val="left" w:pos="0"/>
                <w:tab w:val="left" w:pos="444"/>
                <w:tab w:val="left" w:pos="720"/>
              </w:tabs>
              <w:spacing w:line="240" w:lineRule="atLeast"/>
              <w:jc w:val="center"/>
              <w:rPr>
                <w:i/>
              </w:rPr>
            </w:pPr>
            <m:oMathPara>
              <m:oMath>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300</m:t>
                    </m:r>
                  </m:sup>
                </m:sSubSup>
              </m:oMath>
            </m:oMathPara>
          </w:p>
        </w:tc>
        <w:tc>
          <w:tcPr>
            <w:tcW w:w="4961" w:type="dxa"/>
            <w:shd w:val="clear" w:color="auto" w:fill="auto"/>
          </w:tcPr>
          <w:p w:rsidR="00213750" w:rsidRPr="008714F5" w:rsidRDefault="00213750" w:rsidP="00201ECC">
            <w:pPr>
              <w:tabs>
                <w:tab w:val="left" w:pos="0"/>
                <w:tab w:val="left" w:pos="444"/>
                <w:tab w:val="left" w:pos="720"/>
              </w:tabs>
              <w:spacing w:line="240" w:lineRule="atLeast"/>
              <w:rPr>
                <w:rFonts w:ascii="Symbol" w:hAnsi="Symbol" w:cs="Symbol"/>
              </w:rPr>
            </w:pP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p>
        </w:tc>
        <w:tc>
          <w:tcPr>
            <w:tcW w:w="1559" w:type="dxa"/>
            <w:shd w:val="clear" w:color="auto" w:fill="auto"/>
          </w:tcPr>
          <w:p w:rsidR="00213750" w:rsidRPr="007255C1" w:rsidRDefault="00213750" w:rsidP="00201ECC">
            <w:pPr>
              <w:tabs>
                <w:tab w:val="left" w:pos="0"/>
                <w:tab w:val="left" w:pos="444"/>
                <w:tab w:val="left" w:pos="720"/>
              </w:tabs>
              <w:spacing w:line="240" w:lineRule="atLeast"/>
              <w:jc w:val="center"/>
              <w:rPr>
                <w:spacing w:val="-3"/>
              </w:rPr>
            </w:pPr>
          </w:p>
        </w:tc>
      </w:tr>
      <w:tr w:rsidR="00213750" w:rsidRPr="007255C1" w:rsidTr="00201ECC">
        <w:tc>
          <w:tcPr>
            <w:tcW w:w="2348" w:type="dxa"/>
            <w:shd w:val="clear" w:color="auto" w:fill="auto"/>
          </w:tcPr>
          <w:p w:rsidR="00213750" w:rsidRPr="00213750" w:rsidRDefault="00CB79F9" w:rsidP="00201ECC">
            <w:pPr>
              <w:tabs>
                <w:tab w:val="left" w:pos="0"/>
                <w:tab w:val="left" w:pos="444"/>
                <w:tab w:val="left" w:pos="720"/>
              </w:tabs>
              <w:spacing w:line="240" w:lineRule="atLeast"/>
              <w:jc w:val="center"/>
              <w:rPr>
                <w:i/>
              </w:rPr>
            </w:pPr>
            <m:oMathPara>
              <m:oMath>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c>
          <w:tcPr>
            <w:tcW w:w="4961" w:type="dxa"/>
            <w:shd w:val="clear" w:color="auto" w:fill="auto"/>
          </w:tcPr>
          <w:p w:rsidR="00213750" w:rsidRPr="008714F5" w:rsidRDefault="00213750" w:rsidP="00201ECC">
            <w:pPr>
              <w:tabs>
                <w:tab w:val="left" w:pos="0"/>
                <w:tab w:val="left" w:pos="444"/>
                <w:tab w:val="left" w:pos="720"/>
              </w:tabs>
              <w:spacing w:line="240" w:lineRule="atLeast"/>
              <w:rPr>
                <w:rFonts w:ascii="Symbol" w:hAnsi="Symbol" w:cs="Symbol"/>
              </w:rPr>
            </w:pP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p>
        </w:tc>
        <w:tc>
          <w:tcPr>
            <w:tcW w:w="1559" w:type="dxa"/>
            <w:shd w:val="clear" w:color="auto" w:fill="auto"/>
          </w:tcPr>
          <w:p w:rsidR="00213750" w:rsidRPr="007255C1" w:rsidRDefault="00213750" w:rsidP="00201ECC">
            <w:pPr>
              <w:tabs>
                <w:tab w:val="left" w:pos="0"/>
                <w:tab w:val="left" w:pos="444"/>
                <w:tab w:val="left" w:pos="720"/>
              </w:tabs>
              <w:spacing w:line="240" w:lineRule="atLeast"/>
              <w:jc w:val="center"/>
              <w:rPr>
                <w:spacing w:val="-3"/>
              </w:rPr>
            </w:pPr>
          </w:p>
        </w:tc>
      </w:tr>
      <w:tr w:rsidR="00213750" w:rsidRPr="007255C1" w:rsidTr="00201ECC">
        <w:tc>
          <w:tcPr>
            <w:tcW w:w="2348" w:type="dxa"/>
            <w:shd w:val="clear" w:color="auto" w:fill="auto"/>
          </w:tcPr>
          <w:p w:rsidR="00213750" w:rsidRPr="00213750" w:rsidRDefault="00CB79F9" w:rsidP="00201ECC">
            <w:pPr>
              <w:tabs>
                <w:tab w:val="left" w:pos="0"/>
                <w:tab w:val="left" w:pos="444"/>
                <w:tab w:val="left" w:pos="720"/>
              </w:tabs>
              <w:spacing w:line="240" w:lineRule="atLeast"/>
              <w:jc w:val="center"/>
              <w:rPr>
                <w:i/>
              </w:rPr>
            </w:pPr>
            <m:oMathPara>
              <m:oMath>
                <m:sSub>
                  <m:sSubPr>
                    <m:ctrlPr>
                      <w:rPr>
                        <w:rFonts w:ascii="Cambria Math" w:hAnsi="Cambria Math"/>
                        <w:i/>
                      </w:rPr>
                    </m:ctrlPr>
                  </m:sSubPr>
                  <m:e>
                    <m:r>
                      <w:rPr>
                        <w:rFonts w:ascii="Cambria Math" w:hAnsi="Cambria Math"/>
                      </w:rPr>
                      <m:t>m</m:t>
                    </m:r>
                  </m:e>
                  <m:sub>
                    <m:r>
                      <w:rPr>
                        <w:rFonts w:ascii="Cambria Math" w:hAnsi="Cambria Math"/>
                      </w:rPr>
                      <m:t>∞</m:t>
                    </m:r>
                  </m:sub>
                </m:sSub>
              </m:oMath>
            </m:oMathPara>
          </w:p>
        </w:tc>
        <w:tc>
          <w:tcPr>
            <w:tcW w:w="4961" w:type="dxa"/>
            <w:shd w:val="clear" w:color="auto" w:fill="auto"/>
          </w:tcPr>
          <w:p w:rsidR="00213750" w:rsidRPr="008714F5" w:rsidRDefault="008714F5" w:rsidP="00201ECC">
            <w:pPr>
              <w:tabs>
                <w:tab w:val="left" w:pos="0"/>
                <w:tab w:val="left" w:pos="444"/>
                <w:tab w:val="left" w:pos="720"/>
              </w:tabs>
              <w:spacing w:line="240" w:lineRule="atLeast"/>
              <w:rPr>
                <w:rFonts w:ascii="Symbol" w:hAnsi="Symbol" w:cs="Symbol"/>
              </w:rPr>
            </w:pP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p>
        </w:tc>
        <w:tc>
          <w:tcPr>
            <w:tcW w:w="1559" w:type="dxa"/>
            <w:shd w:val="clear" w:color="auto" w:fill="auto"/>
          </w:tcPr>
          <w:p w:rsidR="00213750" w:rsidRPr="007255C1" w:rsidRDefault="00213750" w:rsidP="00201ECC">
            <w:pPr>
              <w:tabs>
                <w:tab w:val="left" w:pos="0"/>
                <w:tab w:val="left" w:pos="444"/>
                <w:tab w:val="left" w:pos="720"/>
              </w:tabs>
              <w:spacing w:line="240" w:lineRule="atLeast"/>
              <w:jc w:val="center"/>
              <w:rPr>
                <w:spacing w:val="-3"/>
              </w:rPr>
            </w:pPr>
          </w:p>
        </w:tc>
      </w:tr>
      <w:tr w:rsidR="00213750" w:rsidRPr="007255C1" w:rsidTr="00201ECC">
        <w:tc>
          <w:tcPr>
            <w:tcW w:w="2348" w:type="dxa"/>
            <w:shd w:val="clear" w:color="auto" w:fill="auto"/>
          </w:tcPr>
          <w:p w:rsidR="00213750" w:rsidRPr="009777F9" w:rsidRDefault="008714F5" w:rsidP="00201ECC">
            <w:pPr>
              <w:tabs>
                <w:tab w:val="left" w:pos="0"/>
                <w:tab w:val="left" w:pos="444"/>
                <w:tab w:val="left" w:pos="720"/>
              </w:tabs>
              <w:spacing w:line="240" w:lineRule="atLeast"/>
              <w:jc w:val="center"/>
              <w:rPr>
                <w:i/>
                <w:color w:val="FF0000"/>
              </w:rPr>
            </w:pPr>
            <w:r w:rsidRPr="008714F5">
              <w:rPr>
                <w:i/>
              </w:rPr>
              <w:t>F</w:t>
            </w:r>
          </w:p>
        </w:tc>
        <w:tc>
          <w:tcPr>
            <w:tcW w:w="4961" w:type="dxa"/>
            <w:shd w:val="clear" w:color="auto" w:fill="auto"/>
          </w:tcPr>
          <w:p w:rsidR="00213750" w:rsidRPr="008714F5" w:rsidRDefault="008714F5" w:rsidP="00201ECC">
            <w:pPr>
              <w:tabs>
                <w:tab w:val="left" w:pos="0"/>
                <w:tab w:val="left" w:pos="444"/>
                <w:tab w:val="left" w:pos="720"/>
              </w:tabs>
              <w:spacing w:line="240" w:lineRule="atLeast"/>
              <w:rPr>
                <w:rFonts w:ascii="Symbol" w:hAnsi="Symbol" w:cs="Symbol"/>
              </w:rPr>
            </w:pP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r w:rsidRPr="008714F5">
              <w:rPr>
                <w:rFonts w:ascii="Symbol" w:hAnsi="Symbol" w:cs="Symbol"/>
              </w:rPr>
              <w:t></w:t>
            </w:r>
          </w:p>
        </w:tc>
        <w:tc>
          <w:tcPr>
            <w:tcW w:w="1559" w:type="dxa"/>
            <w:shd w:val="clear" w:color="auto" w:fill="auto"/>
          </w:tcPr>
          <w:p w:rsidR="00213750" w:rsidRPr="007255C1" w:rsidRDefault="00213750" w:rsidP="00201ECC">
            <w:pPr>
              <w:tabs>
                <w:tab w:val="left" w:pos="0"/>
                <w:tab w:val="left" w:pos="444"/>
                <w:tab w:val="left" w:pos="720"/>
              </w:tabs>
              <w:spacing w:line="240" w:lineRule="atLeast"/>
              <w:jc w:val="center"/>
              <w:rPr>
                <w:spacing w:val="-3"/>
              </w:rPr>
            </w:pPr>
          </w:p>
        </w:tc>
      </w:tr>
      <w:tr w:rsidR="00CB79F9" w:rsidRPr="007255C1" w:rsidTr="00201ECC">
        <w:tc>
          <w:tcPr>
            <w:tcW w:w="2348" w:type="dxa"/>
            <w:shd w:val="clear" w:color="auto" w:fill="auto"/>
          </w:tcPr>
          <w:p w:rsidR="00CB79F9" w:rsidRPr="00CB79F9" w:rsidRDefault="00CB79F9" w:rsidP="00201ECC">
            <w:pPr>
              <w:tabs>
                <w:tab w:val="left" w:pos="0"/>
                <w:tab w:val="left" w:pos="444"/>
                <w:tab w:val="left" w:pos="720"/>
              </w:tabs>
              <w:spacing w:line="240" w:lineRule="atLeast"/>
              <w:jc w:val="center"/>
            </w:pPr>
            <w:r>
              <w:rPr>
                <w:i/>
              </w:rPr>
              <w:t>k</w:t>
            </w:r>
            <w:r>
              <w:rPr>
                <w:vertAlign w:val="subscript"/>
              </w:rPr>
              <w:t>2</w:t>
            </w:r>
            <w:r>
              <w:t>/</w:t>
            </w:r>
            <w:r>
              <w:rPr>
                <w:i/>
              </w:rPr>
              <w:t>k</w:t>
            </w:r>
            <w:r>
              <w:t xml:space="preserve"> (1 bar)</w:t>
            </w:r>
          </w:p>
        </w:tc>
        <w:tc>
          <w:tcPr>
            <w:tcW w:w="4961" w:type="dxa"/>
            <w:shd w:val="clear" w:color="auto" w:fill="auto"/>
          </w:tcPr>
          <w:p w:rsidR="00CB79F9" w:rsidRPr="008714F5" w:rsidRDefault="00CB79F9" w:rsidP="00201ECC">
            <w:pPr>
              <w:tabs>
                <w:tab w:val="left" w:pos="0"/>
                <w:tab w:val="left" w:pos="444"/>
                <w:tab w:val="left" w:pos="720"/>
              </w:tabs>
              <w:spacing w:line="240" w:lineRule="atLeast"/>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tc>
        <w:tc>
          <w:tcPr>
            <w:tcW w:w="1559" w:type="dxa"/>
            <w:shd w:val="clear" w:color="auto" w:fill="auto"/>
          </w:tcPr>
          <w:p w:rsidR="00CB79F9" w:rsidRPr="007255C1" w:rsidRDefault="00CB79F9" w:rsidP="00201ECC">
            <w:pPr>
              <w:tabs>
                <w:tab w:val="left" w:pos="0"/>
                <w:tab w:val="left" w:pos="444"/>
                <w:tab w:val="left" w:pos="720"/>
              </w:tabs>
              <w:spacing w:line="240" w:lineRule="atLeast"/>
              <w:jc w:val="center"/>
              <w:rPr>
                <w:spacing w:val="-3"/>
              </w:rPr>
            </w:pPr>
            <w:r>
              <w:rPr>
                <w:spacing w:val="-3"/>
              </w:rPr>
              <w:t xml:space="preserve">298 </w:t>
            </w:r>
          </w:p>
        </w:tc>
      </w:tr>
    </w:tbl>
    <w:p w:rsidR="00201ECC" w:rsidRPr="007255C1" w:rsidRDefault="00201ECC" w:rsidP="00201ECC">
      <w:pPr>
        <w:tabs>
          <w:tab w:val="left" w:pos="0"/>
          <w:tab w:val="left" w:pos="444"/>
          <w:tab w:val="left" w:pos="720"/>
        </w:tabs>
        <w:spacing w:line="240" w:lineRule="atLeast"/>
        <w:jc w:val="both"/>
        <w:rPr>
          <w:spacing w:val="-3"/>
        </w:rPr>
      </w:pPr>
      <w:r w:rsidRPr="007255C1">
        <w:rPr>
          <w:i/>
          <w:spacing w:val="-3"/>
        </w:rPr>
        <w:t>Reliability</w:t>
      </w:r>
    </w:p>
    <w:tbl>
      <w:tblPr>
        <w:tblW w:w="0" w:type="auto"/>
        <w:tblInd w:w="454" w:type="dxa"/>
        <w:tblLayout w:type="fixed"/>
        <w:tblLook w:val="0000" w:firstRow="0" w:lastRow="0" w:firstColumn="0" w:lastColumn="0" w:noHBand="0" w:noVBand="0"/>
      </w:tblPr>
      <w:tblGrid>
        <w:gridCol w:w="2348"/>
        <w:gridCol w:w="4961"/>
        <w:gridCol w:w="1559"/>
      </w:tblGrid>
      <w:tr w:rsidR="00201ECC" w:rsidRPr="007255C1" w:rsidTr="00201ECC">
        <w:tc>
          <w:tcPr>
            <w:tcW w:w="2348" w:type="dxa"/>
            <w:shd w:val="clear" w:color="auto" w:fill="auto"/>
          </w:tcPr>
          <w:p w:rsidR="00201ECC" w:rsidRPr="007255C1" w:rsidRDefault="00201ECC" w:rsidP="00201ECC">
            <w:pPr>
              <w:tabs>
                <w:tab w:val="left" w:pos="0"/>
                <w:tab w:val="left" w:pos="444"/>
                <w:tab w:val="left" w:pos="720"/>
              </w:tabs>
              <w:spacing w:line="240" w:lineRule="atLeast"/>
              <w:jc w:val="center"/>
              <w:rPr>
                <w:spacing w:val="-3"/>
              </w:rPr>
            </w:pPr>
            <w:r w:rsidRPr="007255C1">
              <w:rPr>
                <w:rFonts w:ascii="Symbol" w:hAnsi="Symbol"/>
                <w:spacing w:val="-3"/>
              </w:rPr>
              <w:t></w:t>
            </w:r>
            <w:r w:rsidRPr="007255C1">
              <w:rPr>
                <w:spacing w:val="-3"/>
              </w:rPr>
              <w:t xml:space="preserve"> log</w:t>
            </w:r>
            <w:r w:rsidRPr="007255C1">
              <w:rPr>
                <w:i/>
                <w:spacing w:val="-3"/>
              </w:rPr>
              <w:t xml:space="preserve"> k</w:t>
            </w:r>
          </w:p>
        </w:tc>
        <w:tc>
          <w:tcPr>
            <w:tcW w:w="4961" w:type="dxa"/>
            <w:shd w:val="clear" w:color="auto" w:fill="auto"/>
          </w:tcPr>
          <w:p w:rsidR="00201ECC" w:rsidRPr="007255C1" w:rsidRDefault="00201ECC" w:rsidP="00201ECC">
            <w:pPr>
              <w:tabs>
                <w:tab w:val="left" w:pos="0"/>
                <w:tab w:val="left" w:pos="444"/>
                <w:tab w:val="left" w:pos="720"/>
              </w:tabs>
              <w:spacing w:line="240" w:lineRule="atLeast"/>
              <w:rPr>
                <w:spacing w:val="-3"/>
              </w:rPr>
            </w:pPr>
            <w:r>
              <w:rPr>
                <w:lang w:val="pt-BR"/>
              </w:rPr>
              <w:t>± 0.1</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pPr>
            <w:r w:rsidRPr="007255C1">
              <w:rPr>
                <w:spacing w:val="-3"/>
              </w:rPr>
              <w:t>298</w:t>
            </w:r>
          </w:p>
        </w:tc>
      </w:tr>
      <w:tr w:rsidR="00201ECC" w:rsidRPr="007255C1" w:rsidTr="00201ECC">
        <w:tc>
          <w:tcPr>
            <w:tcW w:w="2348" w:type="dxa"/>
            <w:shd w:val="clear" w:color="auto" w:fill="auto"/>
          </w:tcPr>
          <w:p w:rsidR="00201ECC" w:rsidRPr="007255C1" w:rsidRDefault="00201ECC" w:rsidP="00201ECC">
            <w:pPr>
              <w:tabs>
                <w:tab w:val="left" w:pos="0"/>
                <w:tab w:val="left" w:pos="444"/>
                <w:tab w:val="left" w:pos="720"/>
              </w:tabs>
              <w:spacing w:after="120" w:line="240" w:lineRule="atLeast"/>
              <w:jc w:val="center"/>
              <w:rPr>
                <w:spacing w:val="-3"/>
              </w:rPr>
            </w:pPr>
            <w:r w:rsidRPr="007255C1">
              <w:rPr>
                <w:spacing w:val="-3"/>
              </w:rPr>
              <w:sym w:font="Symbol" w:char="F044"/>
            </w:r>
            <w:r w:rsidRPr="007255C1">
              <w:rPr>
                <w:rFonts w:ascii="Symbol" w:hAnsi="Symbol"/>
                <w:spacing w:val="-3"/>
              </w:rPr>
              <w:t></w:t>
            </w:r>
            <w:r w:rsidRPr="007255C1">
              <w:rPr>
                <w:i/>
                <w:spacing w:val="-3"/>
              </w:rPr>
              <w:t>E</w:t>
            </w:r>
            <w:r w:rsidRPr="007255C1">
              <w:rPr>
                <w:spacing w:val="-3"/>
              </w:rPr>
              <w:t>/</w:t>
            </w:r>
            <w:r w:rsidRPr="007255C1">
              <w:rPr>
                <w:i/>
                <w:spacing w:val="-3"/>
              </w:rPr>
              <w:t>R</w:t>
            </w:r>
            <w:r w:rsidRPr="007255C1">
              <w:rPr>
                <w:spacing w:val="-3"/>
              </w:rPr>
              <w:t xml:space="preserve"> </w:t>
            </w:r>
          </w:p>
        </w:tc>
        <w:tc>
          <w:tcPr>
            <w:tcW w:w="4961" w:type="dxa"/>
            <w:shd w:val="clear" w:color="auto" w:fill="auto"/>
          </w:tcPr>
          <w:p w:rsidR="00201ECC" w:rsidRPr="007255C1" w:rsidRDefault="00201ECC" w:rsidP="00201ECC">
            <w:pPr>
              <w:tabs>
                <w:tab w:val="left" w:pos="0"/>
                <w:tab w:val="left" w:pos="444"/>
                <w:tab w:val="left" w:pos="720"/>
              </w:tabs>
              <w:spacing w:after="120" w:line="240" w:lineRule="atLeast"/>
              <w:rPr>
                <w:spacing w:val="-3"/>
              </w:rPr>
            </w:pPr>
            <w:r>
              <w:rPr>
                <w:spacing w:val="-3"/>
              </w:rPr>
              <w:t>± 10</w:t>
            </w:r>
            <w:r w:rsidRPr="007255C1">
              <w:rPr>
                <w:spacing w:val="-3"/>
              </w:rPr>
              <w:t>0</w:t>
            </w:r>
          </w:p>
        </w:tc>
        <w:tc>
          <w:tcPr>
            <w:tcW w:w="1559" w:type="dxa"/>
            <w:shd w:val="clear" w:color="auto" w:fill="auto"/>
          </w:tcPr>
          <w:p w:rsidR="00201ECC" w:rsidRPr="007255C1" w:rsidRDefault="00201ECC" w:rsidP="00201ECC">
            <w:pPr>
              <w:tabs>
                <w:tab w:val="left" w:pos="0"/>
                <w:tab w:val="left" w:pos="444"/>
                <w:tab w:val="left" w:pos="720"/>
              </w:tabs>
              <w:spacing w:line="240" w:lineRule="atLeast"/>
              <w:jc w:val="center"/>
              <w:rPr>
                <w:spacing w:val="-3"/>
              </w:rPr>
            </w:pPr>
            <w:r w:rsidRPr="007255C1">
              <w:rPr>
                <w:spacing w:val="-3"/>
              </w:rPr>
              <w:t>2</w:t>
            </w:r>
            <w:r>
              <w:rPr>
                <w:spacing w:val="-3"/>
              </w:rPr>
              <w:t>0</w:t>
            </w:r>
            <w:r w:rsidRPr="007255C1">
              <w:rPr>
                <w:spacing w:val="-3"/>
              </w:rPr>
              <w:t>0-</w:t>
            </w:r>
            <w:r>
              <w:rPr>
                <w:spacing w:val="-3"/>
              </w:rPr>
              <w:t>410</w:t>
            </w:r>
          </w:p>
        </w:tc>
      </w:tr>
      <w:tr w:rsidR="00201ECC" w:rsidRPr="007255C1" w:rsidTr="00201ECC">
        <w:tc>
          <w:tcPr>
            <w:tcW w:w="2348" w:type="dxa"/>
            <w:tcBorders>
              <w:bottom w:val="single" w:sz="4" w:space="0" w:color="auto"/>
            </w:tcBorders>
            <w:shd w:val="clear" w:color="auto" w:fill="auto"/>
          </w:tcPr>
          <w:p w:rsidR="00201ECC" w:rsidRPr="0048250E" w:rsidRDefault="00201ECC" w:rsidP="00201ECC">
            <w:pPr>
              <w:tabs>
                <w:tab w:val="left" w:pos="0"/>
                <w:tab w:val="left" w:pos="444"/>
                <w:tab w:val="left" w:pos="720"/>
              </w:tabs>
              <w:spacing w:after="120" w:line="240" w:lineRule="atLeast"/>
              <w:jc w:val="center"/>
              <w:rPr>
                <w:spacing w:val="-3"/>
              </w:rPr>
            </w:pPr>
            <w:r w:rsidRPr="007255C1">
              <w:rPr>
                <w:spacing w:val="-3"/>
              </w:rPr>
              <w:sym w:font="Symbol" w:char="F044"/>
            </w:r>
            <w:r>
              <w:rPr>
                <w:spacing w:val="-3"/>
              </w:rPr>
              <w:t xml:space="preserve"> </w:t>
            </w:r>
            <w:r w:rsidRPr="007255C1">
              <w:rPr>
                <w:spacing w:val="-3"/>
              </w:rPr>
              <w:t>log</w:t>
            </w:r>
            <w:r w:rsidRPr="007255C1">
              <w:rPr>
                <w:rFonts w:ascii="Symbol" w:hAnsi="Symbol"/>
                <w:spacing w:val="-3"/>
              </w:rPr>
              <w:t></w:t>
            </w:r>
            <w:r>
              <w:rPr>
                <w:rFonts w:ascii="Symbol" w:hAnsi="Symbol"/>
                <w:spacing w:val="-3"/>
              </w:rPr>
              <w:t></w:t>
            </w:r>
            <w:r>
              <w:rPr>
                <w:i/>
              </w:rPr>
              <w:t>k</w:t>
            </w:r>
            <w:r>
              <w:rPr>
                <w:vertAlign w:val="subscript"/>
              </w:rPr>
              <w:t>2</w:t>
            </w:r>
            <w:r>
              <w:t>/</w:t>
            </w:r>
            <w:r>
              <w:rPr>
                <w:i/>
              </w:rPr>
              <w:t>k</w:t>
            </w:r>
            <w:r>
              <w:t>)</w:t>
            </w:r>
          </w:p>
        </w:tc>
        <w:tc>
          <w:tcPr>
            <w:tcW w:w="4961" w:type="dxa"/>
            <w:tcBorders>
              <w:bottom w:val="single" w:sz="4" w:space="0" w:color="auto"/>
            </w:tcBorders>
            <w:shd w:val="clear" w:color="auto" w:fill="auto"/>
          </w:tcPr>
          <w:p w:rsidR="00201ECC" w:rsidRPr="00323F2C" w:rsidRDefault="00201ECC" w:rsidP="00201ECC">
            <w:pPr>
              <w:tabs>
                <w:tab w:val="left" w:pos="0"/>
                <w:tab w:val="left" w:pos="444"/>
                <w:tab w:val="left" w:pos="720"/>
              </w:tabs>
              <w:spacing w:after="120" w:line="240" w:lineRule="atLeast"/>
              <w:rPr>
                <w:color w:val="FF0000"/>
                <w:spacing w:val="-3"/>
              </w:rPr>
            </w:pPr>
            <w:r>
              <w:rPr>
                <w:lang w:val="pt-BR"/>
              </w:rPr>
              <w:t xml:space="preserve">± </w:t>
            </w:r>
            <w:r w:rsidR="00FB0E0B">
              <w:rPr>
                <w:lang w:val="pt-BR"/>
              </w:rPr>
              <w:t>0.3</w:t>
            </w:r>
          </w:p>
        </w:tc>
        <w:tc>
          <w:tcPr>
            <w:tcW w:w="1559" w:type="dxa"/>
            <w:tcBorders>
              <w:bottom w:val="single" w:sz="4" w:space="0" w:color="auto"/>
            </w:tcBorders>
            <w:shd w:val="clear" w:color="auto" w:fill="auto"/>
          </w:tcPr>
          <w:p w:rsidR="00201ECC" w:rsidRPr="007255C1" w:rsidRDefault="00201ECC" w:rsidP="00201ECC">
            <w:pPr>
              <w:tabs>
                <w:tab w:val="left" w:pos="0"/>
                <w:tab w:val="left" w:pos="444"/>
                <w:tab w:val="left" w:pos="720"/>
              </w:tabs>
              <w:spacing w:after="120" w:line="240" w:lineRule="atLeast"/>
              <w:jc w:val="center"/>
              <w:rPr>
                <w:spacing w:val="-3"/>
              </w:rPr>
            </w:pPr>
            <w:r>
              <w:rPr>
                <w:spacing w:val="-3"/>
              </w:rPr>
              <w:t>213-320</w:t>
            </w:r>
          </w:p>
        </w:tc>
      </w:tr>
    </w:tbl>
    <w:p w:rsidR="00201ECC" w:rsidRDefault="00201ECC">
      <w:pPr>
        <w:tabs>
          <w:tab w:val="left" w:pos="-1440"/>
          <w:tab w:val="left" w:pos="-720"/>
          <w:tab w:val="left" w:pos="444"/>
        </w:tabs>
        <w:jc w:val="both"/>
      </w:pPr>
    </w:p>
    <w:p w:rsidR="00BD268D" w:rsidRDefault="00BD268D">
      <w:pPr>
        <w:tabs>
          <w:tab w:val="left" w:pos="-1440"/>
          <w:tab w:val="left" w:pos="-720"/>
          <w:tab w:val="left" w:pos="444"/>
        </w:tabs>
        <w:jc w:val="both"/>
      </w:pPr>
    </w:p>
    <w:p w:rsidR="00BD268D" w:rsidRDefault="00BD268D">
      <w:pPr>
        <w:tabs>
          <w:tab w:val="left" w:pos="-1440"/>
          <w:tab w:val="left" w:pos="-720"/>
          <w:tab w:val="left" w:pos="444"/>
        </w:tabs>
        <w:jc w:val="both"/>
      </w:pPr>
      <w:r>
        <w:rPr>
          <w:i/>
        </w:rPr>
        <w:t>Comments on Preferred Values</w:t>
      </w:r>
    </w:p>
    <w:p w:rsidR="00BD268D" w:rsidRDefault="00BD268D">
      <w:pPr>
        <w:tabs>
          <w:tab w:val="left" w:pos="-1440"/>
          <w:tab w:val="left" w:pos="-720"/>
          <w:tab w:val="left" w:pos="444"/>
        </w:tabs>
        <w:ind w:left="360" w:right="553"/>
        <w:jc w:val="both"/>
      </w:pPr>
      <w:r>
        <w:t xml:space="preserve">The data from Eberhard et al. (1986) give a rate coefficient at 298 K which is significantly larger that the values obtained by Adachi and Basco (1982) or Peeters et al. (1992) and is close to the value obtained for a range of alkyl peroxy radicals at 298 K. In addition, the data of Chow et al. (2003), who measured a weighted average value for </w:t>
      </w:r>
      <w:r>
        <w:rPr>
          <w:i/>
        </w:rPr>
        <w:t>n</w:t>
      </w:r>
      <w:r>
        <w:t>-C</w:t>
      </w:r>
      <w:r>
        <w:rPr>
          <w:vertAlign w:val="subscript"/>
        </w:rPr>
        <w:t>3</w:t>
      </w:r>
      <w:r>
        <w:t>H</w:t>
      </w:r>
      <w:r>
        <w:rPr>
          <w:vertAlign w:val="subscript"/>
        </w:rPr>
        <w:t>7</w:t>
      </w:r>
      <w:r>
        <w:t>O</w:t>
      </w:r>
      <w:r>
        <w:rPr>
          <w:vertAlign w:val="subscript"/>
        </w:rPr>
        <w:t>2</w:t>
      </w:r>
      <w:r>
        <w:t xml:space="preserve"> and </w:t>
      </w:r>
      <w:r>
        <w:rPr>
          <w:i/>
        </w:rPr>
        <w:t>i</w:t>
      </w:r>
      <w:r>
        <w:t>-C</w:t>
      </w:r>
      <w:r>
        <w:rPr>
          <w:vertAlign w:val="subscript"/>
        </w:rPr>
        <w:t>3</w:t>
      </w:r>
      <w:r>
        <w:t>H</w:t>
      </w:r>
      <w:r>
        <w:rPr>
          <w:vertAlign w:val="subscript"/>
        </w:rPr>
        <w:t>7</w:t>
      </w:r>
      <w:r>
        <w:t>O</w:t>
      </w:r>
      <w:r>
        <w:rPr>
          <w:vertAlign w:val="subscript"/>
        </w:rPr>
        <w:t>2</w:t>
      </w:r>
      <w:r>
        <w:t xml:space="preserve"> are in good agreement, which confirms that </w:t>
      </w:r>
      <w:r>
        <w:rPr>
          <w:i/>
        </w:rPr>
        <w:t>n</w:t>
      </w:r>
      <w:r>
        <w:t>-C</w:t>
      </w:r>
      <w:r>
        <w:rPr>
          <w:vertAlign w:val="subscript"/>
        </w:rPr>
        <w:t>3</w:t>
      </w:r>
      <w:r>
        <w:t>H</w:t>
      </w:r>
      <w:r>
        <w:rPr>
          <w:vertAlign w:val="subscript"/>
        </w:rPr>
        <w:t>7</w:t>
      </w:r>
      <w:r>
        <w:t>O</w:t>
      </w:r>
      <w:r>
        <w:rPr>
          <w:vertAlign w:val="subscript"/>
        </w:rPr>
        <w:t>2</w:t>
      </w:r>
      <w:r>
        <w:t xml:space="preserve"> and </w:t>
      </w:r>
      <w:r>
        <w:rPr>
          <w:i/>
        </w:rPr>
        <w:t>i</w:t>
      </w:r>
      <w:r>
        <w:t>-C</w:t>
      </w:r>
      <w:r>
        <w:rPr>
          <w:vertAlign w:val="subscript"/>
        </w:rPr>
        <w:t>3</w:t>
      </w:r>
      <w:r>
        <w:t>H</w:t>
      </w:r>
      <w:r>
        <w:rPr>
          <w:vertAlign w:val="subscript"/>
        </w:rPr>
        <w:t>7</w:t>
      </w:r>
      <w:r>
        <w:t>O</w:t>
      </w:r>
      <w:r>
        <w:rPr>
          <w:vertAlign w:val="subscript"/>
        </w:rPr>
        <w:t>2</w:t>
      </w:r>
      <w:r>
        <w:t xml:space="preserve"> have similar rate </w:t>
      </w:r>
      <w:r>
        <w:lastRenderedPageBreak/>
        <w:t xml:space="preserve">coefficients for reaction with NO. The rather indirect measurement of Xing et al. (2005) is also in broad agreement. The preferred value for </w:t>
      </w:r>
      <w:r>
        <w:rPr>
          <w:i/>
        </w:rPr>
        <w:t>k</w:t>
      </w:r>
      <w:r>
        <w:rPr>
          <w:vertAlign w:val="subscript"/>
        </w:rPr>
        <w:t>298</w:t>
      </w:r>
      <w:r>
        <w:t xml:space="preserve"> and the temperature dependence is that reported by Eberhard et al. (1996).</w:t>
      </w:r>
    </w:p>
    <w:p w:rsidR="00766DD5" w:rsidRDefault="00766DD5">
      <w:pPr>
        <w:tabs>
          <w:tab w:val="left" w:pos="-1440"/>
          <w:tab w:val="left" w:pos="-720"/>
          <w:tab w:val="left" w:pos="444"/>
        </w:tabs>
        <w:ind w:left="360" w:right="553"/>
        <w:jc w:val="both"/>
      </w:pPr>
    </w:p>
    <w:p w:rsidR="00BD268D" w:rsidRDefault="00BD268D" w:rsidP="00FB0E0B">
      <w:pPr>
        <w:tabs>
          <w:tab w:val="left" w:pos="-1440"/>
          <w:tab w:val="left" w:pos="-720"/>
          <w:tab w:val="left" w:pos="444"/>
        </w:tabs>
        <w:ind w:left="360" w:right="553"/>
        <w:jc w:val="both"/>
      </w:pPr>
      <w:r>
        <w:t>The</w:t>
      </w:r>
      <w:r w:rsidR="00766DD5">
        <w:t xml:space="preserve"> </w:t>
      </w:r>
      <w:r w:rsidR="00201ECC">
        <w:t xml:space="preserve">three </w:t>
      </w:r>
      <w:r>
        <w:t xml:space="preserve">studies of the branching ratio to </w:t>
      </w:r>
      <w:r>
        <w:rPr>
          <w:i/>
        </w:rPr>
        <w:t>i</w:t>
      </w:r>
      <w:r>
        <w:t>-C</w:t>
      </w:r>
      <w:r>
        <w:rPr>
          <w:vertAlign w:val="subscript"/>
        </w:rPr>
        <w:t>3</w:t>
      </w:r>
      <w:r>
        <w:t>H</w:t>
      </w:r>
      <w:r>
        <w:rPr>
          <w:vertAlign w:val="subscript"/>
        </w:rPr>
        <w:t>7</w:t>
      </w:r>
      <w:r>
        <w:t>ONO</w:t>
      </w:r>
      <w:r>
        <w:rPr>
          <w:vertAlign w:val="subscript"/>
        </w:rPr>
        <w:t xml:space="preserve">2 </w:t>
      </w:r>
      <w:r w:rsidR="00766DD5">
        <w:t xml:space="preserve">formation indicate that </w:t>
      </w:r>
      <w:r w:rsidR="00766DD5" w:rsidRPr="00766DD5">
        <w:rPr>
          <w:i/>
        </w:rPr>
        <w:t>k</w:t>
      </w:r>
      <w:r w:rsidR="00766DD5" w:rsidRPr="00766DD5">
        <w:rPr>
          <w:vertAlign w:val="subscript"/>
        </w:rPr>
        <w:t>2</w:t>
      </w:r>
      <w:r w:rsidR="00766DD5">
        <w:t>/</w:t>
      </w:r>
      <w:r w:rsidR="00766DD5" w:rsidRPr="00766DD5">
        <w:rPr>
          <w:i/>
        </w:rPr>
        <w:t>k</w:t>
      </w:r>
      <w:r w:rsidR="00766DD5">
        <w:t xml:space="preserve"> increases with increasing pressure, with a value of circa 0.04 at one bar pressure and 298 K. </w:t>
      </w:r>
      <w:r w:rsidR="005A383C">
        <w:t xml:space="preserve"> </w:t>
      </w:r>
      <w:r w:rsidR="00FB0E0B">
        <w:t xml:space="preserve">Although the data of Chow et al. (2003) are not precise enough to accurately define the trend, the </w:t>
      </w:r>
      <w:r w:rsidR="00766DD5">
        <w:t xml:space="preserve">formation of </w:t>
      </w:r>
      <w:r w:rsidR="00766DD5">
        <w:rPr>
          <w:i/>
        </w:rPr>
        <w:t>i</w:t>
      </w:r>
      <w:r w:rsidR="00766DD5">
        <w:t>-C</w:t>
      </w:r>
      <w:r w:rsidR="00766DD5">
        <w:rPr>
          <w:vertAlign w:val="subscript"/>
        </w:rPr>
        <w:t>3</w:t>
      </w:r>
      <w:r w:rsidR="00766DD5">
        <w:t>H</w:t>
      </w:r>
      <w:r w:rsidR="00766DD5">
        <w:rPr>
          <w:vertAlign w:val="subscript"/>
        </w:rPr>
        <w:t>7</w:t>
      </w:r>
      <w:r w:rsidR="00766DD5">
        <w:t>ONO</w:t>
      </w:r>
      <w:r w:rsidR="00766DD5">
        <w:rPr>
          <w:vertAlign w:val="subscript"/>
        </w:rPr>
        <w:t xml:space="preserve">2 </w:t>
      </w:r>
      <w:r w:rsidR="00766DD5">
        <w:t xml:space="preserve">is also favoured by low temperatures (Chow et al., </w:t>
      </w:r>
      <w:r>
        <w:t>2003)</w:t>
      </w:r>
      <w:r w:rsidR="00FB0E0B">
        <w:t xml:space="preserve"> as expected</w:t>
      </w:r>
      <w:r w:rsidR="00766DD5">
        <w:t xml:space="preserve">. </w:t>
      </w:r>
      <w:r w:rsidR="00252DBF">
        <w:t>The datasets of Carter and Atkinson (1989), Chow</w:t>
      </w:r>
      <w:bookmarkStart w:id="0" w:name="_GoBack"/>
      <w:bookmarkEnd w:id="0"/>
      <w:r w:rsidR="00252DBF">
        <w:t xml:space="preserve"> et al. (2003) and Butkovykaya et al (2010) are </w:t>
      </w:r>
      <w:r w:rsidR="00213750">
        <w:t xml:space="preserve">reasonably </w:t>
      </w:r>
      <w:r w:rsidR="00252DBF">
        <w:t xml:space="preserve">consistent with the </w:t>
      </w:r>
      <w:r w:rsidR="00FB0E0B">
        <w:t xml:space="preserve">temperature dependent </w:t>
      </w:r>
      <w:r w:rsidR="00D81B85">
        <w:t xml:space="preserve">fall-off </w:t>
      </w:r>
      <w:r w:rsidR="00252DBF">
        <w:t xml:space="preserve">parameterisation of </w:t>
      </w:r>
      <w:r w:rsidR="00D81B85">
        <w:t>Carter et al (198</w:t>
      </w:r>
      <w:r w:rsidR="00814D7E">
        <w:t>5</w:t>
      </w:r>
      <w:r w:rsidR="00D81B85">
        <w:t xml:space="preserve">) </w:t>
      </w:r>
      <w:r w:rsidR="00D821FB">
        <w:t xml:space="preserve">(see below) </w:t>
      </w:r>
      <w:r w:rsidR="00213750">
        <w:t xml:space="preserve">when multiplied by </w:t>
      </w:r>
      <w:r w:rsidR="00D81B85">
        <w:t xml:space="preserve">a factor 1.5. </w:t>
      </w:r>
      <w:r w:rsidR="00FB0E0B">
        <w:t xml:space="preserve">Note that later parametzerisations from the same group used a much weaker temperarure dependence and do not reproduce the increase in branching ratio at low temperatures (at 100 Torr total pressure) obseved by Chow et al. (2003).  </w:t>
      </w:r>
    </w:p>
    <w:p w:rsidR="00D821FB" w:rsidRDefault="00D821FB" w:rsidP="00D81B85">
      <w:pPr>
        <w:tabs>
          <w:tab w:val="left" w:pos="-1440"/>
          <w:tab w:val="left" w:pos="-720"/>
          <w:tab w:val="left" w:pos="444"/>
        </w:tabs>
        <w:ind w:left="360" w:right="553"/>
        <w:jc w:val="both"/>
      </w:pPr>
    </w:p>
    <w:p w:rsidR="00D821FB" w:rsidRPr="00213750" w:rsidRDefault="00CB79F9" w:rsidP="00D81B85">
      <w:pPr>
        <w:tabs>
          <w:tab w:val="left" w:pos="-1440"/>
          <w:tab w:val="left" w:pos="-720"/>
          <w:tab w:val="left" w:pos="444"/>
        </w:tabs>
        <w:ind w:left="360" w:right="553"/>
        <w:jc w:val="both"/>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num>
            <m:den>
              <m:r>
                <w:rPr>
                  <w:rFonts w:ascii="Cambria Math" w:hAnsi="Cambria Math"/>
                </w:rPr>
                <m:t>k</m:t>
              </m:r>
            </m:den>
          </m:f>
          <m:r>
            <w:rPr>
              <w:rFonts w:ascii="Cambria Math" w:hAnsi="Cambria Math"/>
            </w:rPr>
            <m:t>= 1.5</m:t>
          </m:r>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300</m:t>
                      </m:r>
                    </m:sup>
                  </m:sSubSup>
                  <m:r>
                    <w:rPr>
                      <w:rFonts w:ascii="Cambria Math" w:hAnsi="Cambria Math"/>
                    </w:rPr>
                    <m:t>[</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(T/300)</m:t>
                      </m:r>
                    </m:e>
                    <m: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sup>
                  </m:sSup>
                </m:num>
                <m:den>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300</m:t>
                          </m:r>
                        </m:sup>
                      </m:sSubSup>
                      <m:r>
                        <w:rPr>
                          <w:rFonts w:ascii="Cambria Math" w:hAnsi="Cambria Math"/>
                        </w:rPr>
                        <m:t>[</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(T/300)</m:t>
                          </m:r>
                        </m:e>
                        <m: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sup>
                      </m:sSup>
                    </m:num>
                    <m:den>
                      <m:sSubSup>
                        <m:sSubSupPr>
                          <m:ctrlPr>
                            <w:rPr>
                              <w:rFonts w:ascii="Cambria Math" w:hAnsi="Cambria Math"/>
                              <w:i/>
                            </w:rPr>
                          </m:ctrlPr>
                        </m:sSubSupPr>
                        <m:e>
                          <m:r>
                            <w:rPr>
                              <w:rFonts w:ascii="Cambria Math" w:hAnsi="Cambria Math"/>
                            </w:rPr>
                            <m:t>Y</m:t>
                          </m:r>
                        </m:e>
                        <m:sub>
                          <m:r>
                            <w:rPr>
                              <w:rFonts w:ascii="Cambria Math" w:hAnsi="Cambria Math"/>
                            </w:rPr>
                            <m:t>∞</m:t>
                          </m:r>
                        </m:sub>
                        <m:sup>
                          <m:r>
                            <w:rPr>
                              <w:rFonts w:ascii="Cambria Math" w:hAnsi="Cambria Math"/>
                            </w:rPr>
                            <m:t>300</m:t>
                          </m:r>
                        </m:sup>
                      </m:sSubSup>
                      <m:sSup>
                        <m:sSupPr>
                          <m:ctrlPr>
                            <w:rPr>
                              <w:rFonts w:ascii="Cambria Math" w:hAnsi="Cambria Math"/>
                              <w:i/>
                            </w:rPr>
                          </m:ctrlPr>
                        </m:sSupPr>
                        <m:e>
                          <m:r>
                            <w:rPr>
                              <w:rFonts w:ascii="Cambria Math" w:hAnsi="Cambria Math"/>
                            </w:rPr>
                            <m:t>(T/300)</m:t>
                          </m:r>
                        </m:e>
                        <m: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up>
                      </m:sSup>
                    </m:den>
                  </m:f>
                </m:den>
              </m:f>
            </m:e>
          </m:d>
          <m:sSup>
            <m:sSupPr>
              <m:ctrlPr>
                <w:rPr>
                  <w:rFonts w:ascii="Cambria Math" w:hAnsi="Cambria Math"/>
                  <w:i/>
                </w:rPr>
              </m:ctrlPr>
            </m:sSupPr>
            <m:e>
              <m:r>
                <w:rPr>
                  <w:rFonts w:ascii="Cambria Math" w:hAnsi="Cambria Math"/>
                </w:rPr>
                <m:t>F</m:t>
              </m:r>
            </m:e>
            <m:sup>
              <m:r>
                <w:rPr>
                  <w:rFonts w:ascii="Cambria Math" w:hAnsi="Cambria Math"/>
                </w:rPr>
                <m:t>Z</m:t>
              </m:r>
            </m:sup>
          </m:sSup>
        </m:oMath>
      </m:oMathPara>
    </w:p>
    <w:p w:rsidR="00252DBF" w:rsidRDefault="00252DBF">
      <w:pPr>
        <w:tabs>
          <w:tab w:val="left" w:pos="-1440"/>
          <w:tab w:val="left" w:pos="-720"/>
          <w:tab w:val="left" w:pos="444"/>
        </w:tabs>
        <w:ind w:firstLine="444"/>
        <w:jc w:val="both"/>
      </w:pPr>
    </w:p>
    <w:p w:rsidR="00252DBF" w:rsidRDefault="00213750" w:rsidP="00213750">
      <w:pPr>
        <w:tabs>
          <w:tab w:val="left" w:pos="-1440"/>
          <w:tab w:val="left" w:pos="-720"/>
          <w:tab w:val="left" w:pos="444"/>
        </w:tabs>
        <w:ind w:left="360" w:right="553"/>
        <w:jc w:val="both"/>
      </w:pPr>
      <w:r>
        <w:t xml:space="preserve">Where </w:t>
      </w:r>
      <m:oMath>
        <m:r>
          <w:rPr>
            <w:rFonts w:ascii="Cambria Math" w:hAnsi="Cambria Math"/>
          </w:rPr>
          <m:t xml:space="preserve">Z=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log</m:t>
                        </m:r>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300</m:t>
                                    </m:r>
                                  </m:sup>
                                </m:sSubSup>
                                <m:r>
                                  <w:rPr>
                                    <w:rFonts w:ascii="Cambria Math" w:hAnsi="Cambria Math"/>
                                  </w:rPr>
                                  <m:t>[</m:t>
                                </m:r>
                                <m:r>
                                  <m:rPr>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(T/300)</m:t>
                                    </m:r>
                                  </m:e>
                                  <m: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sup>
                                </m:sSup>
                              </m:num>
                              <m:den>
                                <m:sSubSup>
                                  <m:sSubSupPr>
                                    <m:ctrlPr>
                                      <w:rPr>
                                        <w:rFonts w:ascii="Cambria Math" w:hAnsi="Cambria Math"/>
                                        <w:i/>
                                      </w:rPr>
                                    </m:ctrlPr>
                                  </m:sSubSupPr>
                                  <m:e>
                                    <m:r>
                                      <w:rPr>
                                        <w:rFonts w:ascii="Cambria Math" w:hAnsi="Cambria Math"/>
                                      </w:rPr>
                                      <m:t>Y</m:t>
                                    </m:r>
                                  </m:e>
                                  <m:sub>
                                    <m:r>
                                      <w:rPr>
                                        <w:rFonts w:ascii="Cambria Math" w:hAnsi="Cambria Math"/>
                                      </w:rPr>
                                      <m:t>∞</m:t>
                                    </m:r>
                                  </m:sub>
                                  <m:sup>
                                    <m:r>
                                      <w:rPr>
                                        <w:rFonts w:ascii="Cambria Math" w:hAnsi="Cambria Math"/>
                                      </w:rPr>
                                      <m:t>300</m:t>
                                    </m:r>
                                  </m:sup>
                                </m:sSubSup>
                                <m:sSup>
                                  <m:sSupPr>
                                    <m:ctrlPr>
                                      <w:rPr>
                                        <w:rFonts w:ascii="Cambria Math" w:hAnsi="Cambria Math"/>
                                        <w:i/>
                                      </w:rPr>
                                    </m:ctrlPr>
                                  </m:sSupPr>
                                  <m:e>
                                    <m:r>
                                      <w:rPr>
                                        <w:rFonts w:ascii="Cambria Math" w:hAnsi="Cambria Math"/>
                                      </w:rPr>
                                      <m:t>(T/300)</m:t>
                                    </m:r>
                                  </m:e>
                                  <m: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m:t>
                                        </m:r>
                                      </m:sub>
                                    </m:sSub>
                                  </m:sup>
                                </m:sSup>
                              </m:den>
                            </m:f>
                          </m:e>
                        </m:d>
                      </m:e>
                    </m:d>
                  </m:e>
                  <m:sup>
                    <m:r>
                      <w:rPr>
                        <w:rFonts w:ascii="Cambria Math" w:hAnsi="Cambria Math"/>
                      </w:rPr>
                      <m:t>2</m:t>
                    </m:r>
                  </m:sup>
                </m:sSup>
              </m:e>
            </m:d>
          </m:e>
          <m:sup>
            <m:r>
              <w:rPr>
                <w:rFonts w:ascii="Cambria Math" w:hAnsi="Cambria Math"/>
              </w:rPr>
              <m:t>-1</m:t>
            </m:r>
          </m:sup>
        </m:sSup>
      </m:oMath>
      <w:r>
        <w:t xml:space="preserve"> and </w:t>
      </w:r>
    </w:p>
    <w:p w:rsidR="00213750" w:rsidRDefault="00213750">
      <w:pPr>
        <w:tabs>
          <w:tab w:val="left" w:pos="-1440"/>
          <w:tab w:val="left" w:pos="-720"/>
          <w:tab w:val="left" w:pos="444"/>
        </w:tabs>
        <w:ind w:firstLine="444"/>
        <w:jc w:val="both"/>
      </w:pPr>
    </w:p>
    <w:p w:rsidR="00213750" w:rsidRPr="00213750" w:rsidRDefault="00CB79F9" w:rsidP="00213750">
      <w:pPr>
        <w:tabs>
          <w:tab w:val="left" w:pos="-1440"/>
          <w:tab w:val="left" w:pos="-720"/>
          <w:tab w:val="left" w:pos="444"/>
        </w:tabs>
        <w:ind w:left="360" w:right="553"/>
        <w:jc w:val="both"/>
      </w:pPr>
      <m:oMathPara>
        <m:oMathParaPr>
          <m:jc m:val="left"/>
        </m:oMathParaPr>
        <m:oMath>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300</m:t>
              </m:r>
            </m:sup>
          </m:sSubSup>
          <m:r>
            <w:rPr>
              <w:rFonts w:ascii="Cambria Math" w:hAnsi="Cambria Math"/>
            </w:rPr>
            <m:t>= α</m:t>
          </m:r>
          <m:sSup>
            <m:sSupPr>
              <m:ctrlPr>
                <w:rPr>
                  <w:rFonts w:ascii="Cambria Math" w:hAnsi="Cambria Math"/>
                  <w:i/>
                </w:rPr>
              </m:ctrlPr>
            </m:sSupPr>
            <m:e>
              <m:r>
                <w:rPr>
                  <w:rFonts w:ascii="Cambria Math" w:hAnsi="Cambria Math"/>
                </w:rPr>
                <m:t>e</m:t>
              </m:r>
            </m:e>
            <m:sup>
              <m:r>
                <w:rPr>
                  <w:rFonts w:ascii="Cambria Math" w:hAnsi="Cambria Math"/>
                </w:rPr>
                <m:t>βn</m:t>
              </m:r>
            </m:sup>
          </m:sSup>
        </m:oMath>
      </m:oMathPara>
    </w:p>
    <w:p w:rsidR="00213750" w:rsidRDefault="00213750">
      <w:pPr>
        <w:tabs>
          <w:tab w:val="left" w:pos="-1440"/>
          <w:tab w:val="left" w:pos="-720"/>
          <w:tab w:val="left" w:pos="444"/>
        </w:tabs>
        <w:ind w:firstLine="444"/>
        <w:jc w:val="both"/>
      </w:pPr>
    </w:p>
    <w:p w:rsidR="00FB0E0B" w:rsidRDefault="00FB0E0B" w:rsidP="00FB0E0B">
      <w:pPr>
        <w:tabs>
          <w:tab w:val="left" w:pos="-1440"/>
          <w:tab w:val="left" w:pos="-720"/>
          <w:tab w:val="left" w:pos="444"/>
        </w:tabs>
        <w:ind w:left="360" w:right="553"/>
        <w:jc w:val="both"/>
      </w:pPr>
      <w:r>
        <w:t xml:space="preserve">The uncertainty in the branching ratio has been increased to reflect the data quality in the only study of the temperature dependence. </w:t>
      </w:r>
    </w:p>
    <w:p w:rsidR="00213750" w:rsidRDefault="00213750" w:rsidP="00FB0E0B">
      <w:pPr>
        <w:tabs>
          <w:tab w:val="left" w:pos="-1440"/>
          <w:tab w:val="left" w:pos="-720"/>
          <w:tab w:val="left" w:pos="444"/>
        </w:tabs>
        <w:jc w:val="both"/>
      </w:pPr>
    </w:p>
    <w:p w:rsidR="00BD268D" w:rsidRDefault="00BD268D">
      <w:pPr>
        <w:pStyle w:val="Heading3"/>
      </w:pPr>
      <w:r>
        <w:t>References</w:t>
      </w:r>
    </w:p>
    <w:p w:rsidR="00BD268D" w:rsidRDefault="00BD268D"/>
    <w:p w:rsidR="00BD268D" w:rsidRDefault="00BD268D">
      <w:pPr>
        <w:ind w:left="346" w:right="553"/>
      </w:pPr>
      <w:r>
        <w:t>Adachi, H. and Basco, N.: Int. J. Chem. Kinet. 14, 1243, 1982.</w:t>
      </w:r>
    </w:p>
    <w:p w:rsidR="00BD268D" w:rsidRDefault="00BD268D">
      <w:pPr>
        <w:tabs>
          <w:tab w:val="left" w:pos="-1440"/>
          <w:tab w:val="left" w:pos="-720"/>
          <w:tab w:val="left" w:pos="288"/>
        </w:tabs>
        <w:ind w:left="346" w:right="553"/>
        <w:jc w:val="both"/>
      </w:pPr>
      <w:r>
        <w:t>Arey, J., Aschmann, S. M., Kwok. E. S. C. and Atkinson, R.: J. Phys. Chem. A 105, 1020, 2001.</w:t>
      </w:r>
    </w:p>
    <w:p w:rsidR="00634A7A" w:rsidRDefault="00634A7A" w:rsidP="00634A7A">
      <w:pPr>
        <w:tabs>
          <w:tab w:val="left" w:pos="-1440"/>
          <w:tab w:val="left" w:pos="-720"/>
          <w:tab w:val="left" w:pos="288"/>
        </w:tabs>
        <w:ind w:left="346" w:right="553"/>
        <w:jc w:val="both"/>
      </w:pPr>
      <w:r>
        <w:t>Atkinson, R., Aschmann, S. M., Carter, W. P. L., Winer, A. M. and Pitts, Jr. J. N.: J. Phys. Chem. 86, 4563, 1982.</w:t>
      </w:r>
    </w:p>
    <w:p w:rsidR="00BD268D" w:rsidRDefault="00BD268D">
      <w:pPr>
        <w:tabs>
          <w:tab w:val="left" w:pos="-1440"/>
          <w:tab w:val="left" w:pos="-720"/>
          <w:tab w:val="left" w:pos="288"/>
        </w:tabs>
        <w:ind w:left="346" w:right="553"/>
        <w:jc w:val="both"/>
      </w:pPr>
      <w:r>
        <w:t xml:space="preserve">Carter, W. P. L. and Atkinson, R.: J. Atmos. Chem. </w:t>
      </w:r>
      <w:r w:rsidR="00D81B85">
        <w:t>3, 377-405</w:t>
      </w:r>
      <w:r>
        <w:t>, 198</w:t>
      </w:r>
      <w:r w:rsidR="00D81B85">
        <w:t>5</w:t>
      </w:r>
      <w:r>
        <w:t>.</w:t>
      </w:r>
    </w:p>
    <w:p w:rsidR="00D81B85" w:rsidRDefault="00D81B85" w:rsidP="00D81B85">
      <w:pPr>
        <w:tabs>
          <w:tab w:val="left" w:pos="-1440"/>
          <w:tab w:val="left" w:pos="-720"/>
          <w:tab w:val="left" w:pos="288"/>
        </w:tabs>
        <w:ind w:left="346" w:right="553"/>
        <w:jc w:val="both"/>
      </w:pPr>
      <w:r>
        <w:t>Carter, W. P. L. and Atkinson, R.: J. Atmos. Chem. 8, 165-173, 1989.</w:t>
      </w:r>
    </w:p>
    <w:p w:rsidR="00BD268D" w:rsidRDefault="00BD268D">
      <w:pPr>
        <w:tabs>
          <w:tab w:val="left" w:pos="-1440"/>
          <w:tab w:val="left" w:pos="-720"/>
          <w:tab w:val="left" w:pos="288"/>
        </w:tabs>
        <w:ind w:left="346" w:right="553"/>
        <w:jc w:val="both"/>
      </w:pPr>
      <w:r>
        <w:t>Chow, J. M., Miller, A. M and Elrod, M. J.: J. Phys. Chem. A 107, 3040, 2003.</w:t>
      </w:r>
    </w:p>
    <w:p w:rsidR="00BD268D" w:rsidRDefault="00BD268D">
      <w:pPr>
        <w:tabs>
          <w:tab w:val="left" w:pos="-1440"/>
          <w:tab w:val="left" w:pos="-720"/>
          <w:tab w:val="left" w:pos="288"/>
        </w:tabs>
        <w:ind w:left="346" w:right="553"/>
        <w:jc w:val="both"/>
      </w:pPr>
      <w:r>
        <w:t>Eberhard, J., Villalta, P. W. and Howard, C. J.: J. Phys. Chem. 100, 993, 1996.</w:t>
      </w:r>
    </w:p>
    <w:p w:rsidR="00BD268D" w:rsidRDefault="00BD268D">
      <w:pPr>
        <w:tabs>
          <w:tab w:val="left" w:pos="-1440"/>
          <w:tab w:val="left" w:pos="-720"/>
          <w:tab w:val="left" w:pos="288"/>
        </w:tabs>
        <w:ind w:left="346" w:right="553"/>
        <w:jc w:val="both"/>
        <w:rPr>
          <w:lang w:val="de-DE"/>
        </w:rPr>
      </w:pPr>
      <w:r>
        <w:t xml:space="preserve">Eberhard, J. and Howard, C. J.: Int. J. Chem. </w:t>
      </w:r>
      <w:r>
        <w:rPr>
          <w:lang w:val="de-DE"/>
        </w:rPr>
        <w:t>Kinet. 28, 731, 1996.</w:t>
      </w:r>
    </w:p>
    <w:p w:rsidR="00BD268D" w:rsidRDefault="00BD268D">
      <w:pPr>
        <w:tabs>
          <w:tab w:val="left" w:pos="-1440"/>
          <w:tab w:val="left" w:pos="-720"/>
          <w:tab w:val="left" w:pos="288"/>
        </w:tabs>
        <w:ind w:left="346" w:right="553"/>
        <w:jc w:val="both"/>
      </w:pPr>
      <w:r>
        <w:rPr>
          <w:lang w:val="de-DE"/>
        </w:rPr>
        <w:t xml:space="preserve">Peeters, J., Vertommen, J. and Langhans, I.: Ber. Bunsenges. </w:t>
      </w:r>
      <w:r>
        <w:t>Phys. Chem. 96, 431, 1992.</w:t>
      </w:r>
    </w:p>
    <w:p w:rsidR="00BD268D" w:rsidRDefault="00BD268D">
      <w:pPr>
        <w:tabs>
          <w:tab w:val="left" w:pos="-1440"/>
          <w:tab w:val="left" w:pos="-720"/>
          <w:tab w:val="left" w:pos="288"/>
        </w:tabs>
        <w:ind w:left="346" w:right="553"/>
        <w:jc w:val="both"/>
      </w:pPr>
      <w:r>
        <w:t>Xing, J.-H. and Miyoshi, A.: J. Phys. Chem. A 109, 4095, 2005.</w:t>
      </w:r>
    </w:p>
    <w:p w:rsidR="00BD268D" w:rsidRDefault="00BD268D"/>
    <w:p w:rsidR="008714F5" w:rsidRDefault="008714F5">
      <w:pPr>
        <w:tabs>
          <w:tab w:val="center" w:pos="4680"/>
          <w:tab w:val="right" w:pos="9360"/>
        </w:tabs>
        <w:jc w:val="both"/>
      </w:pPr>
    </w:p>
    <w:p w:rsidR="005A383C" w:rsidRDefault="005A383C">
      <w:pPr>
        <w:suppressAutoHyphens w:val="0"/>
        <w:overflowPunct/>
        <w:autoSpaceDE/>
        <w:textAlignment w:val="auto"/>
      </w:pPr>
      <w:r>
        <w:br w:type="page"/>
      </w:r>
    </w:p>
    <w:p w:rsidR="005A383C" w:rsidRDefault="00C32242">
      <w:pPr>
        <w:tabs>
          <w:tab w:val="center" w:pos="4680"/>
          <w:tab w:val="right" w:pos="9360"/>
        </w:tabs>
        <w:jc w:val="both"/>
      </w:pPr>
      <w:r>
        <w:rPr>
          <w:noProof/>
          <w:lang w:eastAsia="en-GB"/>
        </w:rPr>
        <w:lastRenderedPageBreak/>
        <mc:AlternateContent>
          <mc:Choice Requires="wps">
            <w:drawing>
              <wp:anchor distT="0" distB="0" distL="114300" distR="114300" simplePos="0" relativeHeight="251660800" behindDoc="0" locked="0" layoutInCell="1" allowOverlap="1" wp14:anchorId="4058E714" wp14:editId="2DA5B738">
                <wp:simplePos x="0" y="0"/>
                <wp:positionH relativeFrom="column">
                  <wp:posOffset>486410</wp:posOffset>
                </wp:positionH>
                <wp:positionV relativeFrom="paragraph">
                  <wp:posOffset>108585</wp:posOffset>
                </wp:positionV>
                <wp:extent cx="5361940" cy="3884295"/>
                <wp:effectExtent l="0" t="0" r="0" b="190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3884295"/>
                        </a:xfrm>
                        <a:prstGeom prst="rect">
                          <a:avLst/>
                        </a:prstGeom>
                        <a:solidFill>
                          <a:srgbClr val="FFFFFF"/>
                        </a:solidFill>
                        <a:ln w="9525">
                          <a:noFill/>
                          <a:miter lim="800000"/>
                          <a:headEnd/>
                          <a:tailEnd/>
                        </a:ln>
                      </wps:spPr>
                      <wps:txbx>
                        <w:txbxContent>
                          <w:p w:rsidR="005A383C" w:rsidRDefault="005A383C" w:rsidP="005A383C">
                            <w:pPr>
                              <w:rPr>
                                <w:lang w:val="de-DE"/>
                              </w:rPr>
                            </w:pPr>
                            <w:r>
                              <w:rPr>
                                <w:noProof/>
                                <w:lang w:eastAsia="en-GB"/>
                              </w:rPr>
                              <w:drawing>
                                <wp:inline distT="0" distB="0" distL="0" distR="0" wp14:anchorId="13C516D0" wp14:editId="0B08E9DB">
                                  <wp:extent cx="4476902" cy="311977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7O2 + NO branching Rati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4984" cy="3118439"/>
                                          </a:xfrm>
                                          <a:prstGeom prst="rect">
                                            <a:avLst/>
                                          </a:prstGeom>
                                        </pic:spPr>
                                      </pic:pic>
                                    </a:graphicData>
                                  </a:graphic>
                                </wp:inline>
                              </w:drawing>
                            </w:r>
                          </w:p>
                          <w:p w:rsidR="005A383C" w:rsidRDefault="005A383C" w:rsidP="005A383C"/>
                          <w:p w:rsidR="005A383C" w:rsidRPr="004657BC" w:rsidRDefault="005A383C" w:rsidP="005A383C">
                            <w:pPr>
                              <w:rPr>
                                <w:lang w:val="de-DE"/>
                              </w:rPr>
                            </w:pPr>
                            <w:r>
                              <w:t xml:space="preserve">Rate constants for </w:t>
                            </w:r>
                            <w:r w:rsidR="004657BC" w:rsidRPr="004657BC">
                              <w:rPr>
                                <w:i/>
                              </w:rPr>
                              <w:t>i</w:t>
                            </w:r>
                            <w:r w:rsidR="004657BC">
                              <w:t>-</w:t>
                            </w:r>
                            <w:r w:rsidRPr="006F27A2">
                              <w:t>C</w:t>
                            </w:r>
                            <w:r>
                              <w:rPr>
                                <w:vertAlign w:val="subscript"/>
                              </w:rPr>
                              <w:t>3</w:t>
                            </w:r>
                            <w:r w:rsidRPr="006F27A2">
                              <w:t>H</w:t>
                            </w:r>
                            <w:r>
                              <w:rPr>
                                <w:vertAlign w:val="subscript"/>
                              </w:rPr>
                              <w:t>7</w:t>
                            </w:r>
                            <w:r w:rsidRPr="006F27A2">
                              <w:t>O</w:t>
                            </w:r>
                            <w:r w:rsidRPr="006F27A2">
                              <w:rPr>
                                <w:vertAlign w:val="subscript"/>
                              </w:rPr>
                              <w:t>2</w:t>
                            </w:r>
                            <w:r>
                              <w:rPr>
                                <w:vertAlign w:val="subscript"/>
                              </w:rPr>
                              <w:t xml:space="preserve"> </w:t>
                            </w:r>
                            <w:r>
                              <w:t xml:space="preserve"> + NO. The solid line represents the prefered values.</w:t>
                            </w:r>
                            <w:r w:rsidR="004657BC">
                              <w:t xml:space="preserve"> The data of Chow et al are for a mixture of </w:t>
                            </w:r>
                            <w:r w:rsidR="004657BC" w:rsidRPr="004657BC">
                              <w:rPr>
                                <w:i/>
                              </w:rPr>
                              <w:t>i</w:t>
                            </w:r>
                            <w:r w:rsidR="004657BC">
                              <w:t>-</w:t>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sidR="004657BC">
                              <w:t xml:space="preserve"> and </w:t>
                            </w:r>
                            <w:r w:rsidR="004657BC">
                              <w:rPr>
                                <w:i/>
                              </w:rPr>
                              <w:t>n</w:t>
                            </w:r>
                            <w:r w:rsidR="004657BC">
                              <w:t>-</w:t>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sidR="004657B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pt;margin-top:8.55pt;width:422.2pt;height:30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" stroked="f">
                <v:textbox>
                  <w:txbxContent>
                    <w:p w:rsidR="005A383C" w:rsidRDefault="005A383C" w:rsidP="005A383C">
                      <w:pPr>
                        <w:rPr>
                          <w:lang w:val="de-DE"/>
                        </w:rPr>
                      </w:pPr>
                      <w:r>
                        <w:rPr>
                          <w:noProof/>
                          <w:lang w:eastAsia="en-GB"/>
                        </w:rPr>
                        <w:drawing>
                          <wp:inline distT="0" distB="0" distL="0" distR="0" wp14:anchorId="13C516D0" wp14:editId="0B08E9DB">
                            <wp:extent cx="4476902" cy="311977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7O2 + NO branching Rati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4984" cy="3118439"/>
                                    </a:xfrm>
                                    <a:prstGeom prst="rect">
                                      <a:avLst/>
                                    </a:prstGeom>
                                  </pic:spPr>
                                </pic:pic>
                              </a:graphicData>
                            </a:graphic>
                          </wp:inline>
                        </w:drawing>
                      </w:r>
                    </w:p>
                    <w:p w:rsidR="005A383C" w:rsidRDefault="005A383C" w:rsidP="005A383C"/>
                    <w:p w:rsidR="005A383C" w:rsidRPr="004657BC" w:rsidRDefault="005A383C" w:rsidP="005A383C">
                      <w:pPr>
                        <w:rPr>
                          <w:lang w:val="de-DE"/>
                        </w:rPr>
                      </w:pPr>
                      <w:r>
                        <w:t xml:space="preserve">Rate constants for </w:t>
                      </w:r>
                      <w:r w:rsidR="004657BC" w:rsidRPr="004657BC">
                        <w:rPr>
                          <w:i/>
                        </w:rPr>
                        <w:t>i</w:t>
                      </w:r>
                      <w:r w:rsidR="004657BC">
                        <w:t>-</w:t>
                      </w:r>
                      <w:r w:rsidRPr="006F27A2">
                        <w:t>C</w:t>
                      </w:r>
                      <w:r>
                        <w:rPr>
                          <w:vertAlign w:val="subscript"/>
                        </w:rPr>
                        <w:t>3</w:t>
                      </w:r>
                      <w:r w:rsidRPr="006F27A2">
                        <w:t>H</w:t>
                      </w:r>
                      <w:r>
                        <w:rPr>
                          <w:vertAlign w:val="subscript"/>
                        </w:rPr>
                        <w:t>7</w:t>
                      </w:r>
                      <w:r w:rsidRPr="006F27A2">
                        <w:t>O</w:t>
                      </w:r>
                      <w:r w:rsidRPr="006F27A2">
                        <w:rPr>
                          <w:vertAlign w:val="subscript"/>
                        </w:rPr>
                        <w:t>2</w:t>
                      </w:r>
                      <w:r>
                        <w:rPr>
                          <w:vertAlign w:val="subscript"/>
                        </w:rPr>
                        <w:t xml:space="preserve"> </w:t>
                      </w:r>
                      <w:r>
                        <w:t xml:space="preserve"> + NO. The solid line represents the prefered values.</w:t>
                      </w:r>
                      <w:r w:rsidR="004657BC">
                        <w:t xml:space="preserve"> The data of Chow et al are for a mixture of </w:t>
                      </w:r>
                      <w:r w:rsidR="004657BC" w:rsidRPr="004657BC">
                        <w:rPr>
                          <w:i/>
                        </w:rPr>
                        <w:t>i</w:t>
                      </w:r>
                      <w:r w:rsidR="004657BC">
                        <w:t>-</w:t>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sidR="004657BC">
                        <w:t xml:space="preserve"> and </w:t>
                      </w:r>
                      <w:r w:rsidR="004657BC">
                        <w:rPr>
                          <w:i/>
                        </w:rPr>
                        <w:t>n</w:t>
                      </w:r>
                      <w:r w:rsidR="004657BC">
                        <w:t>-</w:t>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sidR="004657BC">
                        <w:t>.</w:t>
                      </w:r>
                    </w:p>
                  </w:txbxContent>
                </v:textbox>
                <w10:wrap type="topAndBottom"/>
              </v:shape>
            </w:pict>
          </mc:Fallback>
        </mc:AlternateContent>
      </w:r>
    </w:p>
    <w:p w:rsidR="005A383C" w:rsidRDefault="005A383C">
      <w:pPr>
        <w:tabs>
          <w:tab w:val="center" w:pos="4680"/>
          <w:tab w:val="right" w:pos="9360"/>
        </w:tabs>
        <w:jc w:val="both"/>
      </w:pPr>
    </w:p>
    <w:p w:rsidR="005A383C" w:rsidRDefault="005A383C">
      <w:pPr>
        <w:tabs>
          <w:tab w:val="center" w:pos="4680"/>
          <w:tab w:val="right" w:pos="9360"/>
        </w:tabs>
        <w:jc w:val="both"/>
      </w:pPr>
    </w:p>
    <w:p w:rsidR="005A383C" w:rsidRDefault="00C32242">
      <w:pPr>
        <w:tabs>
          <w:tab w:val="center" w:pos="4680"/>
          <w:tab w:val="right" w:pos="9360"/>
        </w:tabs>
        <w:jc w:val="both"/>
      </w:pPr>
      <w:r>
        <w:rPr>
          <w:noProof/>
          <w:lang w:eastAsia="en-GB"/>
        </w:rPr>
        <mc:AlternateContent>
          <mc:Choice Requires="wps">
            <w:drawing>
              <wp:anchor distT="0" distB="0" distL="114300" distR="114300" simplePos="0" relativeHeight="251662848" behindDoc="0" locked="0" layoutInCell="1" allowOverlap="1" wp14:anchorId="1CD3DEA5" wp14:editId="071123AE">
                <wp:simplePos x="0" y="0"/>
                <wp:positionH relativeFrom="column">
                  <wp:posOffset>485775</wp:posOffset>
                </wp:positionH>
                <wp:positionV relativeFrom="paragraph">
                  <wp:posOffset>93345</wp:posOffset>
                </wp:positionV>
                <wp:extent cx="5486400" cy="373761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37610"/>
                        </a:xfrm>
                        <a:prstGeom prst="rect">
                          <a:avLst/>
                        </a:prstGeom>
                        <a:solidFill>
                          <a:srgbClr val="FFFFFF"/>
                        </a:solidFill>
                        <a:ln w="9525">
                          <a:noFill/>
                          <a:miter lim="800000"/>
                          <a:headEnd/>
                          <a:tailEnd/>
                        </a:ln>
                      </wps:spPr>
                      <wps:txbx>
                        <w:txbxContent>
                          <w:p w:rsidR="00C32242" w:rsidRDefault="00C32242" w:rsidP="00C32242">
                            <w:pPr>
                              <w:rPr>
                                <w:lang w:val="de-DE"/>
                              </w:rPr>
                            </w:pPr>
                            <w:r>
                              <w:rPr>
                                <w:noProof/>
                                <w:lang w:eastAsia="en-GB"/>
                              </w:rPr>
                              <w:drawing>
                                <wp:inline distT="0" distB="0" distL="0" distR="0" wp14:anchorId="7B0B704B" wp14:editId="00DFDA59">
                                  <wp:extent cx="4074567" cy="28779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7O2 + NO branching Rati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5400" cy="2878576"/>
                                          </a:xfrm>
                                          <a:prstGeom prst="rect">
                                            <a:avLst/>
                                          </a:prstGeom>
                                        </pic:spPr>
                                      </pic:pic>
                                    </a:graphicData>
                                  </a:graphic>
                                </wp:inline>
                              </w:drawing>
                            </w:r>
                          </w:p>
                          <w:p w:rsidR="00C32242" w:rsidRDefault="00C32242" w:rsidP="00C32242"/>
                          <w:p w:rsidR="00C32242" w:rsidRPr="00D81B85" w:rsidRDefault="00C32242" w:rsidP="00C32242">
                            <w:pPr>
                              <w:rPr>
                                <w:lang w:val="de-DE"/>
                              </w:rPr>
                            </w:pPr>
                            <w:r>
                              <w:t xml:space="preserve">Branching ratio, </w:t>
                            </w:r>
                            <w:r w:rsidRPr="006F27A2">
                              <w:rPr>
                                <w:i/>
                              </w:rPr>
                              <w:t>k</w:t>
                            </w:r>
                            <w:r w:rsidRPr="006F27A2">
                              <w:rPr>
                                <w:vertAlign w:val="subscript"/>
                              </w:rPr>
                              <w:t>2</w:t>
                            </w:r>
                            <w:r>
                              <w:rPr>
                                <w:vertAlign w:val="subscript"/>
                              </w:rPr>
                              <w:t xml:space="preserve"> </w:t>
                            </w:r>
                            <w:r>
                              <w:t>/ (</w:t>
                            </w:r>
                            <w:r w:rsidRPr="006F27A2">
                              <w:rPr>
                                <w:i/>
                              </w:rPr>
                              <w:t>k</w:t>
                            </w:r>
                            <w:r>
                              <w:rPr>
                                <w:vertAlign w:val="subscript"/>
                              </w:rPr>
                              <w:t>1</w:t>
                            </w:r>
                            <w:r>
                              <w:t>+</w:t>
                            </w:r>
                            <w:r w:rsidRPr="006F27A2">
                              <w:rPr>
                                <w:i/>
                              </w:rPr>
                              <w:t>k</w:t>
                            </w:r>
                            <w:r w:rsidRPr="006F27A2">
                              <w:rPr>
                                <w:vertAlign w:val="subscript"/>
                              </w:rPr>
                              <w:t>2</w:t>
                            </w:r>
                            <w:r>
                              <w:t xml:space="preserve">), for formation of </w:t>
                            </w:r>
                            <w:r w:rsidRPr="00323F2C">
                              <w:t xml:space="preserve"> </w:t>
                            </w:r>
                            <w:r w:rsidRPr="006F27A2">
                              <w:t>C</w:t>
                            </w:r>
                            <w:r>
                              <w:rPr>
                                <w:vertAlign w:val="subscript"/>
                              </w:rPr>
                              <w:t>3</w:t>
                            </w:r>
                            <w:r w:rsidRPr="006F27A2">
                              <w:t>H</w:t>
                            </w:r>
                            <w:r>
                              <w:rPr>
                                <w:vertAlign w:val="subscript"/>
                              </w:rPr>
                              <w:t>7</w:t>
                            </w:r>
                            <w:r>
                              <w:t>ON</w:t>
                            </w:r>
                            <w:r w:rsidRPr="006F27A2">
                              <w:t>O</w:t>
                            </w:r>
                            <w:r w:rsidRPr="006F27A2">
                              <w:rPr>
                                <w:vertAlign w:val="subscript"/>
                              </w:rPr>
                              <w:t>2</w:t>
                            </w:r>
                            <w:r>
                              <w:rPr>
                                <w:vertAlign w:val="subscript"/>
                              </w:rPr>
                              <w:t xml:space="preserve"> </w:t>
                            </w:r>
                            <w:r>
                              <w:t xml:space="preserve"> in the reaction between </w:t>
                            </w:r>
                            <w:r w:rsidR="004657BC" w:rsidRPr="004657BC">
                              <w:rPr>
                                <w:i/>
                              </w:rPr>
                              <w:t>i</w:t>
                            </w:r>
                            <w:r w:rsidR="004657BC">
                              <w:noBreakHyphen/>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Pr>
                                <w:vertAlign w:val="subscript"/>
                              </w:rPr>
                              <w:t xml:space="preserve"> </w:t>
                            </w:r>
                            <w:r>
                              <w:t>and NO. The solid lines are derived from the parameterisation given by Carter and Atkinson et al. (1985) multipled by a factor of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25pt;margin-top:7.35pt;width:6in;height:29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" stroked="f">
                <v:textbox>
                  <w:txbxContent>
                    <w:p w:rsidR="00C32242" w:rsidRDefault="00C32242" w:rsidP="00C32242">
                      <w:pPr>
                        <w:rPr>
                          <w:lang w:val="de-DE"/>
                        </w:rPr>
                      </w:pPr>
                      <w:r>
                        <w:rPr>
                          <w:noProof/>
                          <w:lang w:eastAsia="en-GB"/>
                        </w:rPr>
                        <w:drawing>
                          <wp:inline distT="0" distB="0" distL="0" distR="0" wp14:anchorId="7B0B704B" wp14:editId="00DFDA59">
                            <wp:extent cx="4074567" cy="28779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7O2 + NO branching Rati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5400" cy="2878576"/>
                                    </a:xfrm>
                                    <a:prstGeom prst="rect">
                                      <a:avLst/>
                                    </a:prstGeom>
                                  </pic:spPr>
                                </pic:pic>
                              </a:graphicData>
                            </a:graphic>
                          </wp:inline>
                        </w:drawing>
                      </w:r>
                    </w:p>
                    <w:p w:rsidR="00C32242" w:rsidRDefault="00C32242" w:rsidP="00C32242"/>
                    <w:p w:rsidR="00C32242" w:rsidRPr="00D81B85" w:rsidRDefault="00C32242" w:rsidP="00C32242">
                      <w:pPr>
                        <w:rPr>
                          <w:lang w:val="de-DE"/>
                        </w:rPr>
                      </w:pPr>
                      <w:r>
                        <w:t xml:space="preserve">Branching ratio, </w:t>
                      </w:r>
                      <w:r w:rsidRPr="006F27A2">
                        <w:rPr>
                          <w:i/>
                        </w:rPr>
                        <w:t>k</w:t>
                      </w:r>
                      <w:r w:rsidRPr="006F27A2">
                        <w:rPr>
                          <w:vertAlign w:val="subscript"/>
                        </w:rPr>
                        <w:t>2</w:t>
                      </w:r>
                      <w:r>
                        <w:rPr>
                          <w:vertAlign w:val="subscript"/>
                        </w:rPr>
                        <w:t xml:space="preserve"> </w:t>
                      </w:r>
                      <w:r>
                        <w:t>/ (</w:t>
                      </w:r>
                      <w:r w:rsidRPr="006F27A2">
                        <w:rPr>
                          <w:i/>
                        </w:rPr>
                        <w:t>k</w:t>
                      </w:r>
                      <w:r>
                        <w:rPr>
                          <w:vertAlign w:val="subscript"/>
                        </w:rPr>
                        <w:t>1</w:t>
                      </w:r>
                      <w:r>
                        <w:t>+</w:t>
                      </w:r>
                      <w:r w:rsidRPr="006F27A2">
                        <w:rPr>
                          <w:i/>
                        </w:rPr>
                        <w:t>k</w:t>
                      </w:r>
                      <w:r w:rsidRPr="006F27A2">
                        <w:rPr>
                          <w:vertAlign w:val="subscript"/>
                        </w:rPr>
                        <w:t>2</w:t>
                      </w:r>
                      <w:r>
                        <w:t xml:space="preserve">), for formation of </w:t>
                      </w:r>
                      <w:r w:rsidRPr="00323F2C">
                        <w:t xml:space="preserve"> </w:t>
                      </w:r>
                      <w:r w:rsidRPr="006F27A2">
                        <w:t>C</w:t>
                      </w:r>
                      <w:r>
                        <w:rPr>
                          <w:vertAlign w:val="subscript"/>
                        </w:rPr>
                        <w:t>3</w:t>
                      </w:r>
                      <w:r w:rsidRPr="006F27A2">
                        <w:t>H</w:t>
                      </w:r>
                      <w:r>
                        <w:rPr>
                          <w:vertAlign w:val="subscript"/>
                        </w:rPr>
                        <w:t>7</w:t>
                      </w:r>
                      <w:r>
                        <w:t>ON</w:t>
                      </w:r>
                      <w:r w:rsidRPr="006F27A2">
                        <w:t>O</w:t>
                      </w:r>
                      <w:r w:rsidRPr="006F27A2">
                        <w:rPr>
                          <w:vertAlign w:val="subscript"/>
                        </w:rPr>
                        <w:t>2</w:t>
                      </w:r>
                      <w:r>
                        <w:rPr>
                          <w:vertAlign w:val="subscript"/>
                        </w:rPr>
                        <w:t xml:space="preserve"> </w:t>
                      </w:r>
                      <w:r>
                        <w:t xml:space="preserve"> in the reaction between </w:t>
                      </w:r>
                      <w:r w:rsidR="004657BC" w:rsidRPr="004657BC">
                        <w:rPr>
                          <w:i/>
                        </w:rPr>
                        <w:t>i</w:t>
                      </w:r>
                      <w:r w:rsidR="004657BC">
                        <w:noBreakHyphen/>
                      </w:r>
                      <w:r w:rsidR="004657BC" w:rsidRPr="006F27A2">
                        <w:t>C</w:t>
                      </w:r>
                      <w:r w:rsidR="004657BC">
                        <w:rPr>
                          <w:vertAlign w:val="subscript"/>
                        </w:rPr>
                        <w:t>3</w:t>
                      </w:r>
                      <w:r w:rsidR="004657BC" w:rsidRPr="006F27A2">
                        <w:t>H</w:t>
                      </w:r>
                      <w:r w:rsidR="004657BC">
                        <w:rPr>
                          <w:vertAlign w:val="subscript"/>
                        </w:rPr>
                        <w:t>7</w:t>
                      </w:r>
                      <w:r w:rsidR="004657BC" w:rsidRPr="006F27A2">
                        <w:t>O</w:t>
                      </w:r>
                      <w:r w:rsidR="004657BC" w:rsidRPr="006F27A2">
                        <w:rPr>
                          <w:vertAlign w:val="subscript"/>
                        </w:rPr>
                        <w:t>2</w:t>
                      </w:r>
                      <w:r>
                        <w:rPr>
                          <w:vertAlign w:val="subscript"/>
                        </w:rPr>
                        <w:t xml:space="preserve"> </w:t>
                      </w:r>
                      <w:r>
                        <w:t>and NO. The solid lines are derived from the parameterisation given by Carter and Atkinson et al. (1985) multipled by a factor of 1.5.</w:t>
                      </w:r>
                    </w:p>
                  </w:txbxContent>
                </v:textbox>
                <w10:wrap type="topAndBottom"/>
              </v:shape>
            </w:pict>
          </mc:Fallback>
        </mc:AlternateContent>
      </w:r>
    </w:p>
    <w:p w:rsidR="00C32242" w:rsidRDefault="00C32242">
      <w:pPr>
        <w:tabs>
          <w:tab w:val="center" w:pos="4680"/>
          <w:tab w:val="right" w:pos="9360"/>
        </w:tabs>
        <w:jc w:val="both"/>
      </w:pPr>
    </w:p>
    <w:p w:rsidR="00BD268D" w:rsidRDefault="00BD268D">
      <w:pPr>
        <w:tabs>
          <w:tab w:val="center" w:pos="4680"/>
          <w:tab w:val="right" w:pos="9360"/>
        </w:tabs>
        <w:jc w:val="both"/>
      </w:pPr>
    </w:p>
    <w:sectPr w:rsidR="00BD268D">
      <w:pgSz w:w="11906" w:h="16838"/>
      <w:pgMar w:top="1418" w:right="995" w:bottom="1440" w:left="996"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ohit Devanagari">
    <w:altName w:val="MS Mincho"/>
    <w:charset w:val="80"/>
    <w:family w:val="auto"/>
    <w:pitch w:val="default"/>
  </w:font>
  <w:font w:name="Liberation Sans">
    <w:altName w:val="Arial Unicode MS"/>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1"/>
    <w:lvl w:ilvl="0">
      <w:start w:val="1"/>
      <w:numFmt w:val="decimal"/>
      <w:pStyle w:val="JGR-HEAD1"/>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pStyle w:val="JGR-HEAD3"/>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2"/>
    <w:lvl w:ilvl="0">
      <w:start w:val="1"/>
      <w:numFmt w:val="decimal"/>
      <w:pStyle w:val="ListNumber5"/>
      <w:lvlText w:val="%1."/>
      <w:lvlJc w:val="left"/>
      <w:pPr>
        <w:tabs>
          <w:tab w:val="num" w:pos="1492"/>
        </w:tabs>
        <w:ind w:left="1492" w:hanging="360"/>
      </w:pPr>
    </w:lvl>
  </w:abstractNum>
  <w:abstractNum w:abstractNumId="3">
    <w:nsid w:val="00000004"/>
    <w:multiLevelType w:val="singleLevel"/>
    <w:tmpl w:val="00000004"/>
    <w:name w:val="WW8Num3"/>
    <w:lvl w:ilvl="0">
      <w:start w:val="1"/>
      <w:numFmt w:val="decimal"/>
      <w:pStyle w:val="ListNumber4"/>
      <w:lvlText w:val="%1."/>
      <w:lvlJc w:val="left"/>
      <w:pPr>
        <w:tabs>
          <w:tab w:val="num" w:pos="1209"/>
        </w:tabs>
        <w:ind w:left="1209" w:hanging="360"/>
      </w:pPr>
    </w:lvl>
  </w:abstractNum>
  <w:abstractNum w:abstractNumId="4">
    <w:nsid w:val="00000005"/>
    <w:multiLevelType w:val="singleLevel"/>
    <w:tmpl w:val="00000005"/>
    <w:name w:val="WW8Num4"/>
    <w:lvl w:ilvl="0">
      <w:start w:val="1"/>
      <w:numFmt w:val="decimal"/>
      <w:pStyle w:val="ListNumber3"/>
      <w:lvlText w:val="%1."/>
      <w:lvlJc w:val="left"/>
      <w:pPr>
        <w:tabs>
          <w:tab w:val="num" w:pos="926"/>
        </w:tabs>
        <w:ind w:left="926" w:hanging="360"/>
      </w:pPr>
    </w:lvl>
  </w:abstractNum>
  <w:abstractNum w:abstractNumId="5">
    <w:nsid w:val="00000006"/>
    <w:multiLevelType w:val="singleLevel"/>
    <w:tmpl w:val="00000006"/>
    <w:name w:val="WW8Num5"/>
    <w:lvl w:ilvl="0">
      <w:start w:val="1"/>
      <w:numFmt w:val="decimal"/>
      <w:pStyle w:val="ListNumber2"/>
      <w:lvlText w:val="%1."/>
      <w:lvlJc w:val="left"/>
      <w:pPr>
        <w:tabs>
          <w:tab w:val="num" w:pos="643"/>
        </w:tabs>
        <w:ind w:left="643" w:hanging="360"/>
      </w:pPr>
    </w:lvl>
  </w:abstractNum>
  <w:abstractNum w:abstractNumId="6">
    <w:nsid w:val="00000007"/>
    <w:multiLevelType w:val="singleLevel"/>
    <w:tmpl w:val="00000007"/>
    <w:name w:val="WW8Num6"/>
    <w:lvl w:ilvl="0">
      <w:start w:val="1"/>
      <w:numFmt w:val="bullet"/>
      <w:pStyle w:val="ListBullet5"/>
      <w:lvlText w:val=""/>
      <w:lvlJc w:val="left"/>
      <w:pPr>
        <w:tabs>
          <w:tab w:val="num" w:pos="1492"/>
        </w:tabs>
        <w:ind w:left="1492" w:hanging="360"/>
      </w:pPr>
      <w:rPr>
        <w:rFonts w:ascii="Symbol" w:hAnsi="Symbol" w:cs="Symbol"/>
      </w:rPr>
    </w:lvl>
  </w:abstractNum>
  <w:abstractNum w:abstractNumId="7">
    <w:nsid w:val="00000008"/>
    <w:multiLevelType w:val="singleLevel"/>
    <w:tmpl w:val="00000008"/>
    <w:name w:val="WW8Num7"/>
    <w:lvl w:ilvl="0">
      <w:start w:val="1"/>
      <w:numFmt w:val="bullet"/>
      <w:pStyle w:val="ListBullet4"/>
      <w:lvlText w:val=""/>
      <w:lvlJc w:val="left"/>
      <w:pPr>
        <w:tabs>
          <w:tab w:val="num" w:pos="1209"/>
        </w:tabs>
        <w:ind w:left="1209" w:hanging="360"/>
      </w:pPr>
      <w:rPr>
        <w:rFonts w:ascii="Symbol" w:hAnsi="Symbol" w:cs="Symbol"/>
      </w:rPr>
    </w:lvl>
  </w:abstractNum>
  <w:abstractNum w:abstractNumId="8">
    <w:nsid w:val="00000009"/>
    <w:multiLevelType w:val="singleLevel"/>
    <w:tmpl w:val="00000009"/>
    <w:name w:val="WW8Num8"/>
    <w:lvl w:ilvl="0">
      <w:start w:val="1"/>
      <w:numFmt w:val="bullet"/>
      <w:pStyle w:val="ListBullet3"/>
      <w:lvlText w:val=""/>
      <w:lvlJc w:val="left"/>
      <w:pPr>
        <w:tabs>
          <w:tab w:val="num" w:pos="926"/>
        </w:tabs>
        <w:ind w:left="926" w:hanging="360"/>
      </w:pPr>
      <w:rPr>
        <w:rFonts w:ascii="Symbol" w:hAnsi="Symbol" w:cs="Symbol"/>
      </w:rPr>
    </w:lvl>
  </w:abstractNum>
  <w:abstractNum w:abstractNumId="9">
    <w:nsid w:val="0000000A"/>
    <w:multiLevelType w:val="singleLevel"/>
    <w:tmpl w:val="0000000A"/>
    <w:name w:val="WW8Num9"/>
    <w:lvl w:ilvl="0">
      <w:start w:val="1"/>
      <w:numFmt w:val="bullet"/>
      <w:pStyle w:val="ListBullet2"/>
      <w:lvlText w:val=""/>
      <w:lvlJc w:val="left"/>
      <w:pPr>
        <w:tabs>
          <w:tab w:val="num" w:pos="643"/>
        </w:tabs>
        <w:ind w:left="643" w:hanging="360"/>
      </w:pPr>
      <w:rPr>
        <w:rFonts w:ascii="Symbol" w:hAnsi="Symbol" w:cs="Symbol"/>
      </w:rPr>
    </w:lvl>
  </w:abstractNum>
  <w:abstractNum w:abstractNumId="10">
    <w:nsid w:val="0000000B"/>
    <w:multiLevelType w:val="singleLevel"/>
    <w:tmpl w:val="0000000B"/>
    <w:name w:val="WW8Num10"/>
    <w:lvl w:ilvl="0">
      <w:start w:val="1"/>
      <w:numFmt w:val="decimal"/>
      <w:pStyle w:val="ListNumber"/>
      <w:lvlText w:val="%1."/>
      <w:lvlJc w:val="left"/>
      <w:pPr>
        <w:tabs>
          <w:tab w:val="num" w:pos="360"/>
        </w:tabs>
        <w:ind w:left="360" w:hanging="360"/>
      </w:pPr>
    </w:lvl>
  </w:abstractNum>
  <w:abstractNum w:abstractNumId="11">
    <w:nsid w:val="0000000C"/>
    <w:multiLevelType w:val="singleLevel"/>
    <w:tmpl w:val="0000000C"/>
    <w:name w:val="WW8Num11"/>
    <w:lvl w:ilvl="0">
      <w:start w:val="1"/>
      <w:numFmt w:val="bullet"/>
      <w:pStyle w:val="List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2"/>
    <w:lvl w:ilvl="0">
      <w:start w:val="3"/>
      <w:numFmt w:val="lowerLetter"/>
      <w:lvlText w:val="(%1)"/>
      <w:lvlJc w:val="left"/>
      <w:pPr>
        <w:tabs>
          <w:tab w:val="num" w:pos="450"/>
        </w:tabs>
        <w:ind w:left="450" w:hanging="45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3E"/>
    <w:rsid w:val="001E4621"/>
    <w:rsid w:val="00201ECC"/>
    <w:rsid w:val="00213750"/>
    <w:rsid w:val="00252DBF"/>
    <w:rsid w:val="004657BC"/>
    <w:rsid w:val="00471BD5"/>
    <w:rsid w:val="004B2AEE"/>
    <w:rsid w:val="005A383C"/>
    <w:rsid w:val="00634A7A"/>
    <w:rsid w:val="00766DD5"/>
    <w:rsid w:val="00772A66"/>
    <w:rsid w:val="00814D7E"/>
    <w:rsid w:val="008714F5"/>
    <w:rsid w:val="009266A5"/>
    <w:rsid w:val="00B02BFF"/>
    <w:rsid w:val="00B7503E"/>
    <w:rsid w:val="00BD268D"/>
    <w:rsid w:val="00C32242"/>
    <w:rsid w:val="00CB79F9"/>
    <w:rsid w:val="00D81B85"/>
    <w:rsid w:val="00D821FB"/>
    <w:rsid w:val="00F76BA0"/>
    <w:rsid w:val="00FB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lang w:eastAsia="zh-CN"/>
    </w:rPr>
  </w:style>
  <w:style w:type="paragraph" w:styleId="Heading1">
    <w:name w:val="heading 1"/>
    <w:basedOn w:val="Normal"/>
    <w:next w:val="Normal"/>
    <w:qFormat/>
    <w:pPr>
      <w:keepNext/>
      <w:tabs>
        <w:tab w:val="left" w:pos="9356"/>
      </w:tabs>
      <w:ind w:right="396"/>
      <w:outlineLvl w:val="0"/>
    </w:pPr>
    <w:rPr>
      <w:i/>
      <w:iCs/>
    </w:rPr>
  </w:style>
  <w:style w:type="paragraph" w:styleId="Heading2">
    <w:name w:val="heading 2"/>
    <w:basedOn w:val="Normal"/>
    <w:next w:val="Normal"/>
    <w:qFormat/>
    <w:pPr>
      <w:keepNext/>
      <w:tabs>
        <w:tab w:val="center" w:pos="4680"/>
        <w:tab w:val="left" w:pos="4867"/>
        <w:tab w:val="left" w:pos="7982"/>
        <w:tab w:val="left" w:pos="8395"/>
        <w:tab w:val="left" w:pos="8812"/>
      </w:tabs>
      <w:jc w:val="center"/>
      <w:outlineLvl w:val="1"/>
    </w:pPr>
    <w:rPr>
      <w:b/>
    </w:rPr>
  </w:style>
  <w:style w:type="paragraph" w:styleId="Heading3">
    <w:name w:val="heading 3"/>
    <w:basedOn w:val="Normal"/>
    <w:next w:val="Normal"/>
    <w:qFormat/>
    <w:pPr>
      <w:keepNext/>
      <w:tabs>
        <w:tab w:val="center" w:pos="4680"/>
      </w:tabs>
      <w:jc w:val="center"/>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356"/>
      </w:tabs>
      <w:ind w:right="-108"/>
      <w:outlineLvl w:val="6"/>
    </w:pPr>
    <w:rPr>
      <w:i/>
      <w:iC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2z0">
    <w:name w:val="WW8Num12z0"/>
  </w:style>
  <w:style w:type="character" w:customStyle="1" w:styleId="Absatz-Standardschriftart">
    <w:name w:val="Absatz-Standardschriftart"/>
  </w:style>
  <w:style w:type="character" w:customStyle="1" w:styleId="WW8Num15z0">
    <w:name w:val="WW8Num15z0"/>
    <w:rPr>
      <w:strike w:val="0"/>
      <w:dstrike w:val="0"/>
      <w:vertAlign w:val="superscript"/>
    </w:rPr>
  </w:style>
  <w:style w:type="character" w:customStyle="1" w:styleId="WW8Num17z0">
    <w:name w:val="WW8Num17z0"/>
    <w:rPr>
      <w:strike w:val="0"/>
      <w:dstrike w:val="0"/>
      <w:vertAlign w:val="superscript"/>
    </w:rPr>
  </w:style>
  <w:style w:type="character" w:styleId="Hyperlink">
    <w:name w:val="Hyperlink"/>
    <w:rPr>
      <w:color w:val="0000FF"/>
      <w:u w:val="single"/>
    </w:rPr>
  </w:style>
  <w:style w:type="character" w:customStyle="1" w:styleId="HiddenText">
    <w:name w:val="Hidden Text"/>
    <w:rPr>
      <w:rFonts w:ascii="Times" w:hAnsi="Times" w:cs="Times"/>
      <w:vanish/>
      <w:sz w:val="20"/>
    </w:rPr>
  </w:style>
  <w:style w:type="character" w:customStyle="1" w:styleId="redtext">
    <w:name w:val="red_text"/>
    <w:rPr>
      <w:rFonts w:ascii="Times New Roman" w:hAnsi="Times New Roman" w:cs="Times New Roman"/>
      <w:color w:val="FF0000"/>
      <w:sz w:val="24"/>
    </w:rPr>
  </w:style>
  <w:style w:type="paragraph" w:customStyle="1" w:styleId="Titre">
    <w:name w:val="Titre"/>
    <w:basedOn w:val="Normal"/>
    <w:next w:val="Subtitle"/>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bCs/>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2"/>
      </w:numPr>
    </w:pPr>
  </w:style>
  <w:style w:type="paragraph" w:styleId="ListBullet2">
    <w:name w:val="List Bullet 2"/>
    <w:basedOn w:val="Normal"/>
    <w:pPr>
      <w:numPr>
        <w:numId w:val="10"/>
      </w:numPr>
    </w:pPr>
  </w:style>
  <w:style w:type="paragraph" w:styleId="ListBullet3">
    <w:name w:val="List Bullet 3"/>
    <w:basedOn w:val="Normal"/>
    <w:pPr>
      <w:numPr>
        <w:numId w:val="9"/>
      </w:numPr>
    </w:pPr>
  </w:style>
  <w:style w:type="paragraph" w:styleId="ListBullet4">
    <w:name w:val="List Bullet 4"/>
    <w:basedOn w:val="Normal"/>
    <w:pPr>
      <w:numPr>
        <w:numId w:val="8"/>
      </w:numPr>
    </w:pPr>
  </w:style>
  <w:style w:type="paragraph" w:styleId="ListBullet5">
    <w:name w:val="List Bullet 5"/>
    <w:basedOn w:val="Normal"/>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6"/>
      </w:numPr>
    </w:pPr>
  </w:style>
  <w:style w:type="paragraph" w:styleId="ListNumber3">
    <w:name w:val="List Number 3"/>
    <w:basedOn w:val="Normal"/>
    <w:pPr>
      <w:numPr>
        <w:numId w:val="5"/>
      </w:numPr>
    </w:pPr>
  </w:style>
  <w:style w:type="paragraph" w:styleId="ListNumber4">
    <w:name w:val="List Number 4"/>
    <w:basedOn w:val="Normal"/>
    <w:pPr>
      <w:numPr>
        <w:numId w:val="4"/>
      </w:numPr>
    </w:pPr>
  </w:style>
  <w:style w:type="paragraph" w:styleId="ListNumber5">
    <w:name w:val="List Number 5"/>
    <w:basedOn w:val="Normal"/>
    <w:pPr>
      <w:numPr>
        <w:numId w:val="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zh-C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Title1">
    <w:name w:val="Title1"/>
    <w:basedOn w:val="Heading1"/>
    <w:next w:val="Normal"/>
    <w:pPr>
      <w:pBdr>
        <w:top w:val="single" w:sz="8" w:space="1" w:color="000000"/>
        <w:left w:val="single" w:sz="8" w:space="1" w:color="000000"/>
        <w:bottom w:val="single" w:sz="8" w:space="1" w:color="000000"/>
        <w:right w:val="single" w:sz="8" w:space="1" w:color="000000"/>
      </w:pBdr>
      <w:tabs>
        <w:tab w:val="clear" w:pos="9356"/>
      </w:tabs>
      <w:overflowPunct/>
      <w:autoSpaceDE/>
      <w:spacing w:before="240" w:after="60" w:line="480" w:lineRule="auto"/>
      <w:ind w:right="4309"/>
      <w:jc w:val="both"/>
      <w:textAlignment w:val="auto"/>
    </w:pPr>
    <w:rPr>
      <w:rFonts w:ascii="Times" w:hAnsi="Times" w:cs="Times"/>
      <w:b/>
      <w:caps/>
      <w:kern w:val="1"/>
    </w:rPr>
  </w:style>
  <w:style w:type="paragraph" w:customStyle="1" w:styleId="Style1">
    <w:name w:val="Style1"/>
    <w:pPr>
      <w:suppressAutoHyphens/>
      <w:spacing w:before="360" w:after="120"/>
    </w:pPr>
    <w:rPr>
      <w:rFonts w:eastAsia="Arial"/>
      <w:b/>
      <w:sz w:val="28"/>
      <w:lang w:val="en-US"/>
    </w:rPr>
  </w:style>
  <w:style w:type="paragraph" w:customStyle="1" w:styleId="Justified">
    <w:name w:val="Justified"/>
    <w:basedOn w:val="Normal"/>
    <w:pPr>
      <w:overflowPunct/>
      <w:autoSpaceDE/>
      <w:spacing w:after="100" w:line="360" w:lineRule="auto"/>
      <w:jc w:val="both"/>
      <w:textAlignment w:val="auto"/>
    </w:pPr>
    <w:rPr>
      <w:lang w:val="en-US"/>
    </w:rPr>
  </w:style>
  <w:style w:type="paragraph" w:customStyle="1" w:styleId="Centeredtext">
    <w:name w:val="Centered text"/>
    <w:pPr>
      <w:suppressAutoHyphens/>
      <w:spacing w:before="120" w:after="120" w:line="480" w:lineRule="exact"/>
      <w:jc w:val="center"/>
    </w:pPr>
    <w:rPr>
      <w:rFonts w:ascii="Times" w:eastAsia="Arial" w:hAnsi="Times"/>
      <w:sz w:val="24"/>
      <w:lang w:eastAsia="zh-CN"/>
    </w:rPr>
  </w:style>
  <w:style w:type="paragraph" w:customStyle="1" w:styleId="Reactions">
    <w:name w:val="Reactions"/>
    <w:pPr>
      <w:tabs>
        <w:tab w:val="left" w:pos="1296"/>
        <w:tab w:val="left" w:pos="4320"/>
        <w:tab w:val="right" w:pos="8641"/>
      </w:tabs>
      <w:suppressAutoHyphens/>
      <w:spacing w:before="72" w:after="72" w:line="336" w:lineRule="exact"/>
    </w:pPr>
    <w:rPr>
      <w:rFonts w:ascii="Times" w:eastAsia="Arial" w:hAnsi="Times"/>
      <w:sz w:val="24"/>
      <w:lang w:eastAsia="zh-CN"/>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paragraph" w:customStyle="1" w:styleId="Style2">
    <w:name w:val="Style2"/>
    <w:basedOn w:val="Normal"/>
    <w:pPr>
      <w:overflowPunct/>
      <w:autoSpaceDE/>
      <w:spacing w:line="360" w:lineRule="auto"/>
      <w:textAlignment w:val="auto"/>
    </w:pPr>
    <w:rPr>
      <w:color w:val="FF0000"/>
    </w:rPr>
  </w:style>
  <w:style w:type="paragraph" w:customStyle="1" w:styleId="JGR-text">
    <w:name w:val="JGR-text"/>
    <w:basedOn w:val="Normal"/>
    <w:pPr>
      <w:tabs>
        <w:tab w:val="left" w:pos="215"/>
      </w:tabs>
      <w:overflowPunct/>
      <w:autoSpaceDE/>
      <w:spacing w:after="100" w:line="220" w:lineRule="exact"/>
      <w:ind w:right="4876"/>
      <w:jc w:val="both"/>
      <w:textAlignment w:val="auto"/>
    </w:pPr>
    <w:rPr>
      <w:sz w:val="19"/>
      <w:lang w:val="en-US"/>
    </w:rPr>
  </w:style>
  <w:style w:type="paragraph" w:customStyle="1" w:styleId="JGR-HEAD1">
    <w:name w:val="JGR-HEAD1"/>
    <w:basedOn w:val="Heading1"/>
    <w:pPr>
      <w:numPr>
        <w:numId w:val="2"/>
      </w:numPr>
      <w:tabs>
        <w:tab w:val="clear" w:pos="9356"/>
      </w:tabs>
      <w:overflowPunct/>
      <w:autoSpaceDE/>
      <w:spacing w:before="290" w:after="120" w:line="240" w:lineRule="exact"/>
      <w:ind w:right="0"/>
      <w:textAlignment w:val="auto"/>
    </w:pPr>
    <w:rPr>
      <w:b/>
      <w:i w:val="0"/>
      <w:kern w:val="1"/>
      <w:lang w:val="en-US"/>
    </w:rPr>
  </w:style>
  <w:style w:type="paragraph" w:customStyle="1" w:styleId="JGR-EQN">
    <w:name w:val="JGR-EQN"/>
    <w:basedOn w:val="Reactions"/>
    <w:pPr>
      <w:spacing w:before="120" w:after="120" w:line="220" w:lineRule="exact"/>
      <w:ind w:right="4876"/>
    </w:pPr>
    <w:rPr>
      <w:rFonts w:ascii="Times New Roman" w:hAnsi="Times New Roman"/>
      <w:sz w:val="19"/>
      <w:lang w:val="en-US"/>
    </w:rPr>
  </w:style>
  <w:style w:type="paragraph" w:customStyle="1" w:styleId="JGR-REFs">
    <w:name w:val="JGR-REFs"/>
    <w:basedOn w:val="Normal"/>
    <w:pPr>
      <w:tabs>
        <w:tab w:val="left" w:pos="0"/>
        <w:tab w:val="left" w:pos="215"/>
        <w:tab w:val="left" w:pos="964"/>
      </w:tabs>
      <w:overflowPunct/>
      <w:autoSpaceDE/>
      <w:spacing w:after="100" w:line="180" w:lineRule="exact"/>
      <w:ind w:left="215" w:right="4876" w:hanging="215"/>
      <w:jc w:val="both"/>
      <w:textAlignment w:val="auto"/>
    </w:pPr>
    <w:rPr>
      <w:sz w:val="17"/>
      <w:lang w:val="en-US"/>
    </w:rPr>
  </w:style>
  <w:style w:type="paragraph" w:customStyle="1" w:styleId="JGR-HEAD3">
    <w:name w:val="JGR-HEAD3"/>
    <w:basedOn w:val="Heading3"/>
    <w:pPr>
      <w:numPr>
        <w:ilvl w:val="2"/>
        <w:numId w:val="2"/>
      </w:numPr>
      <w:tabs>
        <w:tab w:val="clear" w:pos="4680"/>
      </w:tabs>
      <w:overflowPunct/>
      <w:autoSpaceDE/>
      <w:spacing w:before="240" w:after="60" w:line="220" w:lineRule="exact"/>
      <w:ind w:right="4876"/>
      <w:jc w:val="left"/>
      <w:textAlignment w:val="auto"/>
    </w:pPr>
    <w:rPr>
      <w:sz w:val="19"/>
      <w:vertAlign w:val="subscript"/>
    </w:rPr>
  </w:style>
  <w:style w:type="paragraph" w:customStyle="1" w:styleId="table">
    <w:name w:val="table"/>
    <w:basedOn w:val="TOC1"/>
    <w:pPr>
      <w:tabs>
        <w:tab w:val="left" w:pos="480"/>
        <w:tab w:val="left" w:pos="567"/>
        <w:tab w:val="left" w:pos="7938"/>
      </w:tabs>
      <w:overflowPunct/>
      <w:autoSpaceDE/>
      <w:textAlignment w:val="auto"/>
    </w:pPr>
    <w:rPr>
      <w:caps/>
      <w:lang w:eastAsia="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Title">
    <w:name w:val="Title"/>
    <w:basedOn w:val="Titre"/>
    <w:next w:val="BodyText"/>
    <w:qFormat/>
    <w:rPr>
      <w:sz w:val="56"/>
      <w:szCs w:val="56"/>
    </w:rPr>
  </w:style>
  <w:style w:type="character" w:styleId="PlaceholderText">
    <w:name w:val="Placeholder Text"/>
    <w:basedOn w:val="DefaultParagraphFont"/>
    <w:uiPriority w:val="99"/>
    <w:semiHidden/>
    <w:rsid w:val="004B2AEE"/>
    <w:rPr>
      <w:color w:val="808080"/>
    </w:rPr>
  </w:style>
  <w:style w:type="paragraph" w:styleId="BalloonText">
    <w:name w:val="Balloon Text"/>
    <w:basedOn w:val="Normal"/>
    <w:link w:val="BalloonTextChar"/>
    <w:uiPriority w:val="99"/>
    <w:semiHidden/>
    <w:unhideWhenUsed/>
    <w:rsid w:val="004B2AEE"/>
    <w:rPr>
      <w:rFonts w:ascii="Tahoma" w:hAnsi="Tahoma" w:cs="Tahoma"/>
      <w:sz w:val="16"/>
      <w:szCs w:val="16"/>
    </w:rPr>
  </w:style>
  <w:style w:type="character" w:customStyle="1" w:styleId="BalloonTextChar">
    <w:name w:val="Balloon Text Char"/>
    <w:basedOn w:val="DefaultParagraphFont"/>
    <w:link w:val="BalloonText"/>
    <w:uiPriority w:val="99"/>
    <w:semiHidden/>
    <w:rsid w:val="004B2AE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lang w:eastAsia="zh-CN"/>
    </w:rPr>
  </w:style>
  <w:style w:type="paragraph" w:styleId="Heading1">
    <w:name w:val="heading 1"/>
    <w:basedOn w:val="Normal"/>
    <w:next w:val="Normal"/>
    <w:qFormat/>
    <w:pPr>
      <w:keepNext/>
      <w:tabs>
        <w:tab w:val="left" w:pos="9356"/>
      </w:tabs>
      <w:ind w:right="396"/>
      <w:outlineLvl w:val="0"/>
    </w:pPr>
    <w:rPr>
      <w:i/>
      <w:iCs/>
    </w:rPr>
  </w:style>
  <w:style w:type="paragraph" w:styleId="Heading2">
    <w:name w:val="heading 2"/>
    <w:basedOn w:val="Normal"/>
    <w:next w:val="Normal"/>
    <w:qFormat/>
    <w:pPr>
      <w:keepNext/>
      <w:tabs>
        <w:tab w:val="center" w:pos="4680"/>
        <w:tab w:val="left" w:pos="4867"/>
        <w:tab w:val="left" w:pos="7982"/>
        <w:tab w:val="left" w:pos="8395"/>
        <w:tab w:val="left" w:pos="8812"/>
      </w:tabs>
      <w:jc w:val="center"/>
      <w:outlineLvl w:val="1"/>
    </w:pPr>
    <w:rPr>
      <w:b/>
    </w:rPr>
  </w:style>
  <w:style w:type="paragraph" w:styleId="Heading3">
    <w:name w:val="heading 3"/>
    <w:basedOn w:val="Normal"/>
    <w:next w:val="Normal"/>
    <w:qFormat/>
    <w:pPr>
      <w:keepNext/>
      <w:tabs>
        <w:tab w:val="center" w:pos="4680"/>
      </w:tabs>
      <w:jc w:val="center"/>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356"/>
      </w:tabs>
      <w:ind w:right="-108"/>
      <w:outlineLvl w:val="6"/>
    </w:pPr>
    <w:rPr>
      <w:i/>
      <w:iC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2z0">
    <w:name w:val="WW8Num12z0"/>
  </w:style>
  <w:style w:type="character" w:customStyle="1" w:styleId="Absatz-Standardschriftart">
    <w:name w:val="Absatz-Standardschriftart"/>
  </w:style>
  <w:style w:type="character" w:customStyle="1" w:styleId="WW8Num15z0">
    <w:name w:val="WW8Num15z0"/>
    <w:rPr>
      <w:strike w:val="0"/>
      <w:dstrike w:val="0"/>
      <w:vertAlign w:val="superscript"/>
    </w:rPr>
  </w:style>
  <w:style w:type="character" w:customStyle="1" w:styleId="WW8Num17z0">
    <w:name w:val="WW8Num17z0"/>
    <w:rPr>
      <w:strike w:val="0"/>
      <w:dstrike w:val="0"/>
      <w:vertAlign w:val="superscript"/>
    </w:rPr>
  </w:style>
  <w:style w:type="character" w:styleId="Hyperlink">
    <w:name w:val="Hyperlink"/>
    <w:rPr>
      <w:color w:val="0000FF"/>
      <w:u w:val="single"/>
    </w:rPr>
  </w:style>
  <w:style w:type="character" w:customStyle="1" w:styleId="HiddenText">
    <w:name w:val="Hidden Text"/>
    <w:rPr>
      <w:rFonts w:ascii="Times" w:hAnsi="Times" w:cs="Times"/>
      <w:vanish/>
      <w:sz w:val="20"/>
    </w:rPr>
  </w:style>
  <w:style w:type="character" w:customStyle="1" w:styleId="redtext">
    <w:name w:val="red_text"/>
    <w:rPr>
      <w:rFonts w:ascii="Times New Roman" w:hAnsi="Times New Roman" w:cs="Times New Roman"/>
      <w:color w:val="FF0000"/>
      <w:sz w:val="24"/>
    </w:rPr>
  </w:style>
  <w:style w:type="paragraph" w:customStyle="1" w:styleId="Titre">
    <w:name w:val="Titre"/>
    <w:basedOn w:val="Normal"/>
    <w:next w:val="Subtitle"/>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bCs/>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2"/>
      </w:numPr>
    </w:pPr>
  </w:style>
  <w:style w:type="paragraph" w:styleId="ListBullet2">
    <w:name w:val="List Bullet 2"/>
    <w:basedOn w:val="Normal"/>
    <w:pPr>
      <w:numPr>
        <w:numId w:val="10"/>
      </w:numPr>
    </w:pPr>
  </w:style>
  <w:style w:type="paragraph" w:styleId="ListBullet3">
    <w:name w:val="List Bullet 3"/>
    <w:basedOn w:val="Normal"/>
    <w:pPr>
      <w:numPr>
        <w:numId w:val="9"/>
      </w:numPr>
    </w:pPr>
  </w:style>
  <w:style w:type="paragraph" w:styleId="ListBullet4">
    <w:name w:val="List Bullet 4"/>
    <w:basedOn w:val="Normal"/>
    <w:pPr>
      <w:numPr>
        <w:numId w:val="8"/>
      </w:numPr>
    </w:pPr>
  </w:style>
  <w:style w:type="paragraph" w:styleId="ListBullet5">
    <w:name w:val="List Bullet 5"/>
    <w:basedOn w:val="Normal"/>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6"/>
      </w:numPr>
    </w:pPr>
  </w:style>
  <w:style w:type="paragraph" w:styleId="ListNumber3">
    <w:name w:val="List Number 3"/>
    <w:basedOn w:val="Normal"/>
    <w:pPr>
      <w:numPr>
        <w:numId w:val="5"/>
      </w:numPr>
    </w:pPr>
  </w:style>
  <w:style w:type="paragraph" w:styleId="ListNumber4">
    <w:name w:val="List Number 4"/>
    <w:basedOn w:val="Normal"/>
    <w:pPr>
      <w:numPr>
        <w:numId w:val="4"/>
      </w:numPr>
    </w:pPr>
  </w:style>
  <w:style w:type="paragraph" w:styleId="ListNumber5">
    <w:name w:val="List Number 5"/>
    <w:basedOn w:val="Normal"/>
    <w:pPr>
      <w:numPr>
        <w:numId w:val="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zh-C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Title1">
    <w:name w:val="Title1"/>
    <w:basedOn w:val="Heading1"/>
    <w:next w:val="Normal"/>
    <w:pPr>
      <w:pBdr>
        <w:top w:val="single" w:sz="8" w:space="1" w:color="000000"/>
        <w:left w:val="single" w:sz="8" w:space="1" w:color="000000"/>
        <w:bottom w:val="single" w:sz="8" w:space="1" w:color="000000"/>
        <w:right w:val="single" w:sz="8" w:space="1" w:color="000000"/>
      </w:pBdr>
      <w:tabs>
        <w:tab w:val="clear" w:pos="9356"/>
      </w:tabs>
      <w:overflowPunct/>
      <w:autoSpaceDE/>
      <w:spacing w:before="240" w:after="60" w:line="480" w:lineRule="auto"/>
      <w:ind w:right="4309"/>
      <w:jc w:val="both"/>
      <w:textAlignment w:val="auto"/>
    </w:pPr>
    <w:rPr>
      <w:rFonts w:ascii="Times" w:hAnsi="Times" w:cs="Times"/>
      <w:b/>
      <w:caps/>
      <w:kern w:val="1"/>
    </w:rPr>
  </w:style>
  <w:style w:type="paragraph" w:customStyle="1" w:styleId="Style1">
    <w:name w:val="Style1"/>
    <w:pPr>
      <w:suppressAutoHyphens/>
      <w:spacing w:before="360" w:after="120"/>
    </w:pPr>
    <w:rPr>
      <w:rFonts w:eastAsia="Arial"/>
      <w:b/>
      <w:sz w:val="28"/>
      <w:lang w:val="en-US"/>
    </w:rPr>
  </w:style>
  <w:style w:type="paragraph" w:customStyle="1" w:styleId="Justified">
    <w:name w:val="Justified"/>
    <w:basedOn w:val="Normal"/>
    <w:pPr>
      <w:overflowPunct/>
      <w:autoSpaceDE/>
      <w:spacing w:after="100" w:line="360" w:lineRule="auto"/>
      <w:jc w:val="both"/>
      <w:textAlignment w:val="auto"/>
    </w:pPr>
    <w:rPr>
      <w:lang w:val="en-US"/>
    </w:rPr>
  </w:style>
  <w:style w:type="paragraph" w:customStyle="1" w:styleId="Centeredtext">
    <w:name w:val="Centered text"/>
    <w:pPr>
      <w:suppressAutoHyphens/>
      <w:spacing w:before="120" w:after="120" w:line="480" w:lineRule="exact"/>
      <w:jc w:val="center"/>
    </w:pPr>
    <w:rPr>
      <w:rFonts w:ascii="Times" w:eastAsia="Arial" w:hAnsi="Times"/>
      <w:sz w:val="24"/>
      <w:lang w:eastAsia="zh-CN"/>
    </w:rPr>
  </w:style>
  <w:style w:type="paragraph" w:customStyle="1" w:styleId="Reactions">
    <w:name w:val="Reactions"/>
    <w:pPr>
      <w:tabs>
        <w:tab w:val="left" w:pos="1296"/>
        <w:tab w:val="left" w:pos="4320"/>
        <w:tab w:val="right" w:pos="8641"/>
      </w:tabs>
      <w:suppressAutoHyphens/>
      <w:spacing w:before="72" w:after="72" w:line="336" w:lineRule="exact"/>
    </w:pPr>
    <w:rPr>
      <w:rFonts w:ascii="Times" w:eastAsia="Arial" w:hAnsi="Times"/>
      <w:sz w:val="24"/>
      <w:lang w:eastAsia="zh-CN"/>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paragraph" w:customStyle="1" w:styleId="Style2">
    <w:name w:val="Style2"/>
    <w:basedOn w:val="Normal"/>
    <w:pPr>
      <w:overflowPunct/>
      <w:autoSpaceDE/>
      <w:spacing w:line="360" w:lineRule="auto"/>
      <w:textAlignment w:val="auto"/>
    </w:pPr>
    <w:rPr>
      <w:color w:val="FF0000"/>
    </w:rPr>
  </w:style>
  <w:style w:type="paragraph" w:customStyle="1" w:styleId="JGR-text">
    <w:name w:val="JGR-text"/>
    <w:basedOn w:val="Normal"/>
    <w:pPr>
      <w:tabs>
        <w:tab w:val="left" w:pos="215"/>
      </w:tabs>
      <w:overflowPunct/>
      <w:autoSpaceDE/>
      <w:spacing w:after="100" w:line="220" w:lineRule="exact"/>
      <w:ind w:right="4876"/>
      <w:jc w:val="both"/>
      <w:textAlignment w:val="auto"/>
    </w:pPr>
    <w:rPr>
      <w:sz w:val="19"/>
      <w:lang w:val="en-US"/>
    </w:rPr>
  </w:style>
  <w:style w:type="paragraph" w:customStyle="1" w:styleId="JGR-HEAD1">
    <w:name w:val="JGR-HEAD1"/>
    <w:basedOn w:val="Heading1"/>
    <w:pPr>
      <w:numPr>
        <w:numId w:val="2"/>
      </w:numPr>
      <w:tabs>
        <w:tab w:val="clear" w:pos="9356"/>
      </w:tabs>
      <w:overflowPunct/>
      <w:autoSpaceDE/>
      <w:spacing w:before="290" w:after="120" w:line="240" w:lineRule="exact"/>
      <w:ind w:right="0"/>
      <w:textAlignment w:val="auto"/>
    </w:pPr>
    <w:rPr>
      <w:b/>
      <w:i w:val="0"/>
      <w:kern w:val="1"/>
      <w:lang w:val="en-US"/>
    </w:rPr>
  </w:style>
  <w:style w:type="paragraph" w:customStyle="1" w:styleId="JGR-EQN">
    <w:name w:val="JGR-EQN"/>
    <w:basedOn w:val="Reactions"/>
    <w:pPr>
      <w:spacing w:before="120" w:after="120" w:line="220" w:lineRule="exact"/>
      <w:ind w:right="4876"/>
    </w:pPr>
    <w:rPr>
      <w:rFonts w:ascii="Times New Roman" w:hAnsi="Times New Roman"/>
      <w:sz w:val="19"/>
      <w:lang w:val="en-US"/>
    </w:rPr>
  </w:style>
  <w:style w:type="paragraph" w:customStyle="1" w:styleId="JGR-REFs">
    <w:name w:val="JGR-REFs"/>
    <w:basedOn w:val="Normal"/>
    <w:pPr>
      <w:tabs>
        <w:tab w:val="left" w:pos="0"/>
        <w:tab w:val="left" w:pos="215"/>
        <w:tab w:val="left" w:pos="964"/>
      </w:tabs>
      <w:overflowPunct/>
      <w:autoSpaceDE/>
      <w:spacing w:after="100" w:line="180" w:lineRule="exact"/>
      <w:ind w:left="215" w:right="4876" w:hanging="215"/>
      <w:jc w:val="both"/>
      <w:textAlignment w:val="auto"/>
    </w:pPr>
    <w:rPr>
      <w:sz w:val="17"/>
      <w:lang w:val="en-US"/>
    </w:rPr>
  </w:style>
  <w:style w:type="paragraph" w:customStyle="1" w:styleId="JGR-HEAD3">
    <w:name w:val="JGR-HEAD3"/>
    <w:basedOn w:val="Heading3"/>
    <w:pPr>
      <w:numPr>
        <w:ilvl w:val="2"/>
        <w:numId w:val="2"/>
      </w:numPr>
      <w:tabs>
        <w:tab w:val="clear" w:pos="4680"/>
      </w:tabs>
      <w:overflowPunct/>
      <w:autoSpaceDE/>
      <w:spacing w:before="240" w:after="60" w:line="220" w:lineRule="exact"/>
      <w:ind w:right="4876"/>
      <w:jc w:val="left"/>
      <w:textAlignment w:val="auto"/>
    </w:pPr>
    <w:rPr>
      <w:sz w:val="19"/>
      <w:vertAlign w:val="subscript"/>
    </w:rPr>
  </w:style>
  <w:style w:type="paragraph" w:customStyle="1" w:styleId="table">
    <w:name w:val="table"/>
    <w:basedOn w:val="TOC1"/>
    <w:pPr>
      <w:tabs>
        <w:tab w:val="left" w:pos="480"/>
        <w:tab w:val="left" w:pos="567"/>
        <w:tab w:val="left" w:pos="7938"/>
      </w:tabs>
      <w:overflowPunct/>
      <w:autoSpaceDE/>
      <w:textAlignment w:val="auto"/>
    </w:pPr>
    <w:rPr>
      <w:caps/>
      <w:lang w:eastAsia="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Title">
    <w:name w:val="Title"/>
    <w:basedOn w:val="Titre"/>
    <w:next w:val="BodyText"/>
    <w:qFormat/>
    <w:rPr>
      <w:sz w:val="56"/>
      <w:szCs w:val="56"/>
    </w:rPr>
  </w:style>
  <w:style w:type="character" w:styleId="PlaceholderText">
    <w:name w:val="Placeholder Text"/>
    <w:basedOn w:val="DefaultParagraphFont"/>
    <w:uiPriority w:val="99"/>
    <w:semiHidden/>
    <w:rsid w:val="004B2AEE"/>
    <w:rPr>
      <w:color w:val="808080"/>
    </w:rPr>
  </w:style>
  <w:style w:type="paragraph" w:styleId="BalloonText">
    <w:name w:val="Balloon Text"/>
    <w:basedOn w:val="Normal"/>
    <w:link w:val="BalloonTextChar"/>
    <w:uiPriority w:val="99"/>
    <w:semiHidden/>
    <w:unhideWhenUsed/>
    <w:rsid w:val="004B2AEE"/>
    <w:rPr>
      <w:rFonts w:ascii="Tahoma" w:hAnsi="Tahoma" w:cs="Tahoma"/>
      <w:sz w:val="16"/>
      <w:szCs w:val="16"/>
    </w:rPr>
  </w:style>
  <w:style w:type="character" w:customStyle="1" w:styleId="BalloonTextChar">
    <w:name w:val="Balloon Text Char"/>
    <w:basedOn w:val="DefaultParagraphFont"/>
    <w:link w:val="BalloonText"/>
    <w:uiPriority w:val="99"/>
    <w:semiHidden/>
    <w:rsid w:val="004B2AE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AA4BC23-868D-4890-A70D-1E3E7D68742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ROO_5</vt:lpstr>
    </vt:vector>
  </TitlesOfParts>
  <Company>Microsoft</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ROO_5</dc:title>
  <dc:creator>D.L. Baulch.</dc:creator>
  <cp:lastModifiedBy>Crowley</cp:lastModifiedBy>
  <cp:revision>12</cp:revision>
  <cp:lastPrinted>2018-08-31T07:37:00Z</cp:lastPrinted>
  <dcterms:created xsi:type="dcterms:W3CDTF">2018-06-04T13:15:00Z</dcterms:created>
  <dcterms:modified xsi:type="dcterms:W3CDTF">2018-09-19T11:04:00Z</dcterms:modified>
</cp:coreProperties>
</file>