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11CC" w:rsidRDefault="001611CC">
      <w:pPr>
        <w:pStyle w:val="Heading1"/>
        <w:ind w:left="170" w:right="0"/>
      </w:pPr>
      <w:bookmarkStart w:id="0" w:name="_GoBack"/>
      <w:bookmarkEnd w:id="0"/>
      <w:r>
        <w:rPr>
          <w:b/>
          <w:bCs/>
          <w:i w:val="0"/>
          <w:iCs w:val="0"/>
          <w:sz w:val="28"/>
          <w:szCs w:val="28"/>
        </w:rPr>
        <w:t>IUPAC Task Group on Atmospheric Chemical Kinetic Data Evaluation – Data Sheet ROO_2</w:t>
      </w:r>
    </w:p>
    <w:p w:rsidR="00DC4A3E" w:rsidRDefault="00DC4A3E" w:rsidP="00DC4A3E">
      <w:pPr>
        <w:ind w:left="170" w:right="397"/>
        <w:jc w:val="both"/>
      </w:pPr>
      <w:r>
        <w:t>Datasheets can be downloaded for personal use only and must not be retransmitted or disseminated either electronically or in hardcopy without explicit written permission. The citation for this data sheet is: IUPAC Task Group on Atmospheric Chemical Kinetic Data Evaluation, (http://iupac.pole-ether.fr).</w:t>
      </w:r>
    </w:p>
    <w:p w:rsidR="001611CC" w:rsidRDefault="00DC4A3E" w:rsidP="00DC4A3E">
      <w:pPr>
        <w:ind w:left="170" w:right="397"/>
        <w:jc w:val="both"/>
      </w:pPr>
      <w:r>
        <w:t xml:space="preserve">This datasheet last evaluated: June 2018; last change in preferred values: </w:t>
      </w:r>
      <w:r w:rsidR="00D847A2">
        <w:t xml:space="preserve">June </w:t>
      </w:r>
      <w:r w:rsidR="009777F9" w:rsidRPr="00E33E36">
        <w:rPr>
          <w:color w:val="000000"/>
        </w:rPr>
        <w:t>2018</w:t>
      </w:r>
      <w:r w:rsidR="00D1541E" w:rsidRPr="00E33E36">
        <w:rPr>
          <w:color w:val="000000"/>
        </w:rPr>
        <w:t>.</w:t>
      </w:r>
    </w:p>
    <w:p w:rsidR="001611CC" w:rsidRDefault="00834CFD">
      <w:pPr>
        <w:jc w:val="both"/>
        <w:rPr>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-632460</wp:posOffset>
                </wp:positionH>
                <wp:positionV relativeFrom="paragraph">
                  <wp:posOffset>173355</wp:posOffset>
                </wp:positionV>
                <wp:extent cx="755967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96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3.65pt" to="545.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" strokeweight=".26mm">
                <v:stroke joinstyle="miter" endcap="square"/>
              </v:line>
            </w:pict>
          </mc:Fallback>
        </mc:AlternateContent>
      </w:r>
    </w:p>
    <w:p w:rsidR="001611CC" w:rsidRDefault="001611CC">
      <w:pPr>
        <w:tabs>
          <w:tab w:val="center" w:pos="4680"/>
          <w:tab w:val="right" w:pos="9360"/>
        </w:tabs>
        <w:jc w:val="both"/>
        <w:rPr>
          <w:b/>
          <w:lang w:val="pt-BR"/>
        </w:rPr>
      </w:pPr>
      <w:r>
        <w:tab/>
      </w:r>
    </w:p>
    <w:p w:rsidR="001611CC" w:rsidRDefault="001611CC">
      <w:pPr>
        <w:tabs>
          <w:tab w:val="center" w:pos="4680"/>
          <w:tab w:val="right" w:pos="9360"/>
        </w:tabs>
        <w:jc w:val="both"/>
        <w:rPr>
          <w:b/>
          <w:lang w:val="pt-BR"/>
        </w:rPr>
      </w:pPr>
      <w:r>
        <w:rPr>
          <w:b/>
          <w:lang w:val="pt-BR"/>
        </w:rPr>
        <w:tab/>
        <w:t>C</w:t>
      </w:r>
      <w:r>
        <w:rPr>
          <w:b/>
          <w:vertAlign w:val="subscript"/>
          <w:lang w:val="pt-BR"/>
        </w:rPr>
        <w:t>2</w:t>
      </w:r>
      <w:r>
        <w:rPr>
          <w:b/>
          <w:lang w:val="pt-BR"/>
        </w:rPr>
        <w:t>H</w:t>
      </w:r>
      <w:r>
        <w:rPr>
          <w:b/>
          <w:vertAlign w:val="subscript"/>
          <w:lang w:val="pt-BR"/>
        </w:rPr>
        <w:t>5</w:t>
      </w:r>
      <w:r>
        <w:rPr>
          <w:b/>
          <w:lang w:val="pt-BR"/>
        </w:rPr>
        <w:t>O</w:t>
      </w:r>
      <w:r>
        <w:rPr>
          <w:b/>
          <w:vertAlign w:val="subscript"/>
          <w:lang w:val="pt-BR"/>
        </w:rPr>
        <w:t>2</w:t>
      </w:r>
      <w:r>
        <w:rPr>
          <w:b/>
          <w:lang w:val="pt-BR"/>
        </w:rPr>
        <w:t xml:space="preserve"> + NO </w:t>
      </w:r>
      <w:r>
        <w:rPr>
          <w:rFonts w:ascii="Symbol" w:hAnsi="Symbol" w:cs="Symbol"/>
          <w:b/>
        </w:rPr>
        <w:t></w:t>
      </w:r>
      <w:r>
        <w:rPr>
          <w:b/>
          <w:lang w:val="pt-BR"/>
        </w:rPr>
        <w:t xml:space="preserve"> C</w:t>
      </w:r>
      <w:r>
        <w:rPr>
          <w:b/>
          <w:vertAlign w:val="subscript"/>
          <w:lang w:val="pt-BR"/>
        </w:rPr>
        <w:t>2</w:t>
      </w:r>
      <w:r>
        <w:rPr>
          <w:b/>
          <w:lang w:val="pt-BR"/>
        </w:rPr>
        <w:t>H</w:t>
      </w:r>
      <w:r>
        <w:rPr>
          <w:b/>
          <w:vertAlign w:val="subscript"/>
          <w:lang w:val="pt-BR"/>
        </w:rPr>
        <w:t>5</w:t>
      </w:r>
      <w:r>
        <w:rPr>
          <w:b/>
          <w:lang w:val="pt-BR"/>
        </w:rPr>
        <w:t>O + NO</w:t>
      </w:r>
      <w:r>
        <w:rPr>
          <w:b/>
          <w:vertAlign w:val="subscript"/>
          <w:lang w:val="pt-BR"/>
        </w:rPr>
        <w:t>2</w:t>
      </w:r>
      <w:r>
        <w:rPr>
          <w:b/>
          <w:lang w:val="pt-BR"/>
        </w:rPr>
        <w:tab/>
        <w:t>(1)</w:t>
      </w:r>
    </w:p>
    <w:p w:rsidR="001611CC" w:rsidRDefault="001611CC">
      <w:pPr>
        <w:tabs>
          <w:tab w:val="center" w:pos="4680"/>
          <w:tab w:val="right" w:pos="9360"/>
        </w:tabs>
        <w:ind w:left="567"/>
        <w:jc w:val="both"/>
        <w:rPr>
          <w:lang w:val="pt-BR"/>
        </w:rPr>
      </w:pPr>
      <w:r>
        <w:rPr>
          <w:b/>
          <w:lang w:val="pt-BR"/>
        </w:rPr>
        <w:tab/>
        <w:t>C</w:t>
      </w:r>
      <w:r>
        <w:rPr>
          <w:b/>
          <w:vertAlign w:val="subscript"/>
          <w:lang w:val="pt-BR"/>
        </w:rPr>
        <w:t>2</w:t>
      </w:r>
      <w:r>
        <w:rPr>
          <w:b/>
          <w:lang w:val="pt-BR"/>
        </w:rPr>
        <w:t>H</w:t>
      </w:r>
      <w:r>
        <w:rPr>
          <w:b/>
          <w:vertAlign w:val="subscript"/>
          <w:lang w:val="pt-BR"/>
        </w:rPr>
        <w:t>5</w:t>
      </w:r>
      <w:r>
        <w:rPr>
          <w:b/>
          <w:lang w:val="pt-BR"/>
        </w:rPr>
        <w:t>O</w:t>
      </w:r>
      <w:r>
        <w:rPr>
          <w:b/>
          <w:vertAlign w:val="subscript"/>
          <w:lang w:val="pt-BR"/>
        </w:rPr>
        <w:t>2</w:t>
      </w:r>
      <w:r>
        <w:rPr>
          <w:b/>
          <w:lang w:val="pt-BR"/>
        </w:rPr>
        <w:t xml:space="preserve"> + NO + M </w:t>
      </w:r>
      <w:r>
        <w:rPr>
          <w:rFonts w:ascii="Symbol" w:hAnsi="Symbol" w:cs="Symbol"/>
          <w:b/>
        </w:rPr>
        <w:t></w:t>
      </w:r>
      <w:r>
        <w:rPr>
          <w:b/>
          <w:lang w:val="pt-BR"/>
        </w:rPr>
        <w:t xml:space="preserve"> C</w:t>
      </w:r>
      <w:r>
        <w:rPr>
          <w:b/>
          <w:vertAlign w:val="subscript"/>
          <w:lang w:val="pt-BR"/>
        </w:rPr>
        <w:t>2</w:t>
      </w:r>
      <w:r>
        <w:rPr>
          <w:b/>
          <w:lang w:val="pt-BR"/>
        </w:rPr>
        <w:t>H</w:t>
      </w:r>
      <w:r>
        <w:rPr>
          <w:b/>
          <w:vertAlign w:val="subscript"/>
          <w:lang w:val="pt-BR"/>
        </w:rPr>
        <w:t>5</w:t>
      </w:r>
      <w:r>
        <w:rPr>
          <w:b/>
          <w:lang w:val="pt-BR"/>
        </w:rPr>
        <w:t>ONO</w:t>
      </w:r>
      <w:r>
        <w:rPr>
          <w:b/>
          <w:vertAlign w:val="subscript"/>
          <w:lang w:val="pt-BR"/>
        </w:rPr>
        <w:t>2</w:t>
      </w:r>
      <w:r>
        <w:rPr>
          <w:b/>
          <w:lang w:val="pt-BR"/>
        </w:rPr>
        <w:t xml:space="preserve"> + M</w:t>
      </w:r>
      <w:r>
        <w:rPr>
          <w:b/>
          <w:lang w:val="pt-BR"/>
        </w:rPr>
        <w:tab/>
        <w:t>(2)</w:t>
      </w:r>
    </w:p>
    <w:p w:rsidR="001611CC" w:rsidRDefault="001611CC">
      <w:pPr>
        <w:tabs>
          <w:tab w:val="left" w:pos="-1440"/>
          <w:tab w:val="left" w:pos="-720"/>
          <w:tab w:val="left" w:pos="288"/>
        </w:tabs>
        <w:jc w:val="both"/>
        <w:rPr>
          <w:lang w:val="pt-BR"/>
        </w:rPr>
      </w:pPr>
    </w:p>
    <w:p w:rsidR="001611CC" w:rsidRPr="002B5AD1" w:rsidRDefault="001611CC">
      <w:pPr>
        <w:tabs>
          <w:tab w:val="left" w:pos="-1440"/>
          <w:tab w:val="left" w:pos="-720"/>
          <w:tab w:val="left" w:pos="288"/>
        </w:tabs>
        <w:ind w:left="622"/>
        <w:jc w:val="both"/>
        <w:rPr>
          <w:rFonts w:ascii="Symbol" w:eastAsia="Symbol" w:hAnsi="Symbol" w:cs="Symbol"/>
          <w:lang w:val="pt-BR"/>
        </w:rPr>
      </w:pPr>
      <w:r>
        <w:rPr>
          <w:rFonts w:ascii="Symbol" w:eastAsia="Symbol" w:hAnsi="Symbol" w:cs="Symbol"/>
        </w:rPr>
        <w:t></w:t>
      </w:r>
      <w:r>
        <w:rPr>
          <w:i/>
          <w:lang w:val="pt-BR"/>
        </w:rPr>
        <w:t>H</w:t>
      </w:r>
      <w:r>
        <w:rPr>
          <w:lang w:val="pt-BR"/>
        </w:rPr>
        <w:t>°(1) = -45.2 kJ·mol</w:t>
      </w:r>
      <w:r>
        <w:rPr>
          <w:vertAlign w:val="superscript"/>
          <w:lang w:val="pt-BR"/>
        </w:rPr>
        <w:t>-1</w:t>
      </w:r>
    </w:p>
    <w:p w:rsidR="001611CC" w:rsidRDefault="001611CC">
      <w:pPr>
        <w:tabs>
          <w:tab w:val="left" w:pos="-1440"/>
          <w:tab w:val="left" w:pos="-720"/>
          <w:tab w:val="left" w:pos="288"/>
        </w:tabs>
        <w:ind w:left="622"/>
        <w:jc w:val="both"/>
        <w:rPr>
          <w:lang w:val="pt-BR"/>
        </w:rPr>
      </w:pPr>
      <w:r>
        <w:rPr>
          <w:rFonts w:ascii="Symbol" w:eastAsia="Symbol" w:hAnsi="Symbol" w:cs="Symbol"/>
        </w:rPr>
        <w:t></w:t>
      </w:r>
      <w:r>
        <w:rPr>
          <w:i/>
          <w:lang w:val="pt-BR"/>
        </w:rPr>
        <w:t>H</w:t>
      </w:r>
      <w:r>
        <w:rPr>
          <w:lang w:val="pt-BR"/>
        </w:rPr>
        <w:t>°(2) = -217.0 kJ·mol</w:t>
      </w:r>
      <w:r>
        <w:rPr>
          <w:vertAlign w:val="superscript"/>
          <w:lang w:val="pt-BR"/>
        </w:rPr>
        <w:t>-1</w:t>
      </w:r>
    </w:p>
    <w:p w:rsidR="001611CC" w:rsidRDefault="001611CC">
      <w:pPr>
        <w:tabs>
          <w:tab w:val="left" w:pos="-1440"/>
          <w:tab w:val="left" w:pos="-720"/>
          <w:tab w:val="left" w:pos="288"/>
        </w:tabs>
        <w:jc w:val="both"/>
        <w:rPr>
          <w:lang w:val="pt-BR"/>
        </w:rPr>
      </w:pPr>
    </w:p>
    <w:p w:rsidR="001611CC" w:rsidRDefault="001611CC">
      <w:pPr>
        <w:tabs>
          <w:tab w:val="center" w:pos="4680"/>
        </w:tabs>
        <w:jc w:val="center"/>
      </w:pPr>
      <w:r>
        <w:rPr>
          <w:b/>
        </w:rPr>
        <w:t>Rate coefficient data (</w:t>
      </w:r>
      <w:r>
        <w:rPr>
          <w:b/>
          <w:i/>
        </w:rPr>
        <w:t>k</w:t>
      </w:r>
      <w:r>
        <w:rPr>
          <w:b/>
        </w:rPr>
        <w:t xml:space="preserve"> = </w:t>
      </w:r>
      <w:r>
        <w:rPr>
          <w:b/>
          <w:i/>
        </w:rPr>
        <w:t>k</w:t>
      </w:r>
      <w:r>
        <w:rPr>
          <w:b/>
          <w:vertAlign w:val="subscript"/>
        </w:rPr>
        <w:t>1</w:t>
      </w:r>
      <w:r>
        <w:rPr>
          <w:b/>
        </w:rPr>
        <w:t xml:space="preserve"> + </w:t>
      </w:r>
      <w:r>
        <w:rPr>
          <w:b/>
          <w:i/>
        </w:rPr>
        <w:t>k</w:t>
      </w:r>
      <w:r>
        <w:rPr>
          <w:b/>
          <w:vertAlign w:val="subscript"/>
        </w:rPr>
        <w:t>2</w:t>
      </w:r>
      <w:r>
        <w:rPr>
          <w:b/>
        </w:rPr>
        <w:t>)</w:t>
      </w:r>
    </w:p>
    <w:p w:rsidR="001611CC" w:rsidRDefault="001611CC">
      <w:pPr>
        <w:tabs>
          <w:tab w:val="left" w:pos="-1440"/>
          <w:tab w:val="left" w:pos="-720"/>
          <w:tab w:val="left" w:pos="288"/>
        </w:tabs>
        <w:jc w:val="both"/>
      </w:pPr>
    </w:p>
    <w:tbl>
      <w:tblPr>
        <w:tblW w:w="0" w:type="auto"/>
        <w:tblInd w:w="730" w:type="dxa"/>
        <w:tblLayout w:type="fixed"/>
        <w:tblLook w:val="0000" w:firstRow="0" w:lastRow="0" w:firstColumn="0" w:lastColumn="0" w:noHBand="0" w:noVBand="0"/>
      </w:tblPr>
      <w:tblGrid>
        <w:gridCol w:w="3347"/>
        <w:gridCol w:w="995"/>
        <w:gridCol w:w="2725"/>
        <w:gridCol w:w="1659"/>
      </w:tblGrid>
      <w:tr w:rsidR="001611CC" w:rsidTr="009F3DF7">
        <w:tc>
          <w:tcPr>
            <w:tcW w:w="3347" w:type="dxa"/>
            <w:tcBorders>
              <w:top w:val="double" w:sz="1" w:space="0" w:color="000000"/>
              <w:bottom w:val="single" w:sz="4" w:space="0" w:color="000000"/>
            </w:tcBorders>
            <w:shd w:val="clear" w:color="auto" w:fill="auto"/>
          </w:tcPr>
          <w:p w:rsidR="001611CC" w:rsidRDefault="001611CC">
            <w:pPr>
              <w:snapToGrid w:val="0"/>
              <w:spacing w:before="120" w:after="120" w:line="264" w:lineRule="auto"/>
              <w:jc w:val="both"/>
              <w:rPr>
                <w:spacing w:val="-2"/>
                <w:sz w:val="20"/>
              </w:rPr>
            </w:pPr>
            <w:r>
              <w:rPr>
                <w:i/>
                <w:spacing w:val="-2"/>
                <w:sz w:val="20"/>
              </w:rPr>
              <w:t>k</w:t>
            </w:r>
            <w:r>
              <w:rPr>
                <w:spacing w:val="-2"/>
                <w:sz w:val="20"/>
              </w:rPr>
              <w:t>/cm</w:t>
            </w:r>
            <w:r>
              <w:rPr>
                <w:spacing w:val="-2"/>
                <w:sz w:val="20"/>
                <w:vertAlign w:val="superscript"/>
              </w:rPr>
              <w:t>3</w:t>
            </w:r>
            <w:r>
              <w:rPr>
                <w:spacing w:val="-2"/>
                <w:sz w:val="20"/>
              </w:rPr>
              <w:t xml:space="preserve"> molecule</w:t>
            </w:r>
            <w:r>
              <w:rPr>
                <w:spacing w:val="-2"/>
                <w:sz w:val="20"/>
                <w:vertAlign w:val="superscript"/>
              </w:rPr>
              <w:t>-1</w:t>
            </w:r>
            <w:r>
              <w:rPr>
                <w:spacing w:val="-2"/>
                <w:sz w:val="20"/>
              </w:rPr>
              <w:t xml:space="preserve"> s</w:t>
            </w:r>
            <w:r>
              <w:rPr>
                <w:spacing w:val="-2"/>
                <w:sz w:val="20"/>
                <w:vertAlign w:val="superscript"/>
              </w:rPr>
              <w:t>-1</w:t>
            </w:r>
            <w:r>
              <w:rPr>
                <w:spacing w:val="-2"/>
                <w:sz w:val="20"/>
              </w:rPr>
              <w:t xml:space="preserve"> </w:t>
            </w:r>
          </w:p>
        </w:tc>
        <w:tc>
          <w:tcPr>
            <w:tcW w:w="995" w:type="dxa"/>
            <w:tcBorders>
              <w:top w:val="double" w:sz="1" w:space="0" w:color="000000"/>
              <w:bottom w:val="single" w:sz="4" w:space="0" w:color="000000"/>
            </w:tcBorders>
            <w:shd w:val="clear" w:color="auto" w:fill="auto"/>
          </w:tcPr>
          <w:p w:rsidR="001611CC" w:rsidRDefault="001611CC">
            <w:pPr>
              <w:snapToGrid w:val="0"/>
              <w:spacing w:before="120" w:after="120" w:line="264" w:lineRule="auto"/>
              <w:jc w:val="both"/>
              <w:rPr>
                <w:iCs/>
                <w:sz w:val="20"/>
              </w:rPr>
            </w:pPr>
            <w:r>
              <w:rPr>
                <w:spacing w:val="-2"/>
                <w:sz w:val="20"/>
              </w:rPr>
              <w:t>Temp./K</w:t>
            </w:r>
          </w:p>
        </w:tc>
        <w:tc>
          <w:tcPr>
            <w:tcW w:w="2725" w:type="dxa"/>
            <w:tcBorders>
              <w:top w:val="double" w:sz="1" w:space="0" w:color="000000"/>
              <w:bottom w:val="single" w:sz="4" w:space="0" w:color="000000"/>
            </w:tcBorders>
            <w:shd w:val="clear" w:color="auto" w:fill="auto"/>
          </w:tcPr>
          <w:p w:rsidR="001611CC" w:rsidRDefault="001611CC">
            <w:pPr>
              <w:pStyle w:val="Heading2"/>
              <w:snapToGrid w:val="0"/>
              <w:spacing w:before="120" w:after="120"/>
              <w:rPr>
                <w:spacing w:val="-2"/>
                <w:sz w:val="20"/>
              </w:rPr>
            </w:pPr>
            <w:r>
              <w:rPr>
                <w:b w:val="0"/>
                <w:iCs/>
                <w:sz w:val="20"/>
              </w:rPr>
              <w:t>Reference</w:t>
            </w:r>
          </w:p>
        </w:tc>
        <w:tc>
          <w:tcPr>
            <w:tcW w:w="1659" w:type="dxa"/>
            <w:tcBorders>
              <w:top w:val="double" w:sz="1" w:space="0" w:color="000000"/>
              <w:bottom w:val="single" w:sz="4" w:space="0" w:color="000000"/>
            </w:tcBorders>
            <w:shd w:val="clear" w:color="auto" w:fill="auto"/>
          </w:tcPr>
          <w:p w:rsidR="001611CC" w:rsidRDefault="001611CC">
            <w:pPr>
              <w:snapToGrid w:val="0"/>
              <w:spacing w:before="120" w:after="120" w:line="264" w:lineRule="auto"/>
              <w:jc w:val="both"/>
            </w:pPr>
            <w:r>
              <w:rPr>
                <w:spacing w:val="-2"/>
                <w:sz w:val="20"/>
              </w:rPr>
              <w:t>Technique/ Comments</w:t>
            </w:r>
          </w:p>
        </w:tc>
      </w:tr>
      <w:tr w:rsidR="001611CC" w:rsidTr="009F3DF7">
        <w:tc>
          <w:tcPr>
            <w:tcW w:w="3347" w:type="dxa"/>
            <w:tcBorders>
              <w:top w:val="single" w:sz="4" w:space="0" w:color="000000"/>
            </w:tcBorders>
            <w:shd w:val="clear" w:color="auto" w:fill="auto"/>
          </w:tcPr>
          <w:p w:rsidR="001611CC" w:rsidRDefault="001611CC">
            <w:pPr>
              <w:snapToGrid w:val="0"/>
              <w:spacing w:before="120" w:line="264" w:lineRule="auto"/>
              <w:jc w:val="both"/>
              <w:rPr>
                <w:spacing w:val="-2"/>
                <w:sz w:val="20"/>
              </w:rPr>
            </w:pPr>
            <w:r>
              <w:rPr>
                <w:i/>
                <w:spacing w:val="-2"/>
                <w:sz w:val="20"/>
              </w:rPr>
              <w:t>Absolute Rate Coefficients</w:t>
            </w:r>
          </w:p>
        </w:tc>
        <w:tc>
          <w:tcPr>
            <w:tcW w:w="995" w:type="dxa"/>
            <w:tcBorders>
              <w:top w:val="single" w:sz="4" w:space="0" w:color="000000"/>
            </w:tcBorders>
            <w:shd w:val="clear" w:color="auto" w:fill="auto"/>
          </w:tcPr>
          <w:p w:rsidR="001611CC" w:rsidRDefault="001611CC">
            <w:pPr>
              <w:snapToGrid w:val="0"/>
              <w:spacing w:before="120" w:line="264" w:lineRule="auto"/>
              <w:jc w:val="both"/>
              <w:rPr>
                <w:spacing w:val="-2"/>
                <w:sz w:val="20"/>
              </w:rPr>
            </w:pPr>
          </w:p>
        </w:tc>
        <w:tc>
          <w:tcPr>
            <w:tcW w:w="2725" w:type="dxa"/>
            <w:tcBorders>
              <w:top w:val="single" w:sz="4" w:space="0" w:color="000000"/>
            </w:tcBorders>
            <w:shd w:val="clear" w:color="auto" w:fill="auto"/>
          </w:tcPr>
          <w:p w:rsidR="001611CC" w:rsidRDefault="001611CC">
            <w:pPr>
              <w:snapToGrid w:val="0"/>
              <w:spacing w:before="120" w:line="264" w:lineRule="auto"/>
              <w:rPr>
                <w:spacing w:val="-2"/>
                <w:sz w:val="20"/>
              </w:rPr>
            </w:pPr>
          </w:p>
        </w:tc>
        <w:tc>
          <w:tcPr>
            <w:tcW w:w="1659" w:type="dxa"/>
            <w:tcBorders>
              <w:top w:val="single" w:sz="4" w:space="0" w:color="000000"/>
            </w:tcBorders>
            <w:shd w:val="clear" w:color="auto" w:fill="auto"/>
          </w:tcPr>
          <w:p w:rsidR="001611CC" w:rsidRDefault="001611CC">
            <w:pPr>
              <w:snapToGrid w:val="0"/>
              <w:spacing w:before="120" w:line="264" w:lineRule="auto"/>
              <w:jc w:val="both"/>
              <w:rPr>
                <w:spacing w:val="-2"/>
                <w:sz w:val="20"/>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rPr>
              <w:t>(2.7 ± 0.2)</w:t>
            </w:r>
            <w:r w:rsidR="00D847A2" w:rsidRPr="00FE1E26">
              <w:rPr>
                <w:sz w:val="20"/>
              </w:rPr>
              <w:t xml:space="preserve"> </w:t>
            </w:r>
            <w:r w:rsidR="00D847A2" w:rsidRPr="00FE1E26">
              <w:rPr>
                <w:sz w:val="20"/>
              </w:rPr>
              <w:sym w:font="Symbol" w:char="F0B4"/>
            </w:r>
            <w:r w:rsidR="00D847A2" w:rsidRPr="00FE1E26">
              <w:rPr>
                <w:sz w:val="20"/>
              </w:rPr>
              <w:t xml:space="preserve"> </w:t>
            </w:r>
            <w:r>
              <w:rPr>
                <w:sz w:val="20"/>
              </w:rPr>
              <w:t>10</w:t>
            </w:r>
            <w:r>
              <w:rPr>
                <w:sz w:val="20"/>
                <w:vertAlign w:val="superscript"/>
              </w:rPr>
              <w:t>-12</w:t>
            </w:r>
          </w:p>
        </w:tc>
        <w:tc>
          <w:tcPr>
            <w:tcW w:w="995" w:type="dxa"/>
            <w:shd w:val="clear" w:color="auto" w:fill="auto"/>
          </w:tcPr>
          <w:p w:rsidR="00DC4A3E" w:rsidRDefault="00DC4A3E">
            <w:pPr>
              <w:snapToGrid w:val="0"/>
              <w:spacing w:line="288" w:lineRule="auto"/>
              <w:jc w:val="both"/>
              <w:rPr>
                <w:sz w:val="20"/>
              </w:rPr>
            </w:pPr>
            <w:r>
              <w:rPr>
                <w:sz w:val="20"/>
              </w:rPr>
              <w:t>298</w:t>
            </w:r>
          </w:p>
        </w:tc>
        <w:tc>
          <w:tcPr>
            <w:tcW w:w="2725" w:type="dxa"/>
            <w:shd w:val="clear" w:color="auto" w:fill="auto"/>
          </w:tcPr>
          <w:p w:rsidR="00DC4A3E" w:rsidRDefault="00DC4A3E">
            <w:pPr>
              <w:snapToGrid w:val="0"/>
              <w:spacing w:line="288" w:lineRule="auto"/>
              <w:jc w:val="both"/>
              <w:rPr>
                <w:sz w:val="20"/>
              </w:rPr>
            </w:pPr>
            <w:r>
              <w:rPr>
                <w:sz w:val="20"/>
              </w:rPr>
              <w:t>Adachi and Basco, 1979</w:t>
            </w:r>
          </w:p>
        </w:tc>
        <w:tc>
          <w:tcPr>
            <w:tcW w:w="1659" w:type="dxa"/>
            <w:shd w:val="clear" w:color="auto" w:fill="auto"/>
          </w:tcPr>
          <w:p w:rsidR="00DC4A3E" w:rsidRDefault="00DC4A3E">
            <w:pPr>
              <w:snapToGrid w:val="0"/>
              <w:rPr>
                <w:sz w:val="20"/>
              </w:rPr>
            </w:pPr>
            <w:r>
              <w:rPr>
                <w:sz w:val="20"/>
              </w:rPr>
              <w:t>FP-AS</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rPr>
              <w:t>(8.9 ± 3.0)</w:t>
            </w:r>
            <w:r w:rsidR="00D847A2" w:rsidRPr="00FE1E26">
              <w:rPr>
                <w:sz w:val="20"/>
              </w:rPr>
              <w:t xml:space="preserve"> </w:t>
            </w:r>
            <w:r w:rsidR="00D847A2" w:rsidRPr="00FE1E26">
              <w:rPr>
                <w:sz w:val="20"/>
              </w:rPr>
              <w:sym w:font="Symbol" w:char="F0B4"/>
            </w:r>
            <w:r w:rsidR="00D847A2" w:rsidRPr="00FE1E26">
              <w:rPr>
                <w:sz w:val="20"/>
              </w:rPr>
              <w:t xml:space="preserve"> </w:t>
            </w:r>
            <w:r>
              <w:rPr>
                <w:sz w:val="20"/>
              </w:rPr>
              <w:t>10</w:t>
            </w:r>
            <w:r>
              <w:rPr>
                <w:sz w:val="20"/>
                <w:vertAlign w:val="superscript"/>
              </w:rPr>
              <w:t>-12</w:t>
            </w:r>
          </w:p>
        </w:tc>
        <w:tc>
          <w:tcPr>
            <w:tcW w:w="995" w:type="dxa"/>
            <w:shd w:val="clear" w:color="auto" w:fill="auto"/>
          </w:tcPr>
          <w:p w:rsidR="00DC4A3E" w:rsidRDefault="00DC4A3E">
            <w:pPr>
              <w:snapToGrid w:val="0"/>
              <w:spacing w:line="288" w:lineRule="auto"/>
              <w:jc w:val="both"/>
              <w:rPr>
                <w:sz w:val="20"/>
              </w:rPr>
            </w:pPr>
            <w:r>
              <w:rPr>
                <w:sz w:val="20"/>
              </w:rPr>
              <w:t>295</w:t>
            </w:r>
          </w:p>
        </w:tc>
        <w:tc>
          <w:tcPr>
            <w:tcW w:w="2725" w:type="dxa"/>
            <w:shd w:val="clear" w:color="auto" w:fill="auto"/>
          </w:tcPr>
          <w:p w:rsidR="00DC4A3E" w:rsidRDefault="00DC4A3E">
            <w:pPr>
              <w:snapToGrid w:val="0"/>
              <w:spacing w:line="288" w:lineRule="auto"/>
              <w:jc w:val="both"/>
              <w:rPr>
                <w:sz w:val="20"/>
              </w:rPr>
            </w:pPr>
            <w:r>
              <w:rPr>
                <w:sz w:val="20"/>
              </w:rPr>
              <w:t>Plumb et al., 1982</w:t>
            </w:r>
          </w:p>
        </w:tc>
        <w:tc>
          <w:tcPr>
            <w:tcW w:w="1659" w:type="dxa"/>
            <w:shd w:val="clear" w:color="auto" w:fill="auto"/>
          </w:tcPr>
          <w:p w:rsidR="00DC4A3E" w:rsidRDefault="00DC4A3E">
            <w:pPr>
              <w:snapToGrid w:val="0"/>
              <w:rPr>
                <w:sz w:val="20"/>
              </w:rPr>
            </w:pPr>
            <w:r>
              <w:rPr>
                <w:sz w:val="20"/>
              </w:rPr>
              <w:t>DF-MS</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rPr>
              <w:t xml:space="preserve">(8.5 ± 1.2) </w:t>
            </w:r>
            <w:r w:rsidR="00D847A2" w:rsidRPr="00FE1E26">
              <w:rPr>
                <w:sz w:val="20"/>
              </w:rPr>
              <w:sym w:font="Symbol" w:char="F0B4"/>
            </w:r>
            <w:r w:rsidR="00D847A2" w:rsidRPr="00FE1E26">
              <w:rPr>
                <w:sz w:val="20"/>
              </w:rPr>
              <w:t xml:space="preserve"> </w:t>
            </w:r>
            <w:r>
              <w:rPr>
                <w:sz w:val="20"/>
              </w:rPr>
              <w:t>10</w:t>
            </w:r>
            <w:r>
              <w:rPr>
                <w:sz w:val="20"/>
                <w:vertAlign w:val="superscript"/>
              </w:rPr>
              <w:t>-12</w:t>
            </w:r>
          </w:p>
        </w:tc>
        <w:tc>
          <w:tcPr>
            <w:tcW w:w="995" w:type="dxa"/>
            <w:shd w:val="clear" w:color="auto" w:fill="auto"/>
          </w:tcPr>
          <w:p w:rsidR="00DC4A3E" w:rsidRDefault="00DC4A3E">
            <w:pPr>
              <w:snapToGrid w:val="0"/>
              <w:spacing w:line="288" w:lineRule="auto"/>
              <w:jc w:val="both"/>
              <w:rPr>
                <w:sz w:val="20"/>
              </w:rPr>
            </w:pPr>
            <w:r>
              <w:rPr>
                <w:sz w:val="20"/>
              </w:rPr>
              <w:t>298</w:t>
            </w:r>
          </w:p>
        </w:tc>
        <w:tc>
          <w:tcPr>
            <w:tcW w:w="2725" w:type="dxa"/>
            <w:shd w:val="clear" w:color="auto" w:fill="auto"/>
          </w:tcPr>
          <w:p w:rsidR="00DC4A3E" w:rsidRDefault="00DC4A3E">
            <w:pPr>
              <w:snapToGrid w:val="0"/>
              <w:spacing w:line="288" w:lineRule="auto"/>
              <w:jc w:val="both"/>
              <w:rPr>
                <w:sz w:val="20"/>
              </w:rPr>
            </w:pPr>
            <w:r>
              <w:rPr>
                <w:sz w:val="20"/>
              </w:rPr>
              <w:t>Sehested et al., 1993</w:t>
            </w:r>
          </w:p>
        </w:tc>
        <w:tc>
          <w:tcPr>
            <w:tcW w:w="1659" w:type="dxa"/>
            <w:shd w:val="clear" w:color="auto" w:fill="auto"/>
          </w:tcPr>
          <w:p w:rsidR="00DC4A3E" w:rsidRDefault="00DC4A3E">
            <w:pPr>
              <w:snapToGrid w:val="0"/>
              <w:rPr>
                <w:sz w:val="20"/>
              </w:rPr>
            </w:pPr>
            <w:r>
              <w:rPr>
                <w:sz w:val="20"/>
              </w:rPr>
              <w:t>PR-AS</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sz w:val="20"/>
                <w:lang w:val="de-DE"/>
              </w:rPr>
              <w:t>(8.2 ± 1.6)</w:t>
            </w:r>
            <w:r w:rsidR="00D847A2" w:rsidRPr="00FE1E26">
              <w:rPr>
                <w:sz w:val="20"/>
              </w:rPr>
              <w:t xml:space="preserve">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p>
        </w:tc>
        <w:tc>
          <w:tcPr>
            <w:tcW w:w="995" w:type="dxa"/>
            <w:shd w:val="clear" w:color="auto" w:fill="auto"/>
          </w:tcPr>
          <w:p w:rsidR="00DC4A3E" w:rsidRDefault="00DC4A3E">
            <w:pPr>
              <w:snapToGrid w:val="0"/>
              <w:spacing w:line="288" w:lineRule="auto"/>
              <w:jc w:val="both"/>
              <w:rPr>
                <w:sz w:val="20"/>
                <w:lang w:val="de-DE"/>
              </w:rPr>
            </w:pPr>
            <w:r>
              <w:rPr>
                <w:sz w:val="20"/>
                <w:lang w:val="de-DE"/>
              </w:rPr>
              <w:t>295</w:t>
            </w:r>
          </w:p>
        </w:tc>
        <w:tc>
          <w:tcPr>
            <w:tcW w:w="2725" w:type="dxa"/>
            <w:shd w:val="clear" w:color="auto" w:fill="auto"/>
          </w:tcPr>
          <w:p w:rsidR="00DC4A3E" w:rsidRDefault="00DC4A3E">
            <w:pPr>
              <w:snapToGrid w:val="0"/>
              <w:spacing w:line="288" w:lineRule="auto"/>
              <w:jc w:val="both"/>
              <w:rPr>
                <w:sz w:val="20"/>
              </w:rPr>
            </w:pPr>
            <w:r>
              <w:rPr>
                <w:sz w:val="20"/>
                <w:lang w:val="de-DE"/>
              </w:rPr>
              <w:t>Däele et al., 1995</w:t>
            </w:r>
          </w:p>
        </w:tc>
        <w:tc>
          <w:tcPr>
            <w:tcW w:w="1659" w:type="dxa"/>
            <w:shd w:val="clear" w:color="auto" w:fill="auto"/>
          </w:tcPr>
          <w:p w:rsidR="00DC4A3E" w:rsidRDefault="00DC4A3E">
            <w:pPr>
              <w:snapToGrid w:val="0"/>
              <w:rPr>
                <w:sz w:val="20"/>
              </w:rPr>
            </w:pPr>
            <w:r>
              <w:rPr>
                <w:sz w:val="20"/>
              </w:rPr>
              <w:t>DF-MS (a)</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lang w:val="de-DE"/>
              </w:rPr>
              <w:t>2.6 x 10</w:t>
            </w:r>
            <w:r>
              <w:rPr>
                <w:sz w:val="20"/>
                <w:vertAlign w:val="superscript"/>
                <w:lang w:val="de-DE"/>
              </w:rPr>
              <w:t>-12</w:t>
            </w:r>
            <w:r>
              <w:rPr>
                <w:sz w:val="20"/>
                <w:lang w:val="de-DE"/>
              </w:rPr>
              <w:t xml:space="preserve"> exp[(380 ± 70)/</w:t>
            </w:r>
            <w:r>
              <w:rPr>
                <w:i/>
                <w:sz w:val="20"/>
                <w:lang w:val="de-DE"/>
              </w:rPr>
              <w:t>T</w:t>
            </w:r>
            <w:r>
              <w:rPr>
                <w:sz w:val="20"/>
                <w:lang w:val="de-DE"/>
              </w:rPr>
              <w:t>]</w:t>
            </w:r>
          </w:p>
        </w:tc>
        <w:tc>
          <w:tcPr>
            <w:tcW w:w="995" w:type="dxa"/>
            <w:shd w:val="clear" w:color="auto" w:fill="auto"/>
          </w:tcPr>
          <w:p w:rsidR="00DC4A3E" w:rsidRDefault="00DC4A3E">
            <w:pPr>
              <w:snapToGrid w:val="0"/>
              <w:spacing w:line="288" w:lineRule="auto"/>
              <w:jc w:val="both"/>
              <w:rPr>
                <w:sz w:val="20"/>
              </w:rPr>
            </w:pPr>
            <w:r>
              <w:rPr>
                <w:sz w:val="20"/>
              </w:rPr>
              <w:t>207-403</w:t>
            </w:r>
            <w:r>
              <w:rPr>
                <w:sz w:val="20"/>
              </w:rPr>
              <w:tab/>
            </w:r>
          </w:p>
        </w:tc>
        <w:tc>
          <w:tcPr>
            <w:tcW w:w="2725" w:type="dxa"/>
            <w:shd w:val="clear" w:color="auto" w:fill="auto"/>
          </w:tcPr>
          <w:p w:rsidR="00DC4A3E" w:rsidRDefault="00DC4A3E">
            <w:pPr>
              <w:snapToGrid w:val="0"/>
              <w:spacing w:line="288" w:lineRule="auto"/>
              <w:jc w:val="both"/>
              <w:rPr>
                <w:sz w:val="20"/>
              </w:rPr>
            </w:pPr>
            <w:r>
              <w:rPr>
                <w:sz w:val="20"/>
              </w:rPr>
              <w:t>Eberhard and Howard, 1996</w:t>
            </w:r>
          </w:p>
        </w:tc>
        <w:tc>
          <w:tcPr>
            <w:tcW w:w="1659" w:type="dxa"/>
            <w:shd w:val="clear" w:color="auto" w:fill="auto"/>
          </w:tcPr>
          <w:p w:rsidR="00DC4A3E" w:rsidRDefault="00DC4A3E">
            <w:pPr>
              <w:snapToGrid w:val="0"/>
              <w:rPr>
                <w:sz w:val="20"/>
              </w:rPr>
            </w:pPr>
            <w:r>
              <w:rPr>
                <w:sz w:val="20"/>
              </w:rPr>
              <w:t>F-CIMS (b)</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sz w:val="20"/>
                <w:lang w:val="de-DE"/>
              </w:rPr>
              <w:t xml:space="preserve">(9.3 ± 1.6)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p>
        </w:tc>
        <w:tc>
          <w:tcPr>
            <w:tcW w:w="995" w:type="dxa"/>
            <w:shd w:val="clear" w:color="auto" w:fill="auto"/>
          </w:tcPr>
          <w:p w:rsidR="00DC4A3E" w:rsidRDefault="00DC4A3E">
            <w:pPr>
              <w:snapToGrid w:val="0"/>
              <w:spacing w:line="288" w:lineRule="auto"/>
              <w:jc w:val="both"/>
              <w:rPr>
                <w:sz w:val="20"/>
                <w:lang w:val="de-DE"/>
              </w:rPr>
            </w:pPr>
            <w:r>
              <w:rPr>
                <w:sz w:val="20"/>
                <w:lang w:val="de-DE"/>
              </w:rPr>
              <w:t>298</w:t>
            </w:r>
          </w:p>
        </w:tc>
        <w:tc>
          <w:tcPr>
            <w:tcW w:w="2725" w:type="dxa"/>
            <w:shd w:val="clear" w:color="auto" w:fill="auto"/>
          </w:tcPr>
          <w:p w:rsidR="00DC4A3E" w:rsidRDefault="00DC4A3E">
            <w:pPr>
              <w:snapToGrid w:val="0"/>
              <w:spacing w:line="288" w:lineRule="auto"/>
              <w:jc w:val="both"/>
              <w:rPr>
                <w:sz w:val="20"/>
                <w:lang w:val="de-DE"/>
              </w:rPr>
            </w:pPr>
          </w:p>
        </w:tc>
        <w:tc>
          <w:tcPr>
            <w:tcW w:w="1659" w:type="dxa"/>
            <w:shd w:val="clear" w:color="auto" w:fill="auto"/>
          </w:tcPr>
          <w:p w:rsidR="00DC4A3E" w:rsidRDefault="00DC4A3E">
            <w:pPr>
              <w:snapToGrid w:val="0"/>
              <w:rPr>
                <w:sz w:val="20"/>
                <w:lang w:val="de-DE"/>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lang w:val="de-DE"/>
              </w:rPr>
              <w:t>3.1</w:t>
            </w:r>
            <w:r w:rsidR="00D847A2" w:rsidRPr="00FE1E26">
              <w:rPr>
                <w:sz w:val="20"/>
              </w:rPr>
              <w:t xml:space="preserve">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r>
              <w:rPr>
                <w:sz w:val="20"/>
                <w:lang w:val="de-DE"/>
              </w:rPr>
              <w:t xml:space="preserve"> exp[(330 ± 110)/</w:t>
            </w:r>
            <w:r>
              <w:rPr>
                <w:i/>
                <w:sz w:val="20"/>
                <w:lang w:val="de-DE"/>
              </w:rPr>
              <w:t>T</w:t>
            </w:r>
            <w:r>
              <w:rPr>
                <w:sz w:val="20"/>
                <w:lang w:val="de-DE"/>
              </w:rPr>
              <w:t>]</w:t>
            </w:r>
          </w:p>
        </w:tc>
        <w:tc>
          <w:tcPr>
            <w:tcW w:w="995" w:type="dxa"/>
            <w:shd w:val="clear" w:color="auto" w:fill="auto"/>
          </w:tcPr>
          <w:p w:rsidR="00DC4A3E" w:rsidRDefault="00DC4A3E">
            <w:pPr>
              <w:snapToGrid w:val="0"/>
              <w:spacing w:line="288" w:lineRule="auto"/>
              <w:jc w:val="both"/>
              <w:rPr>
                <w:sz w:val="20"/>
              </w:rPr>
            </w:pPr>
            <w:r>
              <w:rPr>
                <w:sz w:val="20"/>
              </w:rPr>
              <w:t>220-355</w:t>
            </w:r>
            <w:r>
              <w:rPr>
                <w:sz w:val="20"/>
              </w:rPr>
              <w:tab/>
            </w:r>
          </w:p>
        </w:tc>
        <w:tc>
          <w:tcPr>
            <w:tcW w:w="2725" w:type="dxa"/>
            <w:shd w:val="clear" w:color="auto" w:fill="auto"/>
          </w:tcPr>
          <w:p w:rsidR="00DC4A3E" w:rsidRDefault="00DC4A3E">
            <w:pPr>
              <w:snapToGrid w:val="0"/>
              <w:spacing w:line="288" w:lineRule="auto"/>
              <w:jc w:val="both"/>
              <w:rPr>
                <w:sz w:val="20"/>
              </w:rPr>
            </w:pPr>
            <w:r>
              <w:rPr>
                <w:sz w:val="20"/>
              </w:rPr>
              <w:t>Maricq and Szente, 1996</w:t>
            </w:r>
          </w:p>
        </w:tc>
        <w:tc>
          <w:tcPr>
            <w:tcW w:w="1659" w:type="dxa"/>
            <w:shd w:val="clear" w:color="auto" w:fill="auto"/>
          </w:tcPr>
          <w:p w:rsidR="00DC4A3E" w:rsidRDefault="00DC4A3E">
            <w:pPr>
              <w:snapToGrid w:val="0"/>
              <w:rPr>
                <w:sz w:val="20"/>
              </w:rPr>
            </w:pPr>
            <w:r>
              <w:rPr>
                <w:sz w:val="20"/>
              </w:rPr>
              <w:t>PLP-AS (c)</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sz w:val="20"/>
                <w:lang w:val="de-DE"/>
              </w:rPr>
              <w:t>(10.0 ± 1.5)</w:t>
            </w:r>
            <w:r w:rsidR="00D847A2" w:rsidRPr="00FE1E26">
              <w:rPr>
                <w:sz w:val="20"/>
              </w:rPr>
              <w:t xml:space="preserve">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p>
        </w:tc>
        <w:tc>
          <w:tcPr>
            <w:tcW w:w="995" w:type="dxa"/>
            <w:shd w:val="clear" w:color="auto" w:fill="auto"/>
          </w:tcPr>
          <w:p w:rsidR="00DC4A3E" w:rsidRDefault="00DC4A3E">
            <w:pPr>
              <w:snapToGrid w:val="0"/>
              <w:spacing w:line="288" w:lineRule="auto"/>
              <w:jc w:val="both"/>
              <w:rPr>
                <w:sz w:val="20"/>
                <w:lang w:val="de-DE"/>
              </w:rPr>
            </w:pPr>
            <w:r>
              <w:rPr>
                <w:sz w:val="20"/>
                <w:lang w:val="de-DE"/>
              </w:rPr>
              <w:t>295</w:t>
            </w:r>
          </w:p>
        </w:tc>
        <w:tc>
          <w:tcPr>
            <w:tcW w:w="2725" w:type="dxa"/>
            <w:shd w:val="clear" w:color="auto" w:fill="auto"/>
          </w:tcPr>
          <w:p w:rsidR="00DC4A3E" w:rsidRDefault="00DC4A3E">
            <w:pPr>
              <w:snapToGrid w:val="0"/>
              <w:spacing w:line="288" w:lineRule="auto"/>
              <w:jc w:val="both"/>
              <w:rPr>
                <w:sz w:val="20"/>
                <w:lang w:val="de-DE"/>
              </w:rPr>
            </w:pPr>
          </w:p>
        </w:tc>
        <w:tc>
          <w:tcPr>
            <w:tcW w:w="1659" w:type="dxa"/>
            <w:shd w:val="clear" w:color="auto" w:fill="auto"/>
          </w:tcPr>
          <w:p w:rsidR="00DC4A3E" w:rsidRDefault="00DC4A3E">
            <w:pPr>
              <w:snapToGrid w:val="0"/>
              <w:rPr>
                <w:sz w:val="20"/>
                <w:lang w:val="de-DE"/>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sz w:val="20"/>
                <w:lang w:val="de-DE"/>
              </w:rPr>
              <w:t>3.8 x 10</w:t>
            </w:r>
            <w:r>
              <w:rPr>
                <w:sz w:val="20"/>
                <w:vertAlign w:val="superscript"/>
                <w:lang w:val="de-DE"/>
              </w:rPr>
              <w:t>-12</w:t>
            </w:r>
            <w:r>
              <w:rPr>
                <w:sz w:val="20"/>
                <w:lang w:val="de-DE"/>
              </w:rPr>
              <w:t xml:space="preserve"> exp[(290 ± 110)/</w:t>
            </w:r>
            <w:r>
              <w:rPr>
                <w:i/>
                <w:sz w:val="20"/>
                <w:lang w:val="de-DE"/>
              </w:rPr>
              <w:t>T</w:t>
            </w:r>
            <w:r>
              <w:rPr>
                <w:sz w:val="20"/>
                <w:lang w:val="de-DE"/>
              </w:rPr>
              <w:t>]</w:t>
            </w:r>
          </w:p>
        </w:tc>
        <w:tc>
          <w:tcPr>
            <w:tcW w:w="995" w:type="dxa"/>
            <w:shd w:val="clear" w:color="auto" w:fill="auto"/>
          </w:tcPr>
          <w:p w:rsidR="00DC4A3E" w:rsidRDefault="00DC4A3E">
            <w:pPr>
              <w:snapToGrid w:val="0"/>
              <w:spacing w:line="288" w:lineRule="auto"/>
              <w:jc w:val="both"/>
              <w:rPr>
                <w:sz w:val="20"/>
                <w:lang w:val="de-DE"/>
              </w:rPr>
            </w:pPr>
            <w:r>
              <w:rPr>
                <w:sz w:val="20"/>
                <w:lang w:val="de-DE"/>
              </w:rPr>
              <w:t>213-299</w:t>
            </w:r>
            <w:r>
              <w:rPr>
                <w:sz w:val="20"/>
                <w:lang w:val="de-DE"/>
              </w:rPr>
              <w:tab/>
            </w:r>
          </w:p>
        </w:tc>
        <w:tc>
          <w:tcPr>
            <w:tcW w:w="2725" w:type="dxa"/>
            <w:shd w:val="clear" w:color="auto" w:fill="auto"/>
          </w:tcPr>
          <w:p w:rsidR="00DC4A3E" w:rsidRDefault="00DC4A3E">
            <w:pPr>
              <w:snapToGrid w:val="0"/>
              <w:spacing w:line="288" w:lineRule="auto"/>
              <w:jc w:val="both"/>
              <w:rPr>
                <w:sz w:val="20"/>
              </w:rPr>
            </w:pPr>
            <w:r>
              <w:rPr>
                <w:sz w:val="20"/>
                <w:lang w:val="de-DE"/>
              </w:rPr>
              <w:t>Ranschaert et al., 2000</w:t>
            </w:r>
          </w:p>
        </w:tc>
        <w:tc>
          <w:tcPr>
            <w:tcW w:w="1659" w:type="dxa"/>
            <w:shd w:val="clear" w:color="auto" w:fill="auto"/>
          </w:tcPr>
          <w:p w:rsidR="00DC4A3E" w:rsidRDefault="00DC4A3E">
            <w:pPr>
              <w:snapToGrid w:val="0"/>
            </w:pPr>
            <w:r>
              <w:rPr>
                <w:sz w:val="20"/>
              </w:rPr>
              <w:t>F-CIMS (d)</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rPr>
              <w:t>(10.1 ± 0.9)</w:t>
            </w:r>
            <w:r w:rsidR="00D847A2" w:rsidRPr="00FE1E26">
              <w:rPr>
                <w:sz w:val="20"/>
              </w:rPr>
              <w:t xml:space="preserve"> </w:t>
            </w:r>
            <w:r w:rsidR="00D847A2" w:rsidRPr="00FE1E26">
              <w:rPr>
                <w:sz w:val="20"/>
              </w:rPr>
              <w:sym w:font="Symbol" w:char="F0B4"/>
            </w:r>
            <w:r w:rsidR="00D847A2" w:rsidRPr="00FE1E26">
              <w:rPr>
                <w:sz w:val="20"/>
              </w:rPr>
              <w:t xml:space="preserve"> </w:t>
            </w:r>
            <w:r>
              <w:rPr>
                <w:sz w:val="20"/>
              </w:rPr>
              <w:t>10</w:t>
            </w:r>
            <w:r>
              <w:rPr>
                <w:sz w:val="20"/>
                <w:vertAlign w:val="superscript"/>
              </w:rPr>
              <w:t>-12</w:t>
            </w:r>
          </w:p>
        </w:tc>
        <w:tc>
          <w:tcPr>
            <w:tcW w:w="995" w:type="dxa"/>
            <w:shd w:val="clear" w:color="auto" w:fill="auto"/>
          </w:tcPr>
          <w:p w:rsidR="00DC4A3E" w:rsidRDefault="00DC4A3E">
            <w:pPr>
              <w:snapToGrid w:val="0"/>
              <w:spacing w:line="288" w:lineRule="auto"/>
              <w:jc w:val="both"/>
              <w:rPr>
                <w:sz w:val="20"/>
              </w:rPr>
            </w:pPr>
            <w:r>
              <w:rPr>
                <w:sz w:val="20"/>
              </w:rPr>
              <w:t>299</w:t>
            </w:r>
          </w:p>
        </w:tc>
        <w:tc>
          <w:tcPr>
            <w:tcW w:w="2725" w:type="dxa"/>
            <w:shd w:val="clear" w:color="auto" w:fill="auto"/>
          </w:tcPr>
          <w:p w:rsidR="00DC4A3E" w:rsidRDefault="00DC4A3E">
            <w:pPr>
              <w:snapToGrid w:val="0"/>
              <w:spacing w:line="288" w:lineRule="auto"/>
              <w:jc w:val="both"/>
              <w:rPr>
                <w:sz w:val="20"/>
              </w:rPr>
            </w:pPr>
          </w:p>
        </w:tc>
        <w:tc>
          <w:tcPr>
            <w:tcW w:w="1659" w:type="dxa"/>
            <w:shd w:val="clear" w:color="auto" w:fill="auto"/>
          </w:tcPr>
          <w:p w:rsidR="00DC4A3E" w:rsidRDefault="00DC4A3E">
            <w:pPr>
              <w:snapToGrid w:val="0"/>
              <w:rPr>
                <w:sz w:val="20"/>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rPr>
            </w:pPr>
            <w:r>
              <w:rPr>
                <w:sz w:val="20"/>
              </w:rPr>
              <w:t>(11 ± 0.8)</w:t>
            </w:r>
            <w:r w:rsidR="00D847A2" w:rsidRPr="00FE1E26">
              <w:rPr>
                <w:sz w:val="20"/>
              </w:rPr>
              <w:t xml:space="preserve"> </w:t>
            </w:r>
            <w:r w:rsidR="00D847A2" w:rsidRPr="00FE1E26">
              <w:rPr>
                <w:sz w:val="20"/>
              </w:rPr>
              <w:sym w:font="Symbol" w:char="F0B4"/>
            </w:r>
            <w:r w:rsidR="00D847A2" w:rsidRPr="00FE1E26">
              <w:rPr>
                <w:sz w:val="20"/>
              </w:rPr>
              <w:t xml:space="preserve"> </w:t>
            </w:r>
            <w:r>
              <w:rPr>
                <w:sz w:val="20"/>
              </w:rPr>
              <w:t>10</w:t>
            </w:r>
            <w:r>
              <w:rPr>
                <w:sz w:val="20"/>
                <w:vertAlign w:val="superscript"/>
              </w:rPr>
              <w:t>-12</w:t>
            </w:r>
          </w:p>
        </w:tc>
        <w:tc>
          <w:tcPr>
            <w:tcW w:w="995" w:type="dxa"/>
            <w:shd w:val="clear" w:color="auto" w:fill="auto"/>
          </w:tcPr>
          <w:p w:rsidR="00DC4A3E" w:rsidRDefault="00DC4A3E">
            <w:pPr>
              <w:snapToGrid w:val="0"/>
              <w:spacing w:line="288" w:lineRule="auto"/>
              <w:jc w:val="both"/>
              <w:rPr>
                <w:sz w:val="20"/>
              </w:rPr>
            </w:pPr>
            <w:r>
              <w:rPr>
                <w:sz w:val="20"/>
              </w:rPr>
              <w:t>298</w:t>
            </w:r>
          </w:p>
        </w:tc>
        <w:tc>
          <w:tcPr>
            <w:tcW w:w="2725" w:type="dxa"/>
            <w:shd w:val="clear" w:color="auto" w:fill="auto"/>
          </w:tcPr>
          <w:p w:rsidR="00DC4A3E" w:rsidRDefault="00DC4A3E">
            <w:pPr>
              <w:snapToGrid w:val="0"/>
              <w:spacing w:line="288" w:lineRule="auto"/>
              <w:jc w:val="both"/>
              <w:rPr>
                <w:sz w:val="20"/>
              </w:rPr>
            </w:pPr>
            <w:r>
              <w:rPr>
                <w:sz w:val="20"/>
              </w:rPr>
              <w:t>Xing et al., 2004</w:t>
            </w:r>
          </w:p>
        </w:tc>
        <w:tc>
          <w:tcPr>
            <w:tcW w:w="1659" w:type="dxa"/>
            <w:shd w:val="clear" w:color="auto" w:fill="auto"/>
          </w:tcPr>
          <w:p w:rsidR="00DC4A3E" w:rsidRDefault="00DC4A3E">
            <w:pPr>
              <w:snapToGrid w:val="0"/>
              <w:rPr>
                <w:sz w:val="20"/>
              </w:rPr>
            </w:pPr>
            <w:r>
              <w:rPr>
                <w:sz w:val="20"/>
              </w:rPr>
              <w:t>LP-MS (e)</w:t>
            </w:r>
          </w:p>
        </w:tc>
      </w:tr>
      <w:tr w:rsidR="00DC4A3E" w:rsidTr="009F3DF7">
        <w:tblPrEx>
          <w:tblCellMar>
            <w:left w:w="0" w:type="dxa"/>
            <w:right w:w="0" w:type="dxa"/>
          </w:tblCellMar>
        </w:tblPrEx>
        <w:tc>
          <w:tcPr>
            <w:tcW w:w="3347" w:type="dxa"/>
            <w:shd w:val="clear" w:color="auto" w:fill="auto"/>
          </w:tcPr>
          <w:p w:rsidR="00DC4A3E" w:rsidRDefault="00DC4A3E">
            <w:pPr>
              <w:snapToGrid w:val="0"/>
              <w:jc w:val="both"/>
              <w:rPr>
                <w:sz w:val="20"/>
              </w:rPr>
            </w:pPr>
            <w:r>
              <w:rPr>
                <w:sz w:val="20"/>
                <w:lang w:val="de-DE"/>
              </w:rPr>
              <w:t>1.75</w:t>
            </w:r>
            <w:r w:rsidR="00D847A2" w:rsidRPr="00FE1E26">
              <w:rPr>
                <w:sz w:val="20"/>
              </w:rPr>
              <w:t xml:space="preserve">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r>
              <w:rPr>
                <w:sz w:val="20"/>
                <w:lang w:val="de-DE"/>
              </w:rPr>
              <w:t xml:space="preserve"> exp[(462 ± 19)/</w:t>
            </w:r>
            <w:r>
              <w:rPr>
                <w:i/>
                <w:sz w:val="20"/>
                <w:lang w:val="de-DE"/>
              </w:rPr>
              <w:t>T</w:t>
            </w:r>
            <w:r>
              <w:rPr>
                <w:sz w:val="20"/>
                <w:lang w:val="de-DE"/>
              </w:rPr>
              <w:t>]</w:t>
            </w:r>
          </w:p>
        </w:tc>
        <w:tc>
          <w:tcPr>
            <w:tcW w:w="995" w:type="dxa"/>
            <w:shd w:val="clear" w:color="auto" w:fill="auto"/>
          </w:tcPr>
          <w:p w:rsidR="00DC4A3E" w:rsidRDefault="00DC4A3E">
            <w:pPr>
              <w:snapToGrid w:val="0"/>
              <w:jc w:val="both"/>
              <w:rPr>
                <w:sz w:val="20"/>
              </w:rPr>
            </w:pPr>
            <w:r>
              <w:rPr>
                <w:sz w:val="20"/>
              </w:rPr>
              <w:t>203-298</w:t>
            </w:r>
          </w:p>
        </w:tc>
        <w:tc>
          <w:tcPr>
            <w:tcW w:w="2725" w:type="dxa"/>
            <w:shd w:val="clear" w:color="auto" w:fill="auto"/>
          </w:tcPr>
          <w:p w:rsidR="00DC4A3E" w:rsidRDefault="00DC4A3E">
            <w:pPr>
              <w:snapToGrid w:val="0"/>
              <w:spacing w:line="288" w:lineRule="auto"/>
              <w:jc w:val="both"/>
              <w:rPr>
                <w:sz w:val="20"/>
              </w:rPr>
            </w:pPr>
            <w:r>
              <w:rPr>
                <w:sz w:val="20"/>
              </w:rPr>
              <w:t>Bardwell et al., 2005</w:t>
            </w:r>
          </w:p>
        </w:tc>
        <w:tc>
          <w:tcPr>
            <w:tcW w:w="1659" w:type="dxa"/>
            <w:shd w:val="clear" w:color="auto" w:fill="auto"/>
          </w:tcPr>
          <w:p w:rsidR="00DC4A3E" w:rsidRDefault="00DC4A3E">
            <w:pPr>
              <w:snapToGrid w:val="0"/>
              <w:rPr>
                <w:sz w:val="20"/>
              </w:rPr>
            </w:pPr>
            <w:r>
              <w:rPr>
                <w:sz w:val="20"/>
              </w:rPr>
              <w:t>F-CIMS (f)</w:t>
            </w:r>
          </w:p>
        </w:tc>
      </w:tr>
      <w:tr w:rsidR="00DC4A3E" w:rsidTr="009F3DF7">
        <w:tblPrEx>
          <w:tblCellMar>
            <w:left w:w="0" w:type="dxa"/>
            <w:right w:w="0" w:type="dxa"/>
          </w:tblCellMar>
        </w:tblPrEx>
        <w:tc>
          <w:tcPr>
            <w:tcW w:w="3347" w:type="dxa"/>
            <w:shd w:val="clear" w:color="auto" w:fill="auto"/>
          </w:tcPr>
          <w:p w:rsidR="00DC4A3E" w:rsidRDefault="00DC4A3E">
            <w:pPr>
              <w:snapToGrid w:val="0"/>
              <w:jc w:val="both"/>
              <w:rPr>
                <w:sz w:val="20"/>
              </w:rPr>
            </w:pPr>
            <w:r>
              <w:rPr>
                <w:sz w:val="20"/>
                <w:lang w:val="de-DE"/>
              </w:rPr>
              <w:t xml:space="preserve">(8.03 ± 0.35) </w:t>
            </w:r>
            <w:r w:rsidR="00D847A2" w:rsidRPr="00FE1E26">
              <w:rPr>
                <w:sz w:val="20"/>
              </w:rPr>
              <w:sym w:font="Symbol" w:char="F0B4"/>
            </w:r>
            <w:r w:rsidR="00D847A2" w:rsidRPr="00FE1E26">
              <w:rPr>
                <w:sz w:val="20"/>
              </w:rPr>
              <w:t xml:space="preserve"> </w:t>
            </w:r>
            <w:r>
              <w:rPr>
                <w:sz w:val="20"/>
                <w:lang w:val="de-DE"/>
              </w:rPr>
              <w:t>10</w:t>
            </w:r>
            <w:r>
              <w:rPr>
                <w:sz w:val="20"/>
                <w:vertAlign w:val="superscript"/>
                <w:lang w:val="de-DE"/>
              </w:rPr>
              <w:t>-12</w:t>
            </w:r>
          </w:p>
        </w:tc>
        <w:tc>
          <w:tcPr>
            <w:tcW w:w="995" w:type="dxa"/>
            <w:shd w:val="clear" w:color="auto" w:fill="auto"/>
          </w:tcPr>
          <w:p w:rsidR="00DC4A3E" w:rsidRDefault="00DC4A3E">
            <w:pPr>
              <w:snapToGrid w:val="0"/>
              <w:jc w:val="both"/>
              <w:rPr>
                <w:sz w:val="20"/>
              </w:rPr>
            </w:pPr>
            <w:r>
              <w:rPr>
                <w:sz w:val="20"/>
              </w:rPr>
              <w:t>298</w:t>
            </w:r>
          </w:p>
        </w:tc>
        <w:tc>
          <w:tcPr>
            <w:tcW w:w="2725" w:type="dxa"/>
            <w:shd w:val="clear" w:color="auto" w:fill="auto"/>
          </w:tcPr>
          <w:p w:rsidR="00DC4A3E" w:rsidRDefault="00DC4A3E">
            <w:pPr>
              <w:snapToGrid w:val="0"/>
              <w:jc w:val="both"/>
              <w:rPr>
                <w:sz w:val="20"/>
              </w:rPr>
            </w:pPr>
          </w:p>
        </w:tc>
        <w:tc>
          <w:tcPr>
            <w:tcW w:w="1659" w:type="dxa"/>
            <w:shd w:val="clear" w:color="auto" w:fill="auto"/>
          </w:tcPr>
          <w:p w:rsidR="00DC4A3E" w:rsidRDefault="00DC4A3E">
            <w:pPr>
              <w:snapToGrid w:val="0"/>
              <w:rPr>
                <w:sz w:val="20"/>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before="120" w:line="264" w:lineRule="auto"/>
              <w:jc w:val="both"/>
              <w:rPr>
                <w:sz w:val="20"/>
              </w:rPr>
            </w:pPr>
            <w:r>
              <w:rPr>
                <w:i/>
                <w:sz w:val="20"/>
              </w:rPr>
              <w:t>Branching Ratio</w:t>
            </w:r>
          </w:p>
        </w:tc>
        <w:tc>
          <w:tcPr>
            <w:tcW w:w="995" w:type="dxa"/>
            <w:shd w:val="clear" w:color="auto" w:fill="auto"/>
          </w:tcPr>
          <w:p w:rsidR="00DC4A3E" w:rsidRDefault="00DC4A3E">
            <w:pPr>
              <w:snapToGrid w:val="0"/>
              <w:spacing w:line="288" w:lineRule="auto"/>
              <w:jc w:val="both"/>
              <w:rPr>
                <w:sz w:val="20"/>
              </w:rPr>
            </w:pPr>
          </w:p>
        </w:tc>
        <w:tc>
          <w:tcPr>
            <w:tcW w:w="2725" w:type="dxa"/>
            <w:shd w:val="clear" w:color="auto" w:fill="auto"/>
          </w:tcPr>
          <w:p w:rsidR="00DC4A3E" w:rsidRDefault="00DC4A3E">
            <w:pPr>
              <w:snapToGrid w:val="0"/>
              <w:spacing w:line="288" w:lineRule="auto"/>
              <w:jc w:val="both"/>
              <w:rPr>
                <w:sz w:val="20"/>
              </w:rPr>
            </w:pPr>
          </w:p>
        </w:tc>
        <w:tc>
          <w:tcPr>
            <w:tcW w:w="1659" w:type="dxa"/>
            <w:shd w:val="clear" w:color="auto" w:fill="auto"/>
          </w:tcPr>
          <w:p w:rsidR="00DC4A3E" w:rsidRDefault="00DC4A3E">
            <w:pPr>
              <w:snapToGrid w:val="0"/>
              <w:rPr>
                <w:sz w:val="20"/>
              </w:rPr>
            </w:pP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i/>
                <w:sz w:val="20"/>
              </w:rPr>
              <w:t>k</w:t>
            </w:r>
            <w:r>
              <w:rPr>
                <w:sz w:val="20"/>
                <w:vertAlign w:val="subscript"/>
              </w:rPr>
              <w:t>2</w:t>
            </w:r>
            <w:r>
              <w:rPr>
                <w:sz w:val="20"/>
              </w:rPr>
              <w:t>/</w:t>
            </w:r>
            <w:r>
              <w:rPr>
                <w:i/>
                <w:sz w:val="20"/>
              </w:rPr>
              <w:t>k</w:t>
            </w:r>
            <w:r>
              <w:rPr>
                <w:sz w:val="20"/>
              </w:rPr>
              <w:t xml:space="preserve"> </w:t>
            </w:r>
            <w:r>
              <w:rPr>
                <w:rFonts w:ascii="Symbol" w:hAnsi="Symbol" w:cs="Symbol"/>
                <w:sz w:val="20"/>
              </w:rPr>
              <w:t></w:t>
            </w:r>
            <w:r>
              <w:rPr>
                <w:sz w:val="20"/>
              </w:rPr>
              <w:t xml:space="preserve"> 0.014 (1 bar)</w:t>
            </w:r>
          </w:p>
        </w:tc>
        <w:tc>
          <w:tcPr>
            <w:tcW w:w="995" w:type="dxa"/>
            <w:shd w:val="clear" w:color="auto" w:fill="auto"/>
          </w:tcPr>
          <w:p w:rsidR="00DC4A3E" w:rsidRDefault="00DC4A3E">
            <w:pPr>
              <w:snapToGrid w:val="0"/>
              <w:spacing w:line="288" w:lineRule="auto"/>
              <w:jc w:val="both"/>
              <w:rPr>
                <w:sz w:val="20"/>
                <w:lang w:val="de-DE"/>
              </w:rPr>
            </w:pPr>
            <w:r>
              <w:rPr>
                <w:sz w:val="20"/>
                <w:lang w:val="de-DE"/>
              </w:rPr>
              <w:t>299</w:t>
            </w:r>
          </w:p>
        </w:tc>
        <w:tc>
          <w:tcPr>
            <w:tcW w:w="2725" w:type="dxa"/>
            <w:shd w:val="clear" w:color="auto" w:fill="auto"/>
          </w:tcPr>
          <w:p w:rsidR="00DC4A3E" w:rsidRDefault="00DC4A3E">
            <w:pPr>
              <w:snapToGrid w:val="0"/>
              <w:spacing w:line="288" w:lineRule="auto"/>
              <w:jc w:val="both"/>
              <w:rPr>
                <w:sz w:val="20"/>
                <w:lang w:val="de-DE"/>
              </w:rPr>
            </w:pPr>
            <w:r>
              <w:rPr>
                <w:sz w:val="20"/>
                <w:lang w:val="de-DE"/>
              </w:rPr>
              <w:t>Atkinson et al., 1982</w:t>
            </w:r>
          </w:p>
        </w:tc>
        <w:tc>
          <w:tcPr>
            <w:tcW w:w="1659" w:type="dxa"/>
            <w:shd w:val="clear" w:color="auto" w:fill="auto"/>
          </w:tcPr>
          <w:p w:rsidR="00DC4A3E" w:rsidRDefault="00DC4A3E">
            <w:pPr>
              <w:snapToGrid w:val="0"/>
              <w:rPr>
                <w:sz w:val="20"/>
                <w:lang w:val="de-DE"/>
              </w:rPr>
            </w:pPr>
            <w:r>
              <w:rPr>
                <w:sz w:val="20"/>
                <w:lang w:val="de-DE"/>
              </w:rPr>
              <w:t>(g)</w:t>
            </w:r>
          </w:p>
        </w:tc>
      </w:tr>
      <w:tr w:rsidR="00DC4A3E" w:rsidTr="009F3DF7">
        <w:tblPrEx>
          <w:tblCellMar>
            <w:left w:w="0" w:type="dxa"/>
            <w:right w:w="0" w:type="dxa"/>
          </w:tblCellMar>
        </w:tblPrEx>
        <w:tc>
          <w:tcPr>
            <w:tcW w:w="3347" w:type="dxa"/>
            <w:shd w:val="clear" w:color="auto" w:fill="auto"/>
          </w:tcPr>
          <w:p w:rsidR="00DC4A3E" w:rsidRDefault="00DC4A3E">
            <w:pPr>
              <w:snapToGrid w:val="0"/>
              <w:spacing w:line="288" w:lineRule="auto"/>
              <w:jc w:val="both"/>
              <w:rPr>
                <w:sz w:val="20"/>
                <w:lang w:val="de-DE"/>
              </w:rPr>
            </w:pPr>
            <w:r>
              <w:rPr>
                <w:i/>
                <w:sz w:val="20"/>
                <w:lang w:val="de-DE"/>
              </w:rPr>
              <w:t>k</w:t>
            </w:r>
            <w:r>
              <w:rPr>
                <w:sz w:val="20"/>
                <w:vertAlign w:val="subscript"/>
                <w:lang w:val="de-DE"/>
              </w:rPr>
              <w:t>2</w:t>
            </w:r>
            <w:r>
              <w:rPr>
                <w:sz w:val="20"/>
                <w:lang w:val="de-DE"/>
              </w:rPr>
              <w:t>/</w:t>
            </w:r>
            <w:r>
              <w:rPr>
                <w:i/>
                <w:sz w:val="20"/>
                <w:lang w:val="de-DE"/>
              </w:rPr>
              <w:t xml:space="preserve">k = </w:t>
            </w:r>
            <w:r>
              <w:rPr>
                <w:sz w:val="20"/>
                <w:lang w:val="de-DE"/>
              </w:rPr>
              <w:t>1.2</w:t>
            </w:r>
            <w:r w:rsidR="00FE1E26" w:rsidRPr="00FE1E26">
              <w:rPr>
                <w:sz w:val="20"/>
              </w:rPr>
              <w:sym w:font="Symbol" w:char="F0B4"/>
            </w:r>
            <w:r w:rsidR="00FE1E26">
              <w:rPr>
                <w:sz w:val="20"/>
                <w:lang w:val="de-DE"/>
              </w:rPr>
              <w:t xml:space="preserve"> </w:t>
            </w:r>
            <w:r>
              <w:rPr>
                <w:sz w:val="20"/>
                <w:lang w:val="de-DE"/>
              </w:rPr>
              <w:t>10</w:t>
            </w:r>
            <w:r>
              <w:rPr>
                <w:sz w:val="20"/>
                <w:vertAlign w:val="superscript"/>
                <w:lang w:val="de-DE"/>
              </w:rPr>
              <w:t>-3</w:t>
            </w:r>
            <w:r>
              <w:rPr>
                <w:sz w:val="20"/>
                <w:lang w:val="de-DE"/>
              </w:rPr>
              <w:t xml:space="preserve"> exp(610/</w:t>
            </w:r>
            <w:r>
              <w:rPr>
                <w:i/>
                <w:sz w:val="20"/>
                <w:lang w:val="de-DE"/>
              </w:rPr>
              <w:t>T</w:t>
            </w:r>
            <w:r>
              <w:rPr>
                <w:sz w:val="20"/>
                <w:lang w:val="de-DE"/>
              </w:rPr>
              <w:t>)</w:t>
            </w:r>
          </w:p>
        </w:tc>
        <w:tc>
          <w:tcPr>
            <w:tcW w:w="995" w:type="dxa"/>
            <w:shd w:val="clear" w:color="auto" w:fill="auto"/>
          </w:tcPr>
          <w:p w:rsidR="00DC4A3E" w:rsidRDefault="00DC4A3E">
            <w:pPr>
              <w:snapToGrid w:val="0"/>
              <w:spacing w:line="288" w:lineRule="auto"/>
              <w:jc w:val="both"/>
              <w:rPr>
                <w:sz w:val="20"/>
                <w:lang w:val="de-DE"/>
              </w:rPr>
            </w:pPr>
            <w:r>
              <w:rPr>
                <w:sz w:val="20"/>
                <w:lang w:val="de-DE"/>
              </w:rPr>
              <w:t>213-298</w:t>
            </w:r>
          </w:p>
        </w:tc>
        <w:tc>
          <w:tcPr>
            <w:tcW w:w="2725" w:type="dxa"/>
            <w:shd w:val="clear" w:color="auto" w:fill="auto"/>
          </w:tcPr>
          <w:p w:rsidR="00DC4A3E" w:rsidRDefault="00DC4A3E">
            <w:pPr>
              <w:snapToGrid w:val="0"/>
              <w:spacing w:line="288" w:lineRule="auto"/>
              <w:jc w:val="both"/>
              <w:rPr>
                <w:sz w:val="20"/>
                <w:lang w:val="de-DE"/>
              </w:rPr>
            </w:pPr>
            <w:r>
              <w:rPr>
                <w:sz w:val="20"/>
                <w:lang w:val="de-DE"/>
              </w:rPr>
              <w:t>Ranschaert et al., 2000</w:t>
            </w:r>
          </w:p>
        </w:tc>
        <w:tc>
          <w:tcPr>
            <w:tcW w:w="1659" w:type="dxa"/>
            <w:shd w:val="clear" w:color="auto" w:fill="auto"/>
          </w:tcPr>
          <w:p w:rsidR="00DC4A3E" w:rsidRDefault="00DC4A3E">
            <w:pPr>
              <w:snapToGrid w:val="0"/>
              <w:rPr>
                <w:sz w:val="20"/>
                <w:lang w:val="de-DE"/>
              </w:rPr>
            </w:pPr>
            <w:r>
              <w:rPr>
                <w:sz w:val="20"/>
                <w:lang w:val="de-DE"/>
              </w:rPr>
              <w:t>(h)</w:t>
            </w:r>
          </w:p>
        </w:tc>
      </w:tr>
      <w:tr w:rsidR="00DC4A3E" w:rsidTr="009F3DF7">
        <w:tblPrEx>
          <w:tblCellMar>
            <w:left w:w="0" w:type="dxa"/>
            <w:right w:w="0" w:type="dxa"/>
          </w:tblCellMar>
        </w:tblPrEx>
        <w:tc>
          <w:tcPr>
            <w:tcW w:w="3347" w:type="dxa"/>
            <w:shd w:val="clear" w:color="auto" w:fill="auto"/>
          </w:tcPr>
          <w:p w:rsidR="00DC4A3E" w:rsidRDefault="00DC4A3E" w:rsidP="009F3DF7">
            <w:pPr>
              <w:snapToGrid w:val="0"/>
              <w:spacing w:line="288" w:lineRule="auto"/>
              <w:jc w:val="both"/>
              <w:rPr>
                <w:sz w:val="20"/>
                <w:lang w:val="de-DE"/>
              </w:rPr>
            </w:pPr>
            <w:r>
              <w:rPr>
                <w:i/>
                <w:sz w:val="20"/>
                <w:lang w:val="de-DE"/>
              </w:rPr>
              <w:t>k</w:t>
            </w:r>
            <w:r>
              <w:rPr>
                <w:sz w:val="20"/>
                <w:vertAlign w:val="subscript"/>
                <w:lang w:val="de-DE"/>
              </w:rPr>
              <w:t>2</w:t>
            </w:r>
            <w:r>
              <w:rPr>
                <w:sz w:val="20"/>
                <w:lang w:val="de-DE"/>
              </w:rPr>
              <w:t>/</w:t>
            </w:r>
            <w:r>
              <w:rPr>
                <w:i/>
                <w:sz w:val="20"/>
                <w:lang w:val="de-DE"/>
              </w:rPr>
              <w:t>k</w:t>
            </w:r>
            <w:r>
              <w:rPr>
                <w:sz w:val="20"/>
                <w:lang w:val="de-DE"/>
              </w:rPr>
              <w:t xml:space="preserve"> = </w:t>
            </w:r>
            <w:r w:rsidR="009F3DF7">
              <w:rPr>
                <w:sz w:val="20"/>
                <w:lang w:val="de-DE"/>
              </w:rPr>
              <w:t xml:space="preserve">6 </w:t>
            </w:r>
            <w:r w:rsidR="009F3DF7" w:rsidRPr="009F3DF7">
              <w:rPr>
                <w:sz w:val="20"/>
              </w:rPr>
              <w:sym w:font="Symbol" w:char="F0B4"/>
            </w:r>
            <w:r w:rsidR="009F3DF7">
              <w:rPr>
                <w:sz w:val="20"/>
                <w:lang w:val="de-DE"/>
              </w:rPr>
              <w:t xml:space="preserve"> 10</w:t>
            </w:r>
            <w:r w:rsidR="009F3DF7" w:rsidRPr="009F3DF7">
              <w:rPr>
                <w:sz w:val="20"/>
                <w:vertAlign w:val="superscript"/>
                <w:lang w:val="de-DE"/>
              </w:rPr>
              <w:t>-3</w:t>
            </w:r>
            <w:r>
              <w:rPr>
                <w:sz w:val="20"/>
                <w:lang w:val="de-DE"/>
              </w:rPr>
              <w:t xml:space="preserve"> (100 Torr N</w:t>
            </w:r>
            <w:r>
              <w:rPr>
                <w:sz w:val="20"/>
                <w:vertAlign w:val="subscript"/>
                <w:lang w:val="de-DE"/>
              </w:rPr>
              <w:t>2</w:t>
            </w:r>
            <w:r>
              <w:rPr>
                <w:sz w:val="20"/>
                <w:lang w:val="de-DE"/>
              </w:rPr>
              <w:t>)</w:t>
            </w:r>
          </w:p>
        </w:tc>
        <w:tc>
          <w:tcPr>
            <w:tcW w:w="995" w:type="dxa"/>
            <w:shd w:val="clear" w:color="auto" w:fill="auto"/>
          </w:tcPr>
          <w:p w:rsidR="00DC4A3E" w:rsidRDefault="00DC4A3E">
            <w:pPr>
              <w:snapToGrid w:val="0"/>
              <w:spacing w:line="288" w:lineRule="auto"/>
              <w:jc w:val="both"/>
              <w:rPr>
                <w:sz w:val="20"/>
                <w:lang w:val="de-DE"/>
              </w:rPr>
            </w:pPr>
            <w:r>
              <w:rPr>
                <w:sz w:val="20"/>
                <w:lang w:val="de-DE"/>
              </w:rPr>
              <w:t>298</w:t>
            </w:r>
          </w:p>
        </w:tc>
        <w:tc>
          <w:tcPr>
            <w:tcW w:w="2725" w:type="dxa"/>
            <w:shd w:val="clear" w:color="auto" w:fill="auto"/>
          </w:tcPr>
          <w:p w:rsidR="00DC4A3E" w:rsidRDefault="00DC4A3E">
            <w:pPr>
              <w:snapToGrid w:val="0"/>
              <w:spacing w:line="288" w:lineRule="auto"/>
              <w:jc w:val="both"/>
              <w:rPr>
                <w:sz w:val="20"/>
                <w:lang w:val="de-DE"/>
              </w:rPr>
            </w:pPr>
          </w:p>
        </w:tc>
        <w:tc>
          <w:tcPr>
            <w:tcW w:w="1659" w:type="dxa"/>
            <w:shd w:val="clear" w:color="auto" w:fill="auto"/>
          </w:tcPr>
          <w:p w:rsidR="00DC4A3E" w:rsidRDefault="00DC4A3E">
            <w:pPr>
              <w:snapToGrid w:val="0"/>
              <w:rPr>
                <w:sz w:val="20"/>
                <w:lang w:val="de-DE"/>
              </w:rPr>
            </w:pPr>
          </w:p>
        </w:tc>
      </w:tr>
      <w:tr w:rsidR="00DC4A3E" w:rsidTr="009F3DF7">
        <w:tblPrEx>
          <w:tblCellMar>
            <w:left w:w="0" w:type="dxa"/>
            <w:right w:w="0" w:type="dxa"/>
          </w:tblCellMar>
        </w:tblPrEx>
        <w:tc>
          <w:tcPr>
            <w:tcW w:w="3347" w:type="dxa"/>
            <w:shd w:val="clear" w:color="auto" w:fill="auto"/>
          </w:tcPr>
          <w:p w:rsidR="00DC4A3E" w:rsidRDefault="00DC4A3E" w:rsidP="009F3DF7">
            <w:pPr>
              <w:snapToGrid w:val="0"/>
              <w:jc w:val="both"/>
              <w:rPr>
                <w:sz w:val="20"/>
              </w:rPr>
            </w:pPr>
            <w:r>
              <w:rPr>
                <w:i/>
                <w:sz w:val="20"/>
              </w:rPr>
              <w:t>k</w:t>
            </w:r>
            <w:r>
              <w:rPr>
                <w:sz w:val="20"/>
                <w:vertAlign w:val="subscript"/>
              </w:rPr>
              <w:t>2</w:t>
            </w:r>
            <w:r>
              <w:rPr>
                <w:sz w:val="20"/>
              </w:rPr>
              <w:t>/</w:t>
            </w:r>
            <w:r>
              <w:rPr>
                <w:i/>
                <w:sz w:val="20"/>
              </w:rPr>
              <w:t>k</w:t>
            </w:r>
            <w:r>
              <w:rPr>
                <w:sz w:val="20"/>
              </w:rPr>
              <w:t xml:space="preserve"> = </w:t>
            </w:r>
            <w:r w:rsidR="009F3DF7">
              <w:rPr>
                <w:sz w:val="20"/>
              </w:rPr>
              <w:t xml:space="preserve">20 </w:t>
            </w:r>
            <w:r w:rsidR="009F3DF7" w:rsidRPr="009F3DF7">
              <w:rPr>
                <w:sz w:val="20"/>
              </w:rPr>
              <w:sym w:font="Symbol" w:char="F0B4"/>
            </w:r>
            <w:r w:rsidR="009F3DF7">
              <w:rPr>
                <w:sz w:val="20"/>
              </w:rPr>
              <w:t xml:space="preserve"> 10</w:t>
            </w:r>
            <w:r w:rsidR="009F3DF7" w:rsidRPr="009F3DF7">
              <w:rPr>
                <w:sz w:val="20"/>
                <w:vertAlign w:val="superscript"/>
              </w:rPr>
              <w:t>-3</w:t>
            </w:r>
            <w:r>
              <w:rPr>
                <w:sz w:val="20"/>
              </w:rPr>
              <w:t xml:space="preserve"> (100 Torr N</w:t>
            </w:r>
            <w:r>
              <w:rPr>
                <w:sz w:val="20"/>
                <w:vertAlign w:val="subscript"/>
              </w:rPr>
              <w:t>2</w:t>
            </w:r>
            <w:r>
              <w:rPr>
                <w:sz w:val="20"/>
              </w:rPr>
              <w:t>)</w:t>
            </w:r>
          </w:p>
        </w:tc>
        <w:tc>
          <w:tcPr>
            <w:tcW w:w="995" w:type="dxa"/>
            <w:shd w:val="clear" w:color="auto" w:fill="auto"/>
          </w:tcPr>
          <w:p w:rsidR="00DC4A3E" w:rsidRDefault="00DC4A3E">
            <w:pPr>
              <w:snapToGrid w:val="0"/>
              <w:jc w:val="both"/>
              <w:rPr>
                <w:sz w:val="20"/>
              </w:rPr>
            </w:pPr>
            <w:r>
              <w:rPr>
                <w:sz w:val="20"/>
              </w:rPr>
              <w:t>213</w:t>
            </w:r>
          </w:p>
        </w:tc>
        <w:tc>
          <w:tcPr>
            <w:tcW w:w="2725" w:type="dxa"/>
            <w:shd w:val="clear" w:color="auto" w:fill="auto"/>
          </w:tcPr>
          <w:p w:rsidR="00DC4A3E" w:rsidRDefault="00DC4A3E">
            <w:pPr>
              <w:snapToGrid w:val="0"/>
              <w:jc w:val="both"/>
              <w:rPr>
                <w:sz w:val="20"/>
              </w:rPr>
            </w:pPr>
          </w:p>
        </w:tc>
        <w:tc>
          <w:tcPr>
            <w:tcW w:w="1659" w:type="dxa"/>
            <w:shd w:val="clear" w:color="auto" w:fill="auto"/>
          </w:tcPr>
          <w:p w:rsidR="00DC4A3E" w:rsidRDefault="00DC4A3E">
            <w:pPr>
              <w:snapToGrid w:val="0"/>
              <w:rPr>
                <w:sz w:val="20"/>
              </w:rPr>
            </w:pPr>
          </w:p>
        </w:tc>
      </w:tr>
      <w:tr w:rsidR="00DC4A3E" w:rsidTr="009F3DF7">
        <w:tblPrEx>
          <w:tblCellMar>
            <w:left w:w="0" w:type="dxa"/>
            <w:right w:w="0" w:type="dxa"/>
          </w:tblCellMar>
        </w:tblPrEx>
        <w:tc>
          <w:tcPr>
            <w:tcW w:w="3347" w:type="dxa"/>
            <w:shd w:val="clear" w:color="auto" w:fill="auto"/>
          </w:tcPr>
          <w:p w:rsidR="00DC4A3E" w:rsidRDefault="00DC4A3E" w:rsidP="00E9275F">
            <w:pPr>
              <w:snapToGrid w:val="0"/>
              <w:spacing w:after="120" w:line="288" w:lineRule="auto"/>
              <w:jc w:val="both"/>
              <w:rPr>
                <w:sz w:val="20"/>
              </w:rPr>
            </w:pPr>
            <w:r>
              <w:rPr>
                <w:i/>
                <w:sz w:val="20"/>
              </w:rPr>
              <w:t>k</w:t>
            </w:r>
            <w:r>
              <w:rPr>
                <w:sz w:val="20"/>
                <w:vertAlign w:val="subscript"/>
              </w:rPr>
              <w:t>1</w:t>
            </w:r>
            <w:r>
              <w:rPr>
                <w:sz w:val="20"/>
              </w:rPr>
              <w:t>/</w:t>
            </w:r>
            <w:r>
              <w:rPr>
                <w:i/>
                <w:sz w:val="20"/>
              </w:rPr>
              <w:t>k</w:t>
            </w:r>
            <w:r>
              <w:rPr>
                <w:sz w:val="20"/>
              </w:rPr>
              <w:t xml:space="preserve"> = 1.0</w:t>
            </w:r>
            <w:r w:rsidR="00FE1E26">
              <w:rPr>
                <w:sz w:val="20"/>
              </w:rPr>
              <w:t xml:space="preserve"> </w:t>
            </w:r>
            <w:r>
              <w:rPr>
                <w:sz w:val="20"/>
              </w:rPr>
              <w:t>±</w:t>
            </w:r>
            <w:r w:rsidR="00FE1E26">
              <w:rPr>
                <w:sz w:val="20"/>
              </w:rPr>
              <w:t xml:space="preserve"> </w:t>
            </w:r>
            <w:r>
              <w:rPr>
                <w:sz w:val="20"/>
              </w:rPr>
              <w:t>0.05  (133-266 mbar N</w:t>
            </w:r>
            <w:r>
              <w:rPr>
                <w:sz w:val="20"/>
                <w:vertAlign w:val="subscript"/>
              </w:rPr>
              <w:t>2</w:t>
            </w:r>
            <w:r>
              <w:rPr>
                <w:sz w:val="20"/>
              </w:rPr>
              <w:t>)</w:t>
            </w:r>
          </w:p>
        </w:tc>
        <w:tc>
          <w:tcPr>
            <w:tcW w:w="995" w:type="dxa"/>
            <w:shd w:val="clear" w:color="auto" w:fill="auto"/>
          </w:tcPr>
          <w:p w:rsidR="00DC4A3E" w:rsidRDefault="00DC4A3E" w:rsidP="00E9275F">
            <w:pPr>
              <w:snapToGrid w:val="0"/>
              <w:spacing w:after="120" w:line="288" w:lineRule="auto"/>
              <w:jc w:val="both"/>
              <w:rPr>
                <w:sz w:val="20"/>
              </w:rPr>
            </w:pPr>
            <w:r>
              <w:rPr>
                <w:sz w:val="20"/>
              </w:rPr>
              <w:t>203-298</w:t>
            </w:r>
          </w:p>
        </w:tc>
        <w:tc>
          <w:tcPr>
            <w:tcW w:w="2725" w:type="dxa"/>
            <w:shd w:val="clear" w:color="auto" w:fill="auto"/>
          </w:tcPr>
          <w:p w:rsidR="00DC4A3E" w:rsidRDefault="00DC4A3E" w:rsidP="00E9275F">
            <w:pPr>
              <w:snapToGrid w:val="0"/>
              <w:spacing w:after="120" w:line="288" w:lineRule="auto"/>
              <w:jc w:val="both"/>
              <w:rPr>
                <w:sz w:val="20"/>
              </w:rPr>
            </w:pPr>
            <w:r>
              <w:rPr>
                <w:sz w:val="20"/>
              </w:rPr>
              <w:t>Bardwell et al., 2005</w:t>
            </w:r>
          </w:p>
        </w:tc>
        <w:tc>
          <w:tcPr>
            <w:tcW w:w="1659" w:type="dxa"/>
            <w:shd w:val="clear" w:color="auto" w:fill="auto"/>
          </w:tcPr>
          <w:p w:rsidR="00DC4A3E" w:rsidRDefault="00DC4A3E">
            <w:pPr>
              <w:snapToGrid w:val="0"/>
              <w:rPr>
                <w:sz w:val="20"/>
              </w:rPr>
            </w:pPr>
            <w:r>
              <w:rPr>
                <w:sz w:val="20"/>
              </w:rPr>
              <w:t>F-CIMS (f)</w:t>
            </w:r>
          </w:p>
        </w:tc>
      </w:tr>
      <w:tr w:rsidR="00DC4A3E" w:rsidTr="009F3DF7">
        <w:tblPrEx>
          <w:tblCellMar>
            <w:left w:w="0" w:type="dxa"/>
            <w:right w:w="0" w:type="dxa"/>
          </w:tblCellMar>
        </w:tblPrEx>
        <w:tc>
          <w:tcPr>
            <w:tcW w:w="3347" w:type="dxa"/>
            <w:shd w:val="clear" w:color="auto" w:fill="auto"/>
          </w:tcPr>
          <w:p w:rsidR="00DC4A3E" w:rsidRPr="00FE1E26" w:rsidRDefault="00DC4A3E" w:rsidP="009F3DF7">
            <w:pPr>
              <w:snapToGrid w:val="0"/>
              <w:jc w:val="both"/>
              <w:rPr>
                <w:i/>
                <w:sz w:val="20"/>
              </w:rPr>
            </w:pPr>
            <w:r w:rsidRPr="00FE1E26">
              <w:rPr>
                <w:i/>
                <w:sz w:val="20"/>
              </w:rPr>
              <w:t>k</w:t>
            </w:r>
            <w:r w:rsidRPr="00FE1E26">
              <w:rPr>
                <w:sz w:val="20"/>
                <w:vertAlign w:val="subscript"/>
              </w:rPr>
              <w:t>2</w:t>
            </w:r>
            <w:r w:rsidRPr="00FE1E26">
              <w:rPr>
                <w:sz w:val="20"/>
              </w:rPr>
              <w:t>/</w:t>
            </w:r>
            <w:r w:rsidRPr="00FE1E26">
              <w:rPr>
                <w:i/>
                <w:sz w:val="20"/>
              </w:rPr>
              <w:t>k</w:t>
            </w:r>
            <w:r w:rsidR="00DA6DF5" w:rsidRPr="00DA6DF5">
              <w:rPr>
                <w:sz w:val="20"/>
                <w:vertAlign w:val="subscript"/>
              </w:rPr>
              <w:t>1</w:t>
            </w:r>
            <w:r w:rsidRPr="00FE1E26">
              <w:rPr>
                <w:sz w:val="20"/>
              </w:rPr>
              <w:t xml:space="preserve"> = </w:t>
            </w:r>
            <w:r w:rsidR="009F3DF7" w:rsidRPr="00FE1E26">
              <w:rPr>
                <w:sz w:val="20"/>
              </w:rPr>
              <w:t xml:space="preserve">(7.4 </w:t>
            </w:r>
            <w:r w:rsidR="009F3DF7" w:rsidRPr="00FE1E26">
              <w:rPr>
                <w:sz w:val="20"/>
              </w:rPr>
              <w:sym w:font="Symbol" w:char="F0B1"/>
            </w:r>
            <w:r w:rsidR="009F3DF7" w:rsidRPr="00FE1E26">
              <w:rPr>
                <w:sz w:val="20"/>
              </w:rPr>
              <w:t xml:space="preserve"> 1) </w:t>
            </w:r>
            <w:r w:rsidR="009F3DF7" w:rsidRPr="00FE1E26">
              <w:rPr>
                <w:sz w:val="20"/>
              </w:rPr>
              <w:sym w:font="Symbol" w:char="F0B4"/>
            </w:r>
            <w:r w:rsidR="009F3DF7" w:rsidRPr="00FE1E26">
              <w:rPr>
                <w:sz w:val="20"/>
              </w:rPr>
              <w:t xml:space="preserve"> 10</w:t>
            </w:r>
            <w:r w:rsidR="009F3DF7" w:rsidRPr="00FE1E26">
              <w:rPr>
                <w:sz w:val="20"/>
                <w:vertAlign w:val="superscript"/>
              </w:rPr>
              <w:t>-3</w:t>
            </w:r>
            <w:r w:rsidR="009F3DF7" w:rsidRPr="00FE1E26">
              <w:rPr>
                <w:sz w:val="20"/>
              </w:rPr>
              <w:t xml:space="preserve"> </w:t>
            </w:r>
            <w:r w:rsidRPr="00FE1E26">
              <w:rPr>
                <w:sz w:val="20"/>
              </w:rPr>
              <w:t>(100 Torr N</w:t>
            </w:r>
            <w:r w:rsidRPr="00FE1E26">
              <w:rPr>
                <w:sz w:val="20"/>
                <w:vertAlign w:val="subscript"/>
              </w:rPr>
              <w:t>2</w:t>
            </w:r>
            <w:r w:rsidRPr="00FE1E26">
              <w:rPr>
                <w:sz w:val="20"/>
              </w:rPr>
              <w:t>)</w:t>
            </w:r>
          </w:p>
        </w:tc>
        <w:tc>
          <w:tcPr>
            <w:tcW w:w="995" w:type="dxa"/>
            <w:shd w:val="clear" w:color="auto" w:fill="auto"/>
          </w:tcPr>
          <w:p w:rsidR="00DC4A3E" w:rsidRDefault="009F3DF7">
            <w:pPr>
              <w:snapToGrid w:val="0"/>
              <w:jc w:val="both"/>
              <w:rPr>
                <w:sz w:val="20"/>
              </w:rPr>
            </w:pPr>
            <w:r>
              <w:rPr>
                <w:sz w:val="20"/>
              </w:rPr>
              <w:t>298</w:t>
            </w:r>
          </w:p>
        </w:tc>
        <w:tc>
          <w:tcPr>
            <w:tcW w:w="2725" w:type="dxa"/>
            <w:shd w:val="clear" w:color="auto" w:fill="auto"/>
          </w:tcPr>
          <w:p w:rsidR="00DC4A3E" w:rsidRDefault="00DC4A3E">
            <w:pPr>
              <w:snapToGrid w:val="0"/>
              <w:jc w:val="both"/>
              <w:rPr>
                <w:sz w:val="20"/>
              </w:rPr>
            </w:pPr>
            <w:r w:rsidRPr="00DC4A3E">
              <w:rPr>
                <w:sz w:val="20"/>
              </w:rPr>
              <w:t>Butkovskaya</w:t>
            </w:r>
            <w:r>
              <w:rPr>
                <w:sz w:val="20"/>
              </w:rPr>
              <w:t xml:space="preserve"> et al., 2010</w:t>
            </w:r>
          </w:p>
        </w:tc>
        <w:tc>
          <w:tcPr>
            <w:tcW w:w="1659" w:type="dxa"/>
            <w:shd w:val="clear" w:color="auto" w:fill="auto"/>
          </w:tcPr>
          <w:p w:rsidR="00DC4A3E" w:rsidRDefault="00DC4A3E">
            <w:pPr>
              <w:snapToGrid w:val="0"/>
              <w:rPr>
                <w:sz w:val="20"/>
              </w:rPr>
            </w:pPr>
            <w:r>
              <w:rPr>
                <w:sz w:val="20"/>
              </w:rPr>
              <w:t>F-CIMS (i)</w:t>
            </w:r>
          </w:p>
        </w:tc>
      </w:tr>
      <w:tr w:rsidR="00DC4A3E" w:rsidTr="009F3DF7">
        <w:tblPrEx>
          <w:tblCellMar>
            <w:left w:w="0" w:type="dxa"/>
            <w:right w:w="0" w:type="dxa"/>
          </w:tblCellMar>
        </w:tblPrEx>
        <w:tc>
          <w:tcPr>
            <w:tcW w:w="3347" w:type="dxa"/>
            <w:shd w:val="clear" w:color="auto" w:fill="auto"/>
          </w:tcPr>
          <w:p w:rsidR="00DC4A3E" w:rsidRPr="00FE1E26" w:rsidRDefault="009F3DF7" w:rsidP="009F3DF7">
            <w:pPr>
              <w:snapToGrid w:val="0"/>
              <w:jc w:val="both"/>
              <w:rPr>
                <w:i/>
                <w:sz w:val="20"/>
              </w:rPr>
            </w:pPr>
            <w:r w:rsidRPr="00FE1E26">
              <w:rPr>
                <w:i/>
                <w:sz w:val="20"/>
              </w:rPr>
              <w:t>k</w:t>
            </w:r>
            <w:r w:rsidRPr="00FE1E26">
              <w:rPr>
                <w:sz w:val="20"/>
                <w:vertAlign w:val="subscript"/>
              </w:rPr>
              <w:t>2</w:t>
            </w:r>
            <w:r w:rsidRPr="00FE1E26">
              <w:rPr>
                <w:sz w:val="20"/>
              </w:rPr>
              <w:t>/</w:t>
            </w:r>
            <w:r w:rsidRPr="00FE1E26">
              <w:rPr>
                <w:i/>
                <w:sz w:val="20"/>
              </w:rPr>
              <w:t>k</w:t>
            </w:r>
            <w:r w:rsidR="00DA6DF5" w:rsidRPr="00DA6DF5">
              <w:rPr>
                <w:sz w:val="20"/>
                <w:vertAlign w:val="subscript"/>
              </w:rPr>
              <w:t>1</w:t>
            </w:r>
            <w:r w:rsidRPr="00FE1E26">
              <w:rPr>
                <w:sz w:val="20"/>
              </w:rPr>
              <w:t xml:space="preserve"> = (26.8 </w:t>
            </w:r>
            <w:r w:rsidRPr="00FE1E26">
              <w:rPr>
                <w:sz w:val="20"/>
              </w:rPr>
              <w:sym w:font="Symbol" w:char="F0B1"/>
            </w:r>
            <w:r w:rsidRPr="00FE1E26">
              <w:rPr>
                <w:sz w:val="20"/>
              </w:rPr>
              <w:t xml:space="preserve"> 3.4) </w:t>
            </w:r>
            <w:r w:rsidRPr="00FE1E26">
              <w:rPr>
                <w:sz w:val="20"/>
              </w:rPr>
              <w:sym w:font="Symbol" w:char="F0B4"/>
            </w:r>
            <w:r w:rsidRPr="00FE1E26">
              <w:rPr>
                <w:sz w:val="20"/>
              </w:rPr>
              <w:t xml:space="preserve"> 10</w:t>
            </w:r>
            <w:r w:rsidRPr="00FE1E26">
              <w:rPr>
                <w:sz w:val="20"/>
                <w:vertAlign w:val="superscript"/>
              </w:rPr>
              <w:t>-3</w:t>
            </w:r>
            <w:r w:rsidRPr="00FE1E26">
              <w:rPr>
                <w:sz w:val="20"/>
              </w:rPr>
              <w:t xml:space="preserve"> (600 Torr N</w:t>
            </w:r>
            <w:r w:rsidRPr="00FE1E26">
              <w:rPr>
                <w:sz w:val="20"/>
                <w:vertAlign w:val="subscript"/>
              </w:rPr>
              <w:t>2</w:t>
            </w:r>
            <w:r w:rsidRPr="00FE1E26">
              <w:rPr>
                <w:sz w:val="20"/>
              </w:rPr>
              <w:t>)</w:t>
            </w:r>
          </w:p>
        </w:tc>
        <w:tc>
          <w:tcPr>
            <w:tcW w:w="995" w:type="dxa"/>
            <w:shd w:val="clear" w:color="auto" w:fill="auto"/>
          </w:tcPr>
          <w:p w:rsidR="00DC4A3E" w:rsidRDefault="00DC4A3E">
            <w:pPr>
              <w:snapToGrid w:val="0"/>
              <w:jc w:val="both"/>
              <w:rPr>
                <w:sz w:val="20"/>
              </w:rPr>
            </w:pPr>
          </w:p>
        </w:tc>
        <w:tc>
          <w:tcPr>
            <w:tcW w:w="2725" w:type="dxa"/>
            <w:shd w:val="clear" w:color="auto" w:fill="auto"/>
          </w:tcPr>
          <w:p w:rsidR="00DC4A3E" w:rsidRDefault="00DC4A3E">
            <w:pPr>
              <w:snapToGrid w:val="0"/>
              <w:jc w:val="both"/>
              <w:rPr>
                <w:sz w:val="20"/>
              </w:rPr>
            </w:pPr>
          </w:p>
        </w:tc>
        <w:tc>
          <w:tcPr>
            <w:tcW w:w="1659" w:type="dxa"/>
            <w:shd w:val="clear" w:color="auto" w:fill="auto"/>
          </w:tcPr>
          <w:p w:rsidR="00DC4A3E" w:rsidRDefault="00DC4A3E">
            <w:pPr>
              <w:snapToGrid w:val="0"/>
              <w:rPr>
                <w:sz w:val="20"/>
              </w:rPr>
            </w:pPr>
          </w:p>
        </w:tc>
      </w:tr>
      <w:tr w:rsidR="009F3DF7" w:rsidTr="009F3DF7">
        <w:tblPrEx>
          <w:tblCellMar>
            <w:left w:w="0" w:type="dxa"/>
            <w:right w:w="0" w:type="dxa"/>
          </w:tblCellMar>
        </w:tblPrEx>
        <w:tc>
          <w:tcPr>
            <w:tcW w:w="3347" w:type="dxa"/>
            <w:shd w:val="clear" w:color="auto" w:fill="auto"/>
          </w:tcPr>
          <w:p w:rsidR="009F3DF7" w:rsidRPr="00FE1E26" w:rsidRDefault="009F3DF7" w:rsidP="00FE1E26">
            <w:pPr>
              <w:snapToGrid w:val="0"/>
              <w:jc w:val="both"/>
              <w:rPr>
                <w:i/>
                <w:sz w:val="20"/>
              </w:rPr>
            </w:pPr>
            <w:r w:rsidRPr="00FE1E26">
              <w:rPr>
                <w:i/>
                <w:sz w:val="20"/>
              </w:rPr>
              <w:t>k</w:t>
            </w:r>
            <w:r w:rsidRPr="00FE1E26">
              <w:rPr>
                <w:sz w:val="20"/>
                <w:vertAlign w:val="subscript"/>
              </w:rPr>
              <w:t>2</w:t>
            </w:r>
            <w:r w:rsidRPr="00FE1E26">
              <w:rPr>
                <w:sz w:val="20"/>
              </w:rPr>
              <w:t>/</w:t>
            </w:r>
            <w:r w:rsidRPr="00FE1E26">
              <w:rPr>
                <w:i/>
                <w:sz w:val="20"/>
              </w:rPr>
              <w:t>k</w:t>
            </w:r>
            <w:r w:rsidR="00DA6DF5" w:rsidRPr="00DA6DF5">
              <w:rPr>
                <w:sz w:val="20"/>
                <w:vertAlign w:val="subscript"/>
              </w:rPr>
              <w:t>1</w:t>
            </w:r>
            <w:r w:rsidRPr="00FE1E26">
              <w:rPr>
                <w:sz w:val="20"/>
              </w:rPr>
              <w:t xml:space="preserve"> = 72.2 </w:t>
            </w:r>
            <w:r w:rsidRPr="00FE1E26">
              <w:rPr>
                <w:sz w:val="20"/>
              </w:rPr>
              <w:sym w:font="Symbol" w:char="F0B4"/>
            </w:r>
            <w:r w:rsidRPr="00FE1E26">
              <w:rPr>
                <w:sz w:val="20"/>
              </w:rPr>
              <w:t xml:space="preserve"> 10</w:t>
            </w:r>
            <w:r w:rsidRPr="00FE1E26">
              <w:rPr>
                <w:sz w:val="20"/>
                <w:vertAlign w:val="superscript"/>
              </w:rPr>
              <w:t>-3</w:t>
            </w:r>
            <w:r w:rsidRPr="00FE1E26">
              <w:rPr>
                <w:sz w:val="20"/>
              </w:rPr>
              <w:t xml:space="preserve"> (600 Torr N</w:t>
            </w:r>
            <w:r w:rsidRPr="00FE1E26">
              <w:rPr>
                <w:sz w:val="20"/>
                <w:vertAlign w:val="subscript"/>
              </w:rPr>
              <w:t>2</w:t>
            </w:r>
            <w:r w:rsidRPr="00FE1E26">
              <w:rPr>
                <w:sz w:val="20"/>
              </w:rPr>
              <w:t>)</w:t>
            </w:r>
          </w:p>
        </w:tc>
        <w:tc>
          <w:tcPr>
            <w:tcW w:w="995" w:type="dxa"/>
            <w:shd w:val="clear" w:color="auto" w:fill="auto"/>
          </w:tcPr>
          <w:p w:rsidR="009F3DF7" w:rsidRDefault="00FE1E26">
            <w:pPr>
              <w:snapToGrid w:val="0"/>
              <w:jc w:val="both"/>
              <w:rPr>
                <w:sz w:val="20"/>
              </w:rPr>
            </w:pPr>
            <w:r>
              <w:rPr>
                <w:sz w:val="20"/>
              </w:rPr>
              <w:t>223</w:t>
            </w:r>
          </w:p>
        </w:tc>
        <w:tc>
          <w:tcPr>
            <w:tcW w:w="2725" w:type="dxa"/>
            <w:shd w:val="clear" w:color="auto" w:fill="auto"/>
          </w:tcPr>
          <w:p w:rsidR="009F3DF7" w:rsidRDefault="009F3DF7">
            <w:pPr>
              <w:snapToGrid w:val="0"/>
              <w:jc w:val="both"/>
              <w:rPr>
                <w:sz w:val="20"/>
              </w:rPr>
            </w:pPr>
          </w:p>
        </w:tc>
        <w:tc>
          <w:tcPr>
            <w:tcW w:w="1659" w:type="dxa"/>
            <w:shd w:val="clear" w:color="auto" w:fill="auto"/>
          </w:tcPr>
          <w:p w:rsidR="009F3DF7" w:rsidRDefault="009F3DF7">
            <w:pPr>
              <w:snapToGrid w:val="0"/>
              <w:rPr>
                <w:sz w:val="20"/>
              </w:rPr>
            </w:pPr>
          </w:p>
        </w:tc>
      </w:tr>
      <w:tr w:rsidR="00DC4A3E" w:rsidTr="009F3DF7">
        <w:tblPrEx>
          <w:tblCellMar>
            <w:left w:w="0" w:type="dxa"/>
            <w:right w:w="0" w:type="dxa"/>
          </w:tblCellMar>
        </w:tblPrEx>
        <w:tc>
          <w:tcPr>
            <w:tcW w:w="3347" w:type="dxa"/>
            <w:tcBorders>
              <w:bottom w:val="single" w:sz="4" w:space="0" w:color="000000"/>
            </w:tcBorders>
            <w:shd w:val="clear" w:color="auto" w:fill="auto"/>
          </w:tcPr>
          <w:p w:rsidR="00DC4A3E" w:rsidRDefault="00DC4A3E">
            <w:pPr>
              <w:snapToGrid w:val="0"/>
              <w:spacing w:after="120" w:line="288" w:lineRule="auto"/>
              <w:jc w:val="both"/>
              <w:rPr>
                <w:sz w:val="20"/>
              </w:rPr>
            </w:pPr>
          </w:p>
        </w:tc>
        <w:tc>
          <w:tcPr>
            <w:tcW w:w="995" w:type="dxa"/>
            <w:tcBorders>
              <w:bottom w:val="single" w:sz="4" w:space="0" w:color="000000"/>
            </w:tcBorders>
            <w:shd w:val="clear" w:color="auto" w:fill="auto"/>
          </w:tcPr>
          <w:p w:rsidR="00DC4A3E" w:rsidRDefault="00DC4A3E">
            <w:pPr>
              <w:snapToGrid w:val="0"/>
              <w:spacing w:after="120" w:line="288" w:lineRule="auto"/>
              <w:jc w:val="both"/>
              <w:rPr>
                <w:sz w:val="20"/>
              </w:rPr>
            </w:pPr>
          </w:p>
        </w:tc>
        <w:tc>
          <w:tcPr>
            <w:tcW w:w="2725" w:type="dxa"/>
            <w:tcBorders>
              <w:bottom w:val="single" w:sz="4" w:space="0" w:color="000000"/>
            </w:tcBorders>
            <w:shd w:val="clear" w:color="auto" w:fill="auto"/>
          </w:tcPr>
          <w:p w:rsidR="00DC4A3E" w:rsidRDefault="00DC4A3E">
            <w:pPr>
              <w:snapToGrid w:val="0"/>
              <w:spacing w:after="120" w:line="288" w:lineRule="auto"/>
              <w:jc w:val="both"/>
              <w:rPr>
                <w:sz w:val="20"/>
              </w:rPr>
            </w:pPr>
          </w:p>
        </w:tc>
        <w:tc>
          <w:tcPr>
            <w:tcW w:w="1659" w:type="dxa"/>
            <w:tcBorders>
              <w:bottom w:val="single" w:sz="4" w:space="0" w:color="000000"/>
            </w:tcBorders>
            <w:shd w:val="clear" w:color="auto" w:fill="auto"/>
          </w:tcPr>
          <w:p w:rsidR="00DC4A3E" w:rsidRDefault="00DC4A3E">
            <w:pPr>
              <w:snapToGrid w:val="0"/>
              <w:rPr>
                <w:sz w:val="20"/>
              </w:rPr>
            </w:pPr>
          </w:p>
        </w:tc>
      </w:tr>
    </w:tbl>
    <w:p w:rsidR="001611CC" w:rsidRDefault="001611CC">
      <w:pPr>
        <w:tabs>
          <w:tab w:val="left" w:pos="-1440"/>
          <w:tab w:val="left" w:pos="-720"/>
          <w:tab w:val="left" w:pos="129"/>
          <w:tab w:val="left" w:pos="3571"/>
          <w:tab w:val="left" w:pos="4867"/>
          <w:tab w:val="left" w:pos="7982"/>
          <w:tab w:val="left" w:pos="8395"/>
          <w:tab w:val="left" w:pos="8812"/>
        </w:tabs>
        <w:jc w:val="both"/>
      </w:pPr>
    </w:p>
    <w:p w:rsidR="001611CC" w:rsidRDefault="001611CC">
      <w:pPr>
        <w:pStyle w:val="Heading2"/>
      </w:pPr>
      <w:r>
        <w:t>Comments</w:t>
      </w:r>
    </w:p>
    <w:p w:rsidR="001611CC" w:rsidRDefault="001611CC">
      <w:pPr>
        <w:tabs>
          <w:tab w:val="left" w:pos="-1440"/>
          <w:tab w:val="left" w:pos="-720"/>
          <w:tab w:val="left" w:pos="444"/>
        </w:tabs>
        <w:ind w:left="444" w:hanging="444"/>
        <w:jc w:val="both"/>
      </w:pPr>
    </w:p>
    <w:p w:rsidR="001611CC" w:rsidRDefault="001611CC">
      <w:pPr>
        <w:tabs>
          <w:tab w:val="left" w:pos="-1440"/>
          <w:tab w:val="left" w:pos="-720"/>
          <w:tab w:val="left" w:pos="444"/>
        </w:tabs>
        <w:ind w:left="444" w:right="567" w:hanging="444"/>
        <w:jc w:val="both"/>
      </w:pPr>
      <w:r>
        <w:lastRenderedPageBreak/>
        <w:t>(a)</w:t>
      </w:r>
      <w:r>
        <w:tab/>
        <w:t>Conventional discharge flow system with LIF detection of C</w:t>
      </w:r>
      <w:r>
        <w:rPr>
          <w:vertAlign w:val="subscript"/>
        </w:rPr>
        <w:t>2</w:t>
      </w:r>
      <w:r>
        <w:t>H</w:t>
      </w:r>
      <w:r>
        <w:rPr>
          <w:vertAlign w:val="subscript"/>
        </w:rPr>
        <w:t>5</w:t>
      </w:r>
      <w:r>
        <w:t xml:space="preserve">O product. </w:t>
      </w:r>
      <w:r>
        <w:rPr>
          <w:i/>
        </w:rPr>
        <w:t>k</w:t>
      </w:r>
      <w:r>
        <w:t xml:space="preserve"> determined by simulation of experimental C</w:t>
      </w:r>
      <w:r>
        <w:rPr>
          <w:vertAlign w:val="subscript"/>
        </w:rPr>
        <w:t>2</w:t>
      </w:r>
      <w:r>
        <w:t>H</w:t>
      </w:r>
      <w:r>
        <w:rPr>
          <w:vertAlign w:val="subscript"/>
        </w:rPr>
        <w:t>5</w:t>
      </w:r>
      <w:r>
        <w:t>O profiles.</w:t>
      </w:r>
    </w:p>
    <w:p w:rsidR="001611CC" w:rsidRDefault="001611CC">
      <w:pPr>
        <w:tabs>
          <w:tab w:val="left" w:pos="-1440"/>
          <w:tab w:val="left" w:pos="-720"/>
          <w:tab w:val="left" w:pos="444"/>
        </w:tabs>
        <w:ind w:left="444" w:right="567" w:hanging="444"/>
        <w:jc w:val="both"/>
      </w:pPr>
      <w:r>
        <w:t>(b)</w:t>
      </w:r>
      <w:r>
        <w:tab/>
        <w:t xml:space="preserve">Ethylperoxy radicals formed by the thermal decomposition of </w:t>
      </w:r>
      <w:r>
        <w:rPr>
          <w:i/>
        </w:rPr>
        <w:t>n</w:t>
      </w:r>
      <w:r>
        <w:t>-propyl nitrate in the presence of O</w:t>
      </w:r>
      <w:r>
        <w:rPr>
          <w:vertAlign w:val="subscript"/>
        </w:rPr>
        <w:t>2</w:t>
      </w:r>
      <w:r>
        <w:t>, or by RF discharge through C</w:t>
      </w:r>
      <w:r>
        <w:rPr>
          <w:vertAlign w:val="subscript"/>
        </w:rPr>
        <w:t>2</w:t>
      </w:r>
      <w:r>
        <w:t>H</w:t>
      </w:r>
      <w:r>
        <w:rPr>
          <w:vertAlign w:val="subscript"/>
        </w:rPr>
        <w:t>5</w:t>
      </w:r>
      <w:r>
        <w:t>I (also in the presence of O</w:t>
      </w:r>
      <w:r>
        <w:rPr>
          <w:vertAlign w:val="subscript"/>
        </w:rPr>
        <w:t>2</w:t>
      </w:r>
      <w:r>
        <w:t>).  Pseudo first order kinetics with excess NO and CIMS detection of C</w:t>
      </w:r>
      <w:r>
        <w:rPr>
          <w:vertAlign w:val="subscript"/>
        </w:rPr>
        <w:t>2</w:t>
      </w:r>
      <w:r>
        <w:t>H</w:t>
      </w:r>
      <w:r>
        <w:rPr>
          <w:vertAlign w:val="subscript"/>
        </w:rPr>
        <w:t>5</w:t>
      </w:r>
      <w:r>
        <w:t>O</w:t>
      </w:r>
      <w:r>
        <w:rPr>
          <w:vertAlign w:val="subscript"/>
        </w:rPr>
        <w:t>2</w:t>
      </w:r>
      <w:r>
        <w:t xml:space="preserve"> as the ethyl peroxy negative ion.</w:t>
      </w:r>
    </w:p>
    <w:p w:rsidR="001611CC" w:rsidRDefault="001611CC">
      <w:pPr>
        <w:tabs>
          <w:tab w:val="left" w:pos="-1440"/>
          <w:tab w:val="left" w:pos="-720"/>
          <w:tab w:val="left" w:pos="444"/>
        </w:tabs>
        <w:ind w:left="444" w:right="567" w:hanging="444"/>
        <w:jc w:val="both"/>
      </w:pPr>
      <w:r>
        <w:t>(c)</w:t>
      </w:r>
      <w:r>
        <w:tab/>
        <w:t>Excimer laser photolysis of Cl</w:t>
      </w:r>
      <w:r>
        <w:rPr>
          <w:vertAlign w:val="subscript"/>
        </w:rPr>
        <w:t>2</w:t>
      </w:r>
      <w:r>
        <w:t>-C</w:t>
      </w:r>
      <w:r>
        <w:rPr>
          <w:vertAlign w:val="subscript"/>
        </w:rPr>
        <w:t>2</w:t>
      </w:r>
      <w:r>
        <w:t>H</w:t>
      </w:r>
      <w:r>
        <w:rPr>
          <w:vertAlign w:val="subscript"/>
        </w:rPr>
        <w:t>6</w:t>
      </w:r>
      <w:r>
        <w:t>-NO-O</w:t>
      </w:r>
      <w:r>
        <w:rPr>
          <w:vertAlign w:val="subscript"/>
        </w:rPr>
        <w:t>2</w:t>
      </w:r>
      <w:r>
        <w:t>-N</w:t>
      </w:r>
      <w:r>
        <w:rPr>
          <w:vertAlign w:val="subscript"/>
        </w:rPr>
        <w:t>2</w:t>
      </w:r>
      <w:r>
        <w:t xml:space="preserve"> mixtures.  Time-resolved measurements of C</w:t>
      </w:r>
      <w:r>
        <w:rPr>
          <w:vertAlign w:val="subscript"/>
        </w:rPr>
        <w:t>2</w:t>
      </w:r>
      <w:r>
        <w:t>H</w:t>
      </w:r>
      <w:r>
        <w:rPr>
          <w:vertAlign w:val="subscript"/>
        </w:rPr>
        <w:t>5</w:t>
      </w:r>
      <w:r>
        <w:t>O</w:t>
      </w:r>
      <w:r>
        <w:rPr>
          <w:vertAlign w:val="subscript"/>
        </w:rPr>
        <w:t>2</w:t>
      </w:r>
      <w:r>
        <w:t xml:space="preserve"> decay and C</w:t>
      </w:r>
      <w:r>
        <w:rPr>
          <w:vertAlign w:val="subscript"/>
        </w:rPr>
        <w:t>2</w:t>
      </w:r>
      <w:r>
        <w:t>H</w:t>
      </w:r>
      <w:r>
        <w:rPr>
          <w:vertAlign w:val="subscript"/>
        </w:rPr>
        <w:t>5</w:t>
      </w:r>
      <w:r>
        <w:t>ONO formation using diode array UV absorption spectroscopy, and of NO loss and NO</w:t>
      </w:r>
      <w:r>
        <w:rPr>
          <w:vertAlign w:val="subscript"/>
        </w:rPr>
        <w:t>2</w:t>
      </w:r>
      <w:r>
        <w:t xml:space="preserve"> formation using diode laser absorption spectroscopy.</w:t>
      </w:r>
    </w:p>
    <w:p w:rsidR="001611CC" w:rsidRDefault="001611CC">
      <w:pPr>
        <w:tabs>
          <w:tab w:val="left" w:pos="-1440"/>
          <w:tab w:val="left" w:pos="-720"/>
          <w:tab w:val="left" w:pos="444"/>
        </w:tabs>
        <w:ind w:left="444" w:right="581" w:hanging="444"/>
        <w:jc w:val="both"/>
      </w:pPr>
      <w:r>
        <w:t>(d)</w:t>
      </w:r>
      <w:r>
        <w:tab/>
        <w:t>Turbulent flow reactor at 100 Torr (133 mbar) N</w:t>
      </w:r>
      <w:r>
        <w:rPr>
          <w:vertAlign w:val="subscript"/>
        </w:rPr>
        <w:t>2</w:t>
      </w:r>
      <w:r>
        <w:t xml:space="preserve"> total pressure. </w:t>
      </w:r>
      <w:r>
        <w:rPr>
          <w:lang w:val="pt-BR"/>
        </w:rPr>
        <w:t>C</w:t>
      </w:r>
      <w:r>
        <w:rPr>
          <w:vertAlign w:val="subscript"/>
          <w:lang w:val="pt-BR"/>
        </w:rPr>
        <w:t>2</w:t>
      </w:r>
      <w:r>
        <w:rPr>
          <w:lang w:val="pt-BR"/>
        </w:rPr>
        <w:t>H</w:t>
      </w:r>
      <w:r>
        <w:rPr>
          <w:vertAlign w:val="subscript"/>
          <w:lang w:val="pt-BR"/>
        </w:rPr>
        <w:t>5</w:t>
      </w:r>
      <w:r>
        <w:rPr>
          <w:lang w:val="pt-BR"/>
        </w:rPr>
        <w:t>O</w:t>
      </w:r>
      <w:r>
        <w:rPr>
          <w:vertAlign w:val="subscript"/>
          <w:lang w:val="pt-BR"/>
        </w:rPr>
        <w:t>2</w:t>
      </w:r>
      <w:r>
        <w:rPr>
          <w:lang w:val="pt-BR"/>
        </w:rPr>
        <w:t xml:space="preserve"> detected as C</w:t>
      </w:r>
      <w:r>
        <w:rPr>
          <w:vertAlign w:val="subscript"/>
          <w:lang w:val="pt-BR"/>
        </w:rPr>
        <w:t>2</w:t>
      </w:r>
      <w:r>
        <w:rPr>
          <w:lang w:val="pt-BR"/>
        </w:rPr>
        <w:t>H</w:t>
      </w:r>
      <w:r>
        <w:rPr>
          <w:vertAlign w:val="subscript"/>
          <w:lang w:val="pt-BR"/>
        </w:rPr>
        <w:t>5</w:t>
      </w:r>
      <w:r>
        <w:rPr>
          <w:lang w:val="pt-BR"/>
        </w:rPr>
        <w:t>OOH</w:t>
      </w:r>
      <w:r>
        <w:rPr>
          <w:vertAlign w:val="superscript"/>
          <w:lang w:val="pt-BR"/>
        </w:rPr>
        <w:t>+</w:t>
      </w:r>
      <w:r>
        <w:rPr>
          <w:lang w:val="pt-BR"/>
        </w:rPr>
        <w:t>(H</w:t>
      </w:r>
      <w:r>
        <w:rPr>
          <w:vertAlign w:val="subscript"/>
          <w:lang w:val="pt-BR"/>
        </w:rPr>
        <w:t>2</w:t>
      </w:r>
      <w:r>
        <w:rPr>
          <w:lang w:val="pt-BR"/>
        </w:rPr>
        <w:t>O)</w:t>
      </w:r>
      <w:r>
        <w:rPr>
          <w:vertAlign w:val="subscript"/>
          <w:lang w:val="pt-BR"/>
        </w:rPr>
        <w:t>n</w:t>
      </w:r>
      <w:r>
        <w:rPr>
          <w:lang w:val="pt-BR"/>
        </w:rPr>
        <w:t xml:space="preserve"> and C</w:t>
      </w:r>
      <w:r>
        <w:rPr>
          <w:vertAlign w:val="subscript"/>
          <w:lang w:val="pt-BR"/>
        </w:rPr>
        <w:t>2</w:t>
      </w:r>
      <w:r>
        <w:rPr>
          <w:lang w:val="pt-BR"/>
        </w:rPr>
        <w:t>H</w:t>
      </w:r>
      <w:r>
        <w:rPr>
          <w:vertAlign w:val="subscript"/>
          <w:lang w:val="pt-BR"/>
        </w:rPr>
        <w:t>5</w:t>
      </w:r>
      <w:r>
        <w:rPr>
          <w:lang w:val="pt-BR"/>
        </w:rPr>
        <w:t>ONO</w:t>
      </w:r>
      <w:r>
        <w:rPr>
          <w:vertAlign w:val="subscript"/>
          <w:lang w:val="pt-BR"/>
        </w:rPr>
        <w:t>2</w:t>
      </w:r>
      <w:r>
        <w:rPr>
          <w:lang w:val="pt-BR"/>
        </w:rPr>
        <w:t xml:space="preserve"> detected as C</w:t>
      </w:r>
      <w:r>
        <w:rPr>
          <w:vertAlign w:val="subscript"/>
          <w:lang w:val="pt-BR"/>
        </w:rPr>
        <w:t>2</w:t>
      </w:r>
      <w:r>
        <w:rPr>
          <w:lang w:val="pt-BR"/>
        </w:rPr>
        <w:t>H</w:t>
      </w:r>
      <w:r>
        <w:rPr>
          <w:vertAlign w:val="subscript"/>
          <w:lang w:val="pt-BR"/>
        </w:rPr>
        <w:t>5</w:t>
      </w:r>
      <w:r>
        <w:rPr>
          <w:lang w:val="pt-BR"/>
        </w:rPr>
        <w:t>ONO</w:t>
      </w:r>
      <w:r>
        <w:rPr>
          <w:vertAlign w:val="subscript"/>
          <w:lang w:val="pt-BR"/>
        </w:rPr>
        <w:t>2</w:t>
      </w:r>
      <w:r>
        <w:rPr>
          <w:lang w:val="pt-BR"/>
        </w:rPr>
        <w:t>H</w:t>
      </w:r>
      <w:r>
        <w:rPr>
          <w:vertAlign w:val="superscript"/>
          <w:lang w:val="pt-BR"/>
        </w:rPr>
        <w:t>+</w:t>
      </w:r>
      <w:r>
        <w:rPr>
          <w:lang w:val="pt-BR"/>
        </w:rPr>
        <w:t>(H</w:t>
      </w:r>
      <w:r>
        <w:rPr>
          <w:vertAlign w:val="subscript"/>
          <w:lang w:val="pt-BR"/>
        </w:rPr>
        <w:t>2</w:t>
      </w:r>
      <w:r>
        <w:rPr>
          <w:lang w:val="pt-BR"/>
        </w:rPr>
        <w:t>O)</w:t>
      </w:r>
      <w:r>
        <w:rPr>
          <w:vertAlign w:val="subscript"/>
          <w:lang w:val="pt-BR"/>
        </w:rPr>
        <w:t>n</w:t>
      </w:r>
      <w:r>
        <w:rPr>
          <w:lang w:val="pt-BR"/>
        </w:rPr>
        <w:t xml:space="preserve"> following proton transfer from H</w:t>
      </w:r>
      <w:r>
        <w:rPr>
          <w:vertAlign w:val="subscript"/>
          <w:lang w:val="pt-BR"/>
        </w:rPr>
        <w:t>3</w:t>
      </w:r>
      <w:r>
        <w:rPr>
          <w:lang w:val="pt-BR"/>
        </w:rPr>
        <w:t>O</w:t>
      </w:r>
      <w:r>
        <w:rPr>
          <w:vertAlign w:val="superscript"/>
          <w:lang w:val="pt-BR"/>
        </w:rPr>
        <w:t>+</w:t>
      </w:r>
      <w:r>
        <w:rPr>
          <w:lang w:val="pt-BR"/>
        </w:rPr>
        <w:t>.</w:t>
      </w:r>
    </w:p>
    <w:p w:rsidR="001611CC" w:rsidRDefault="001611CC">
      <w:pPr>
        <w:tabs>
          <w:tab w:val="left" w:pos="-1440"/>
          <w:tab w:val="left" w:pos="-720"/>
          <w:tab w:val="left" w:pos="444"/>
        </w:tabs>
        <w:ind w:left="444" w:right="581" w:hanging="444"/>
        <w:jc w:val="both"/>
      </w:pPr>
      <w:r>
        <w:t>(e)</w:t>
      </w:r>
      <w:r>
        <w:tab/>
        <w:t>C</w:t>
      </w:r>
      <w:r>
        <w:rPr>
          <w:vertAlign w:val="subscript"/>
        </w:rPr>
        <w:t>2</w:t>
      </w:r>
      <w:r>
        <w:t>H</w:t>
      </w:r>
      <w:r>
        <w:rPr>
          <w:vertAlign w:val="subscript"/>
        </w:rPr>
        <w:t>5</w:t>
      </w:r>
      <w:r>
        <w:t>O</w:t>
      </w:r>
      <w:r>
        <w:rPr>
          <w:vertAlign w:val="subscript"/>
        </w:rPr>
        <w:t>2</w:t>
      </w:r>
      <w:r>
        <w:t xml:space="preserve"> generated by reaction of C</w:t>
      </w:r>
      <w:r>
        <w:rPr>
          <w:vertAlign w:val="subscript"/>
        </w:rPr>
        <w:t>2</w:t>
      </w:r>
      <w:r>
        <w:t>H</w:t>
      </w:r>
      <w:r>
        <w:rPr>
          <w:vertAlign w:val="subscript"/>
        </w:rPr>
        <w:t xml:space="preserve">5 </w:t>
      </w:r>
      <w:r>
        <w:t>with O</w:t>
      </w:r>
      <w:r>
        <w:rPr>
          <w:vertAlign w:val="subscript"/>
        </w:rPr>
        <w:t>2</w:t>
      </w:r>
      <w:r>
        <w:t>, whereby C</w:t>
      </w:r>
      <w:r>
        <w:rPr>
          <w:vertAlign w:val="subscript"/>
        </w:rPr>
        <w:t>2</w:t>
      </w:r>
      <w:r>
        <w:t>H</w:t>
      </w:r>
      <w:r>
        <w:rPr>
          <w:vertAlign w:val="subscript"/>
        </w:rPr>
        <w:t>5</w:t>
      </w:r>
      <w:r>
        <w:t xml:space="preserve"> radicals were generated in the 248 nm photolysis of C</w:t>
      </w:r>
      <w:r>
        <w:rPr>
          <w:vertAlign w:val="subscript"/>
        </w:rPr>
        <w:t>2</w:t>
      </w:r>
      <w:r>
        <w:t>H</w:t>
      </w:r>
      <w:r>
        <w:rPr>
          <w:vertAlign w:val="subscript"/>
        </w:rPr>
        <w:t>5</w:t>
      </w:r>
      <w:r>
        <w:t>I, the 193 nm photolysis of C</w:t>
      </w:r>
      <w:r>
        <w:rPr>
          <w:vertAlign w:val="subscript"/>
        </w:rPr>
        <w:t>2</w:t>
      </w:r>
      <w:r>
        <w:t>H</w:t>
      </w:r>
      <w:r>
        <w:rPr>
          <w:vertAlign w:val="subscript"/>
        </w:rPr>
        <w:t>5</w:t>
      </w:r>
      <w:r>
        <w:t>Br or the 193 nm photolysis of CCl</w:t>
      </w:r>
      <w:r>
        <w:rPr>
          <w:vertAlign w:val="subscript"/>
        </w:rPr>
        <w:t>4</w:t>
      </w:r>
      <w:r>
        <w:t xml:space="preserve"> in the presence of ethane. Owing to poor sensitivity, the experiments could not be performed under pseudo first-order conditions, and the data obtained using CCl</w:t>
      </w:r>
      <w:r>
        <w:rPr>
          <w:vertAlign w:val="subscript"/>
        </w:rPr>
        <w:t>4</w:t>
      </w:r>
      <w:r>
        <w:t xml:space="preserve"> are reported to be less reliable as a result of secondary chemistry. C</w:t>
      </w:r>
      <w:r>
        <w:rPr>
          <w:vertAlign w:val="subscript"/>
        </w:rPr>
        <w:t>2</w:t>
      </w:r>
      <w:r>
        <w:t>H</w:t>
      </w:r>
      <w:r>
        <w:rPr>
          <w:vertAlign w:val="subscript"/>
        </w:rPr>
        <w:t>5</w:t>
      </w:r>
      <w:r>
        <w:t>O</w:t>
      </w:r>
      <w:r>
        <w:rPr>
          <w:vertAlign w:val="subscript"/>
        </w:rPr>
        <w:t>2</w:t>
      </w:r>
      <w:r>
        <w:t xml:space="preserve"> was detected as the negative parent ion following electron transfer from high Rydberg state rare gas atoms. The bath gas was 5.3 mbar He and 0.8 mbar O</w:t>
      </w:r>
      <w:r>
        <w:rPr>
          <w:vertAlign w:val="subscript"/>
        </w:rPr>
        <w:t>2</w:t>
      </w:r>
      <w:r>
        <w:t>.</w:t>
      </w:r>
    </w:p>
    <w:p w:rsidR="001611CC" w:rsidRDefault="001611CC">
      <w:pPr>
        <w:tabs>
          <w:tab w:val="left" w:pos="-1440"/>
          <w:tab w:val="left" w:pos="-720"/>
          <w:tab w:val="left" w:pos="444"/>
        </w:tabs>
        <w:ind w:left="444" w:right="581" w:hanging="444"/>
        <w:jc w:val="both"/>
      </w:pPr>
      <w:r>
        <w:t>(f)</w:t>
      </w:r>
      <w:r>
        <w:tab/>
        <w:t>Turbulent flow reactor at 133 or 266 mbar N</w:t>
      </w:r>
      <w:r>
        <w:rPr>
          <w:vertAlign w:val="subscript"/>
        </w:rPr>
        <w:t>2</w:t>
      </w:r>
      <w:r>
        <w:t xml:space="preserve"> total pressure. C</w:t>
      </w:r>
      <w:r>
        <w:rPr>
          <w:vertAlign w:val="subscript"/>
        </w:rPr>
        <w:t>2</w:t>
      </w:r>
      <w:r>
        <w:t>H</w:t>
      </w:r>
      <w:r>
        <w:rPr>
          <w:vertAlign w:val="subscript"/>
        </w:rPr>
        <w:t>5</w:t>
      </w:r>
      <w:r>
        <w:t>O</w:t>
      </w:r>
      <w:r>
        <w:rPr>
          <w:vertAlign w:val="subscript"/>
        </w:rPr>
        <w:t>2</w:t>
      </w:r>
      <w:r>
        <w:t xml:space="preserve"> was generated in the reaction Cl + C</w:t>
      </w:r>
      <w:r>
        <w:rPr>
          <w:vertAlign w:val="subscript"/>
        </w:rPr>
        <w:t>2</w:t>
      </w:r>
      <w:r>
        <w:t>H</w:t>
      </w:r>
      <w:r>
        <w:rPr>
          <w:vertAlign w:val="subscript"/>
        </w:rPr>
        <w:t>6</w:t>
      </w:r>
      <w:r>
        <w:t xml:space="preserve"> (+O</w:t>
      </w:r>
      <w:r>
        <w:rPr>
          <w:vertAlign w:val="subscript"/>
        </w:rPr>
        <w:t>2</w:t>
      </w:r>
      <w:r>
        <w:t>) and detected as C</w:t>
      </w:r>
      <w:r>
        <w:rPr>
          <w:vertAlign w:val="subscript"/>
        </w:rPr>
        <w:t>2</w:t>
      </w:r>
      <w:r>
        <w:t>H</w:t>
      </w:r>
      <w:r>
        <w:rPr>
          <w:vertAlign w:val="subscript"/>
        </w:rPr>
        <w:t>5</w:t>
      </w:r>
      <w:r>
        <w:t>O</w:t>
      </w:r>
      <w:r>
        <w:rPr>
          <w:vertAlign w:val="subscript"/>
        </w:rPr>
        <w:t>2</w:t>
      </w:r>
      <w:r>
        <w:rPr>
          <w:vertAlign w:val="superscript"/>
        </w:rPr>
        <w:t>-</w:t>
      </w:r>
      <w:r>
        <w:t xml:space="preserve"> following electron transfer from SF</w:t>
      </w:r>
      <w:r>
        <w:rPr>
          <w:vertAlign w:val="subscript"/>
        </w:rPr>
        <w:t>6</w:t>
      </w:r>
      <w:r>
        <w:rPr>
          <w:vertAlign w:val="superscript"/>
        </w:rPr>
        <w:t>-</w:t>
      </w:r>
      <w:r>
        <w:t>. Yield of NO</w:t>
      </w:r>
      <w:r>
        <w:rPr>
          <w:vertAlign w:val="subscript"/>
        </w:rPr>
        <w:t>2</w:t>
      </w:r>
      <w:r>
        <w:t xml:space="preserve"> (detected as NO</w:t>
      </w:r>
      <w:r>
        <w:rPr>
          <w:vertAlign w:val="subscript"/>
        </w:rPr>
        <w:t>2</w:t>
      </w:r>
      <w:r>
        <w:rPr>
          <w:vertAlign w:val="superscript"/>
        </w:rPr>
        <w:t>-</w:t>
      </w:r>
      <w:r>
        <w:t xml:space="preserve">) was found to be 1.0 </w:t>
      </w:r>
      <w:r>
        <w:rPr>
          <w:rFonts w:ascii="Symbol" w:hAnsi="Symbol" w:cs="Symbol"/>
        </w:rPr>
        <w:t></w:t>
      </w:r>
      <w:r>
        <w:t xml:space="preserve"> 0.05.</w:t>
      </w:r>
    </w:p>
    <w:p w:rsidR="001611CC" w:rsidRDefault="001611CC">
      <w:pPr>
        <w:tabs>
          <w:tab w:val="left" w:pos="-1440"/>
          <w:tab w:val="left" w:pos="-720"/>
          <w:tab w:val="left" w:pos="444"/>
        </w:tabs>
        <w:ind w:left="444" w:right="581" w:hanging="444"/>
        <w:jc w:val="both"/>
      </w:pPr>
      <w:r>
        <w:t>(g)</w:t>
      </w:r>
      <w:r>
        <w:tab/>
        <w:t>GC analysis of C</w:t>
      </w:r>
      <w:r>
        <w:rPr>
          <w:vertAlign w:val="subscript"/>
        </w:rPr>
        <w:t>2</w:t>
      </w:r>
      <w:r>
        <w:t>H</w:t>
      </w:r>
      <w:r>
        <w:rPr>
          <w:vertAlign w:val="subscript"/>
        </w:rPr>
        <w:t>5</w:t>
      </w:r>
      <w:r>
        <w:t>ONO</w:t>
      </w:r>
      <w:r>
        <w:rPr>
          <w:vertAlign w:val="subscript"/>
        </w:rPr>
        <w:t>2</w:t>
      </w:r>
      <w:r>
        <w:t xml:space="preserve"> product from photo-oxidation of C</w:t>
      </w:r>
      <w:r>
        <w:rPr>
          <w:vertAlign w:val="subscript"/>
        </w:rPr>
        <w:t>2</w:t>
      </w:r>
      <w:r>
        <w:t>H</w:t>
      </w:r>
      <w:r>
        <w:rPr>
          <w:vertAlign w:val="subscript"/>
        </w:rPr>
        <w:t>6</w:t>
      </w:r>
      <w:r>
        <w:t xml:space="preserve"> in Cl</w:t>
      </w:r>
      <w:r>
        <w:rPr>
          <w:vertAlign w:val="subscript"/>
        </w:rPr>
        <w:t>2</w:t>
      </w:r>
      <w:r>
        <w:t>-C</w:t>
      </w:r>
      <w:r>
        <w:rPr>
          <w:vertAlign w:val="subscript"/>
        </w:rPr>
        <w:t>2</w:t>
      </w:r>
      <w:r>
        <w:t>H</w:t>
      </w:r>
      <w:r>
        <w:rPr>
          <w:vertAlign w:val="subscript"/>
        </w:rPr>
        <w:t>6</w:t>
      </w:r>
      <w:r>
        <w:t>-NO-air mixtures.</w:t>
      </w:r>
    </w:p>
    <w:p w:rsidR="001611CC" w:rsidRDefault="001611CC">
      <w:pPr>
        <w:tabs>
          <w:tab w:val="left" w:pos="-1440"/>
          <w:tab w:val="left" w:pos="-720"/>
          <w:tab w:val="left" w:pos="444"/>
        </w:tabs>
        <w:ind w:left="444" w:right="581" w:hanging="444"/>
        <w:jc w:val="both"/>
      </w:pPr>
      <w:r>
        <w:t>(h)</w:t>
      </w:r>
      <w:r>
        <w:tab/>
        <w:t xml:space="preserve">Temperature dependent values of the rate coefficient </w:t>
      </w:r>
      <w:r>
        <w:rPr>
          <w:i/>
        </w:rPr>
        <w:t>k</w:t>
      </w:r>
      <w:r>
        <w:rPr>
          <w:vertAlign w:val="subscript"/>
        </w:rPr>
        <w:t xml:space="preserve">2 </w:t>
      </w:r>
      <w:r w:rsidR="00D847A2">
        <w:t xml:space="preserve">= </w:t>
      </w:r>
      <w:r>
        <w:t xml:space="preserve">1.6 </w:t>
      </w:r>
      <w:r>
        <w:rPr>
          <w:rFonts w:ascii="Symbol" w:hAnsi="Symbol" w:cs="Symbol"/>
        </w:rPr>
        <w:t></w:t>
      </w:r>
      <w:r>
        <w:t xml:space="preserve"> 10</w:t>
      </w:r>
      <w:r>
        <w:rPr>
          <w:vertAlign w:val="superscript"/>
        </w:rPr>
        <w:t>-15</w:t>
      </w:r>
      <w:r>
        <w:t xml:space="preserve"> exp (1160/</w:t>
      </w:r>
      <w:r>
        <w:rPr>
          <w:i/>
        </w:rPr>
        <w:t>T</w:t>
      </w:r>
      <w:r>
        <w:t>) for the temperature range 213 to 299 K and 100 Torr (133 mbar) N</w:t>
      </w:r>
      <w:r>
        <w:rPr>
          <w:vertAlign w:val="subscript"/>
        </w:rPr>
        <w:t>2</w:t>
      </w:r>
      <w:r>
        <w:t xml:space="preserve"> pressure also presented. The authors state that the branching ratios are associated with large errors as the measurements were conducted near the detection limit for </w:t>
      </w:r>
      <w:r w:rsidR="00FE1E26">
        <w:t>C</w:t>
      </w:r>
      <w:r w:rsidR="00FE1E26">
        <w:rPr>
          <w:vertAlign w:val="subscript"/>
        </w:rPr>
        <w:t>2</w:t>
      </w:r>
      <w:r w:rsidR="00FE1E26">
        <w:t>H</w:t>
      </w:r>
      <w:r w:rsidR="00FE1E26">
        <w:rPr>
          <w:vertAlign w:val="subscript"/>
        </w:rPr>
        <w:t>5</w:t>
      </w:r>
      <w:r w:rsidR="00FE1E26">
        <w:t>ONO</w:t>
      </w:r>
      <w:r w:rsidR="00FE1E26">
        <w:rPr>
          <w:vertAlign w:val="subscript"/>
        </w:rPr>
        <w:t>2</w:t>
      </w:r>
      <w:r>
        <w:t xml:space="preserve"> and were complicated by secondary chemistry. </w:t>
      </w:r>
    </w:p>
    <w:p w:rsidR="00DC4A3E" w:rsidRPr="00E33E36" w:rsidRDefault="00DC4A3E">
      <w:pPr>
        <w:tabs>
          <w:tab w:val="left" w:pos="-1440"/>
          <w:tab w:val="left" w:pos="-720"/>
          <w:tab w:val="left" w:pos="444"/>
        </w:tabs>
        <w:ind w:left="444" w:right="581" w:hanging="444"/>
        <w:jc w:val="both"/>
        <w:rPr>
          <w:color w:val="000000"/>
        </w:rPr>
      </w:pPr>
      <w:r w:rsidRPr="00E33E36">
        <w:rPr>
          <w:color w:val="000000"/>
        </w:rPr>
        <w:t>(i)</w:t>
      </w:r>
      <w:r w:rsidRPr="00E33E36">
        <w:rPr>
          <w:color w:val="000000"/>
        </w:rPr>
        <w:tab/>
      </w:r>
      <w:r w:rsidR="00BC4DFD" w:rsidRPr="00E33E36">
        <w:rPr>
          <w:color w:val="000000"/>
        </w:rPr>
        <w:t>Turbulent flow reactor with CIMS detection of products</w:t>
      </w:r>
      <w:r w:rsidR="00BC4DFD">
        <w:rPr>
          <w:color w:val="000000"/>
        </w:rPr>
        <w:t>. Branching ratios (</w:t>
      </w:r>
      <w:r w:rsidR="00BC4DFD" w:rsidRPr="00BC4DFD">
        <w:rPr>
          <w:i/>
          <w:color w:val="000000"/>
        </w:rPr>
        <w:t>k</w:t>
      </w:r>
      <w:r w:rsidR="00BC4DFD" w:rsidRPr="00BC4DFD">
        <w:rPr>
          <w:color w:val="000000"/>
          <w:vertAlign w:val="subscript"/>
        </w:rPr>
        <w:t>2</w:t>
      </w:r>
      <w:r w:rsidR="00BC4DFD">
        <w:rPr>
          <w:color w:val="000000"/>
        </w:rPr>
        <w:t xml:space="preserve"> / </w:t>
      </w:r>
      <w:r w:rsidR="00BC4DFD" w:rsidRPr="00BC4DFD">
        <w:rPr>
          <w:i/>
          <w:color w:val="000000"/>
        </w:rPr>
        <w:t>k</w:t>
      </w:r>
      <w:r w:rsidR="00BC4DFD" w:rsidRPr="00BC4DFD">
        <w:rPr>
          <w:color w:val="000000"/>
          <w:vertAlign w:val="subscript"/>
        </w:rPr>
        <w:t>1</w:t>
      </w:r>
      <w:r w:rsidR="00BC4DFD">
        <w:rPr>
          <w:color w:val="000000"/>
        </w:rPr>
        <w:t xml:space="preserve">) were derived from monitoring the formation of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sidRPr="00BC4DFD">
        <w:rPr>
          <w:color w:val="000000"/>
        </w:rPr>
        <w:t>ONO</w:t>
      </w:r>
      <w:r w:rsidR="00BC4DFD" w:rsidRPr="00BC4DFD">
        <w:rPr>
          <w:color w:val="000000"/>
          <w:vertAlign w:val="subscript"/>
        </w:rPr>
        <w:t>2</w:t>
      </w:r>
      <w:r w:rsidR="00BC4DFD">
        <w:rPr>
          <w:color w:val="000000"/>
        </w:rPr>
        <w:t xml:space="preserve"> relative to either </w:t>
      </w:r>
      <w:r w:rsidR="00BC4DFD" w:rsidRPr="00BC4DFD">
        <w:rPr>
          <w:color w:val="000000"/>
        </w:rPr>
        <w:t>NO</w:t>
      </w:r>
      <w:r w:rsidR="00BC4DFD" w:rsidRPr="00BC4DFD">
        <w:rPr>
          <w:color w:val="000000"/>
          <w:vertAlign w:val="subscript"/>
        </w:rPr>
        <w:t>2</w:t>
      </w:r>
      <w:r w:rsidR="00BC4DFD">
        <w:rPr>
          <w:color w:val="000000"/>
        </w:rPr>
        <w:t xml:space="preserve">,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sidRPr="00BC4DFD">
        <w:rPr>
          <w:color w:val="000000"/>
        </w:rPr>
        <w:t>ONO</w:t>
      </w:r>
      <w:r w:rsidR="00BC4DFD">
        <w:rPr>
          <w:color w:val="000000"/>
        </w:rPr>
        <w:t xml:space="preserve"> or </w:t>
      </w:r>
      <w:r w:rsidR="00BC4DFD" w:rsidRPr="00BC4DFD">
        <w:rPr>
          <w:color w:val="000000"/>
        </w:rPr>
        <w:t>CH</w:t>
      </w:r>
      <w:r w:rsidR="00BC4DFD">
        <w:rPr>
          <w:color w:val="000000"/>
          <w:vertAlign w:val="subscript"/>
        </w:rPr>
        <w:t>3</w:t>
      </w:r>
      <w:r w:rsidR="00BC4DFD">
        <w:rPr>
          <w:color w:val="000000"/>
        </w:rPr>
        <w:t xml:space="preserve">CHO, the latter two both arising from reactions of alkoxy radical co-product of </w:t>
      </w:r>
      <w:r w:rsidR="00BC4DFD" w:rsidRPr="00BC4DFD">
        <w:rPr>
          <w:color w:val="000000"/>
        </w:rPr>
        <w:t>NO</w:t>
      </w:r>
      <w:r w:rsidR="00BC4DFD" w:rsidRPr="00BC4DFD">
        <w:rPr>
          <w:color w:val="000000"/>
          <w:vertAlign w:val="subscript"/>
        </w:rPr>
        <w:t>2</w:t>
      </w:r>
      <w:r w:rsidR="00BC4DFD">
        <w:rPr>
          <w:color w:val="000000"/>
        </w:rPr>
        <w:t xml:space="preserve"> in reaction (1). The in-situ calibration of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sidRPr="00BC4DFD">
        <w:rPr>
          <w:color w:val="000000"/>
        </w:rPr>
        <w:t>ONO</w:t>
      </w:r>
      <w:r w:rsidR="00BC4DFD" w:rsidRPr="00BC4DFD">
        <w:rPr>
          <w:color w:val="000000"/>
          <w:vertAlign w:val="subscript"/>
        </w:rPr>
        <w:t>2</w:t>
      </w:r>
      <w:r w:rsidR="00BC4DFD">
        <w:rPr>
          <w:color w:val="000000"/>
        </w:rPr>
        <w:t xml:space="preserve"> and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sidRPr="00BC4DFD">
        <w:rPr>
          <w:color w:val="000000"/>
        </w:rPr>
        <w:t>ONO</w:t>
      </w:r>
      <w:r w:rsidR="00BC4DFD">
        <w:rPr>
          <w:color w:val="000000"/>
        </w:rPr>
        <w:t xml:space="preserve"> was via formation of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Pr>
          <w:color w:val="000000"/>
        </w:rPr>
        <w:t xml:space="preserve">O at known yield (0.55) in the reaction of F atoms with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Pr>
          <w:color w:val="000000"/>
        </w:rPr>
        <w:t xml:space="preserve">OH and its further reactions with </w:t>
      </w:r>
      <w:r w:rsidR="00BC4DFD" w:rsidRPr="00BC4DFD">
        <w:rPr>
          <w:color w:val="000000"/>
        </w:rPr>
        <w:t>NO</w:t>
      </w:r>
      <w:r w:rsidR="00BC4DFD" w:rsidRPr="00BC4DFD">
        <w:rPr>
          <w:color w:val="000000"/>
          <w:vertAlign w:val="subscript"/>
        </w:rPr>
        <w:t>2</w:t>
      </w:r>
      <w:r w:rsidR="00BC4DFD">
        <w:rPr>
          <w:color w:val="000000"/>
        </w:rPr>
        <w:t xml:space="preserve"> or NO, respectively. Consistent results were reported when using </w:t>
      </w:r>
      <w:r w:rsidR="00BC4DFD" w:rsidRPr="00BC4DFD">
        <w:rPr>
          <w:color w:val="000000"/>
        </w:rPr>
        <w:t>NO</w:t>
      </w:r>
      <w:r w:rsidR="00BC4DFD" w:rsidRPr="00BC4DFD">
        <w:rPr>
          <w:color w:val="000000"/>
          <w:vertAlign w:val="subscript"/>
        </w:rPr>
        <w:t>2</w:t>
      </w:r>
      <w:r w:rsidR="00BC4DFD">
        <w:rPr>
          <w:color w:val="000000"/>
        </w:rPr>
        <w:t xml:space="preserve">, </w:t>
      </w:r>
      <w:r w:rsidR="00BC4DFD" w:rsidRPr="00BC4DFD">
        <w:rPr>
          <w:color w:val="000000"/>
        </w:rPr>
        <w:t>C</w:t>
      </w:r>
      <w:r w:rsidR="00BC4DFD" w:rsidRPr="00BC4DFD">
        <w:rPr>
          <w:color w:val="000000"/>
          <w:vertAlign w:val="subscript"/>
        </w:rPr>
        <w:t>2</w:t>
      </w:r>
      <w:r w:rsidR="00BC4DFD" w:rsidRPr="00BC4DFD">
        <w:rPr>
          <w:color w:val="000000"/>
        </w:rPr>
        <w:t>H</w:t>
      </w:r>
      <w:r w:rsidR="00BC4DFD" w:rsidRPr="00BC4DFD">
        <w:rPr>
          <w:color w:val="000000"/>
          <w:vertAlign w:val="subscript"/>
        </w:rPr>
        <w:t>5</w:t>
      </w:r>
      <w:r w:rsidR="00BC4DFD" w:rsidRPr="00BC4DFD">
        <w:rPr>
          <w:color w:val="000000"/>
        </w:rPr>
        <w:t>ONO</w:t>
      </w:r>
      <w:r w:rsidR="00BC4DFD">
        <w:rPr>
          <w:color w:val="000000"/>
        </w:rPr>
        <w:t xml:space="preserve"> or </w:t>
      </w:r>
      <w:r w:rsidR="00BC4DFD" w:rsidRPr="00BC4DFD">
        <w:rPr>
          <w:color w:val="000000"/>
        </w:rPr>
        <w:t>CH</w:t>
      </w:r>
      <w:r w:rsidR="00BC4DFD">
        <w:rPr>
          <w:color w:val="000000"/>
          <w:vertAlign w:val="subscript"/>
        </w:rPr>
        <w:t>3</w:t>
      </w:r>
      <w:r w:rsidR="00BC4DFD">
        <w:rPr>
          <w:color w:val="000000"/>
        </w:rPr>
        <w:t xml:space="preserve">CHO as a measure </w:t>
      </w:r>
      <w:r w:rsidR="00DA6DF5">
        <w:rPr>
          <w:color w:val="000000"/>
        </w:rPr>
        <w:t>o</w:t>
      </w:r>
      <w:r w:rsidR="00BC4DFD">
        <w:rPr>
          <w:color w:val="000000"/>
        </w:rPr>
        <w:t xml:space="preserve">f the flux through reaction (1). </w:t>
      </w:r>
    </w:p>
    <w:p w:rsidR="001611CC" w:rsidRPr="00E33E36" w:rsidRDefault="001611CC">
      <w:pPr>
        <w:rPr>
          <w:color w:val="000000"/>
        </w:rPr>
      </w:pPr>
    </w:p>
    <w:p w:rsidR="00DC4A3E" w:rsidRDefault="00DC4A3E">
      <w:pPr>
        <w:pStyle w:val="Heading2"/>
      </w:pPr>
    </w:p>
    <w:p w:rsidR="00DC4A3E" w:rsidRPr="00220658" w:rsidRDefault="00DC4A3E" w:rsidP="00DC4A3E"/>
    <w:tbl>
      <w:tblPr>
        <w:tblW w:w="0" w:type="auto"/>
        <w:tblInd w:w="454" w:type="dxa"/>
        <w:tblLayout w:type="fixed"/>
        <w:tblLook w:val="0000" w:firstRow="0" w:lastRow="0" w:firstColumn="0" w:lastColumn="0" w:noHBand="0" w:noVBand="0"/>
      </w:tblPr>
      <w:tblGrid>
        <w:gridCol w:w="2348"/>
        <w:gridCol w:w="4961"/>
        <w:gridCol w:w="1559"/>
      </w:tblGrid>
      <w:tr w:rsidR="00DC4A3E" w:rsidRPr="00220658" w:rsidTr="00DA6DF5">
        <w:tc>
          <w:tcPr>
            <w:tcW w:w="2348" w:type="dxa"/>
            <w:tcBorders>
              <w:top w:val="single" w:sz="4" w:space="0" w:color="000000"/>
              <w:bottom w:val="single" w:sz="4" w:space="0" w:color="000000"/>
            </w:tcBorders>
            <w:shd w:val="clear" w:color="auto" w:fill="auto"/>
          </w:tcPr>
          <w:p w:rsidR="00DC4A3E" w:rsidRPr="00220658" w:rsidRDefault="00DC4A3E" w:rsidP="00E9275F">
            <w:pPr>
              <w:tabs>
                <w:tab w:val="left" w:pos="0"/>
                <w:tab w:val="left" w:pos="444"/>
                <w:tab w:val="left" w:pos="720"/>
              </w:tabs>
              <w:spacing w:line="240" w:lineRule="atLeast"/>
              <w:jc w:val="center"/>
              <w:rPr>
                <w:b/>
                <w:spacing w:val="-3"/>
              </w:rPr>
            </w:pPr>
            <w:r w:rsidRPr="00220658">
              <w:rPr>
                <w:b/>
                <w:spacing w:val="-3"/>
              </w:rPr>
              <w:t>Parameter</w:t>
            </w:r>
          </w:p>
        </w:tc>
        <w:tc>
          <w:tcPr>
            <w:tcW w:w="4961" w:type="dxa"/>
            <w:tcBorders>
              <w:top w:val="single" w:sz="4" w:space="0" w:color="000000"/>
              <w:bottom w:val="single" w:sz="4" w:space="0" w:color="000000"/>
            </w:tcBorders>
            <w:shd w:val="clear" w:color="auto" w:fill="auto"/>
          </w:tcPr>
          <w:p w:rsidR="00DC4A3E" w:rsidRPr="00220658" w:rsidRDefault="00DC4A3E" w:rsidP="00E9275F">
            <w:pPr>
              <w:tabs>
                <w:tab w:val="left" w:pos="0"/>
                <w:tab w:val="left" w:pos="444"/>
                <w:tab w:val="left" w:pos="720"/>
              </w:tabs>
              <w:spacing w:line="240" w:lineRule="atLeast"/>
              <w:jc w:val="center"/>
              <w:rPr>
                <w:b/>
                <w:spacing w:val="-3"/>
              </w:rPr>
            </w:pPr>
            <w:r w:rsidRPr="00220658">
              <w:rPr>
                <w:b/>
                <w:spacing w:val="-3"/>
              </w:rPr>
              <w:t>Value</w:t>
            </w:r>
          </w:p>
        </w:tc>
        <w:tc>
          <w:tcPr>
            <w:tcW w:w="1559" w:type="dxa"/>
            <w:tcBorders>
              <w:top w:val="single" w:sz="4" w:space="0" w:color="000000"/>
              <w:bottom w:val="single" w:sz="4" w:space="0" w:color="000000"/>
            </w:tcBorders>
            <w:shd w:val="clear" w:color="auto" w:fill="auto"/>
          </w:tcPr>
          <w:p w:rsidR="00DC4A3E" w:rsidRPr="00220658" w:rsidRDefault="00DC4A3E" w:rsidP="00E9275F">
            <w:pPr>
              <w:tabs>
                <w:tab w:val="left" w:pos="0"/>
                <w:tab w:val="left" w:pos="444"/>
                <w:tab w:val="left" w:pos="720"/>
              </w:tabs>
              <w:spacing w:line="240" w:lineRule="atLeast"/>
              <w:jc w:val="center"/>
            </w:pPr>
            <w:r w:rsidRPr="00220658">
              <w:rPr>
                <w:b/>
                <w:spacing w:val="-3"/>
              </w:rPr>
              <w:t>T/K</w:t>
            </w:r>
          </w:p>
        </w:tc>
      </w:tr>
      <w:tr w:rsidR="00DC4A3E" w:rsidRPr="00220658" w:rsidTr="00DA6DF5">
        <w:tc>
          <w:tcPr>
            <w:tcW w:w="2348" w:type="dxa"/>
            <w:tcBorders>
              <w:top w:val="single" w:sz="4" w:space="0" w:color="000000"/>
            </w:tcBorders>
            <w:shd w:val="clear" w:color="auto" w:fill="auto"/>
          </w:tcPr>
          <w:p w:rsidR="00DC4A3E" w:rsidRPr="00220658" w:rsidRDefault="00DC4A3E" w:rsidP="00E9275F">
            <w:pPr>
              <w:tabs>
                <w:tab w:val="left" w:pos="0"/>
                <w:tab w:val="left" w:pos="444"/>
                <w:tab w:val="left" w:pos="720"/>
              </w:tabs>
              <w:snapToGrid w:val="0"/>
              <w:spacing w:line="240" w:lineRule="atLeast"/>
              <w:jc w:val="center"/>
              <w:rPr>
                <w:i/>
                <w:spacing w:val="-3"/>
              </w:rPr>
            </w:pPr>
          </w:p>
        </w:tc>
        <w:tc>
          <w:tcPr>
            <w:tcW w:w="4961" w:type="dxa"/>
            <w:tcBorders>
              <w:top w:val="single" w:sz="4" w:space="0" w:color="000000"/>
            </w:tcBorders>
            <w:shd w:val="clear" w:color="auto" w:fill="auto"/>
          </w:tcPr>
          <w:p w:rsidR="00DC4A3E" w:rsidRPr="00220658" w:rsidRDefault="00DC4A3E" w:rsidP="00E9275F">
            <w:pPr>
              <w:tabs>
                <w:tab w:val="left" w:pos="0"/>
                <w:tab w:val="left" w:pos="444"/>
                <w:tab w:val="left" w:pos="720"/>
              </w:tabs>
              <w:snapToGrid w:val="0"/>
              <w:spacing w:line="240" w:lineRule="atLeast"/>
              <w:rPr>
                <w:spacing w:val="-3"/>
              </w:rPr>
            </w:pPr>
          </w:p>
        </w:tc>
        <w:tc>
          <w:tcPr>
            <w:tcW w:w="1559" w:type="dxa"/>
            <w:tcBorders>
              <w:top w:val="single" w:sz="4" w:space="0" w:color="000000"/>
            </w:tcBorders>
            <w:shd w:val="clear" w:color="auto" w:fill="auto"/>
          </w:tcPr>
          <w:p w:rsidR="00DC4A3E" w:rsidRPr="00220658" w:rsidRDefault="00DC4A3E" w:rsidP="00E9275F">
            <w:pPr>
              <w:tabs>
                <w:tab w:val="left" w:pos="0"/>
                <w:tab w:val="left" w:pos="444"/>
                <w:tab w:val="left" w:pos="720"/>
              </w:tabs>
              <w:snapToGrid w:val="0"/>
              <w:spacing w:line="240" w:lineRule="atLeast"/>
              <w:jc w:val="center"/>
              <w:rPr>
                <w:spacing w:val="-3"/>
              </w:rPr>
            </w:pPr>
          </w:p>
        </w:tc>
      </w:tr>
      <w:tr w:rsidR="00DC4A3E" w:rsidRPr="007255C1" w:rsidTr="00DA6DF5">
        <w:tc>
          <w:tcPr>
            <w:tcW w:w="2348" w:type="dxa"/>
            <w:shd w:val="clear" w:color="auto" w:fill="auto"/>
          </w:tcPr>
          <w:p w:rsidR="00DC4A3E" w:rsidRPr="007255C1" w:rsidRDefault="00DC4A3E" w:rsidP="00E9275F">
            <w:pPr>
              <w:tabs>
                <w:tab w:val="left" w:pos="0"/>
                <w:tab w:val="left" w:pos="444"/>
                <w:tab w:val="left" w:pos="720"/>
              </w:tabs>
              <w:spacing w:line="240" w:lineRule="atLeast"/>
              <w:jc w:val="center"/>
              <w:rPr>
                <w:spacing w:val="-3"/>
                <w:lang w:val="en-US"/>
              </w:rPr>
            </w:pPr>
            <w:r w:rsidRPr="007255C1">
              <w:rPr>
                <w:i/>
                <w:spacing w:val="-3"/>
              </w:rPr>
              <w:t>k</w:t>
            </w:r>
            <w:r w:rsidRPr="007255C1">
              <w:rPr>
                <w:spacing w:val="-3"/>
              </w:rPr>
              <w:t xml:space="preserve"> /cm</w:t>
            </w:r>
            <w:r w:rsidRPr="007255C1">
              <w:rPr>
                <w:spacing w:val="-3"/>
                <w:vertAlign w:val="superscript"/>
              </w:rPr>
              <w:t>3</w:t>
            </w:r>
            <w:r w:rsidRPr="007255C1">
              <w:rPr>
                <w:spacing w:val="-3"/>
              </w:rPr>
              <w:t xml:space="preserve"> molecule</w:t>
            </w:r>
            <w:r w:rsidRPr="007255C1">
              <w:rPr>
                <w:spacing w:val="-3"/>
                <w:vertAlign w:val="superscript"/>
              </w:rPr>
              <w:t>-1</w:t>
            </w:r>
            <w:r w:rsidRPr="007255C1">
              <w:rPr>
                <w:spacing w:val="-3"/>
              </w:rPr>
              <w:t xml:space="preserve"> s</w:t>
            </w:r>
            <w:r w:rsidRPr="007255C1">
              <w:rPr>
                <w:spacing w:val="-3"/>
                <w:vertAlign w:val="superscript"/>
              </w:rPr>
              <w:t>-1</w:t>
            </w:r>
          </w:p>
        </w:tc>
        <w:tc>
          <w:tcPr>
            <w:tcW w:w="4961" w:type="dxa"/>
            <w:shd w:val="clear" w:color="auto" w:fill="auto"/>
          </w:tcPr>
          <w:p w:rsidR="00DC4A3E" w:rsidRPr="007255C1" w:rsidRDefault="00DC4A3E" w:rsidP="00E9275F">
            <w:pPr>
              <w:tabs>
                <w:tab w:val="left" w:pos="0"/>
                <w:tab w:val="left" w:pos="444"/>
                <w:tab w:val="left" w:pos="720"/>
              </w:tabs>
              <w:spacing w:line="240" w:lineRule="atLeast"/>
              <w:rPr>
                <w:spacing w:val="-3"/>
              </w:rPr>
            </w:pPr>
            <w:r>
              <w:t>9.1</w:t>
            </w:r>
            <w:r w:rsidR="00D847A2" w:rsidRPr="00FE1E26">
              <w:rPr>
                <w:sz w:val="20"/>
              </w:rPr>
              <w:t xml:space="preserve"> </w:t>
            </w:r>
            <w:r w:rsidR="00D847A2" w:rsidRPr="00FE1E26">
              <w:rPr>
                <w:sz w:val="20"/>
              </w:rPr>
              <w:sym w:font="Symbol" w:char="F0B4"/>
            </w:r>
            <w:r w:rsidR="00D847A2" w:rsidRPr="00FE1E26">
              <w:rPr>
                <w:sz w:val="20"/>
              </w:rPr>
              <w:t xml:space="preserve"> </w:t>
            </w:r>
            <w:r>
              <w:t>10</w:t>
            </w:r>
            <w:r>
              <w:rPr>
                <w:vertAlign w:val="superscript"/>
              </w:rPr>
              <w:t>-12</w:t>
            </w:r>
          </w:p>
        </w:tc>
        <w:tc>
          <w:tcPr>
            <w:tcW w:w="1559" w:type="dxa"/>
            <w:shd w:val="clear" w:color="auto" w:fill="auto"/>
          </w:tcPr>
          <w:p w:rsidR="00DC4A3E" w:rsidRPr="007255C1" w:rsidRDefault="00DC4A3E" w:rsidP="00E9275F">
            <w:pPr>
              <w:tabs>
                <w:tab w:val="left" w:pos="0"/>
                <w:tab w:val="left" w:pos="444"/>
                <w:tab w:val="left" w:pos="720"/>
              </w:tabs>
              <w:spacing w:line="240" w:lineRule="atLeast"/>
              <w:jc w:val="center"/>
            </w:pPr>
            <w:r w:rsidRPr="007255C1">
              <w:rPr>
                <w:spacing w:val="-3"/>
              </w:rPr>
              <w:t>298</w:t>
            </w:r>
          </w:p>
        </w:tc>
      </w:tr>
      <w:tr w:rsidR="00DC4A3E" w:rsidRPr="007255C1" w:rsidTr="00DA6DF5">
        <w:tc>
          <w:tcPr>
            <w:tcW w:w="2348" w:type="dxa"/>
            <w:shd w:val="clear" w:color="auto" w:fill="auto"/>
          </w:tcPr>
          <w:p w:rsidR="00DC4A3E" w:rsidRPr="007255C1" w:rsidRDefault="00DC4A3E" w:rsidP="00E9275F">
            <w:pPr>
              <w:tabs>
                <w:tab w:val="left" w:pos="0"/>
                <w:tab w:val="left" w:pos="444"/>
                <w:tab w:val="left" w:pos="720"/>
              </w:tabs>
              <w:spacing w:line="240" w:lineRule="atLeast"/>
              <w:jc w:val="center"/>
              <w:rPr>
                <w:i/>
                <w:spacing w:val="-3"/>
              </w:rPr>
            </w:pPr>
            <w:r w:rsidRPr="007255C1">
              <w:rPr>
                <w:i/>
                <w:spacing w:val="-3"/>
              </w:rPr>
              <w:t xml:space="preserve">k </w:t>
            </w:r>
            <w:r w:rsidRPr="009777F9">
              <w:rPr>
                <w:spacing w:val="-3"/>
              </w:rPr>
              <w:t>/</w:t>
            </w:r>
            <w:r w:rsidRPr="007255C1">
              <w:rPr>
                <w:spacing w:val="-3"/>
              </w:rPr>
              <w:t>cm</w:t>
            </w:r>
            <w:r w:rsidRPr="007255C1">
              <w:rPr>
                <w:spacing w:val="-3"/>
                <w:vertAlign w:val="superscript"/>
              </w:rPr>
              <w:t>3</w:t>
            </w:r>
            <w:r w:rsidRPr="007255C1">
              <w:rPr>
                <w:spacing w:val="-3"/>
              </w:rPr>
              <w:t xml:space="preserve"> molecule</w:t>
            </w:r>
            <w:r w:rsidRPr="007255C1">
              <w:rPr>
                <w:spacing w:val="-3"/>
                <w:vertAlign w:val="superscript"/>
              </w:rPr>
              <w:t>-1</w:t>
            </w:r>
            <w:r w:rsidRPr="007255C1">
              <w:rPr>
                <w:spacing w:val="-3"/>
              </w:rPr>
              <w:t xml:space="preserve"> s</w:t>
            </w:r>
            <w:r w:rsidRPr="007255C1">
              <w:rPr>
                <w:spacing w:val="-3"/>
                <w:vertAlign w:val="superscript"/>
              </w:rPr>
              <w:t>-1</w:t>
            </w:r>
          </w:p>
        </w:tc>
        <w:tc>
          <w:tcPr>
            <w:tcW w:w="4961" w:type="dxa"/>
            <w:shd w:val="clear" w:color="auto" w:fill="auto"/>
          </w:tcPr>
          <w:p w:rsidR="00DC4A3E" w:rsidRPr="007255C1" w:rsidRDefault="00DC4A3E" w:rsidP="00E9275F">
            <w:pPr>
              <w:tabs>
                <w:tab w:val="left" w:pos="0"/>
                <w:tab w:val="left" w:pos="444"/>
                <w:tab w:val="left" w:pos="720"/>
              </w:tabs>
              <w:spacing w:line="240" w:lineRule="atLeast"/>
              <w:rPr>
                <w:spacing w:val="-3"/>
                <w:lang w:val="en-US"/>
              </w:rPr>
            </w:pPr>
            <w:r>
              <w:t>2.55</w:t>
            </w:r>
            <w:r w:rsidR="00D847A2" w:rsidRPr="00FE1E26">
              <w:rPr>
                <w:sz w:val="20"/>
              </w:rPr>
              <w:t xml:space="preserve"> </w:t>
            </w:r>
            <w:r w:rsidR="00D847A2" w:rsidRPr="00FE1E26">
              <w:rPr>
                <w:sz w:val="20"/>
              </w:rPr>
              <w:sym w:font="Symbol" w:char="F0B4"/>
            </w:r>
            <w:r w:rsidR="00D847A2" w:rsidRPr="00FE1E26">
              <w:rPr>
                <w:sz w:val="20"/>
              </w:rPr>
              <w:t xml:space="preserve"> </w:t>
            </w:r>
            <w:r>
              <w:t>10</w:t>
            </w:r>
            <w:r>
              <w:rPr>
                <w:vertAlign w:val="superscript"/>
              </w:rPr>
              <w:t>-12</w:t>
            </w:r>
            <w:r>
              <w:t xml:space="preserve"> exp(380/</w:t>
            </w:r>
            <w:r>
              <w:rPr>
                <w:i/>
              </w:rPr>
              <w:t>T</w:t>
            </w:r>
            <w:r>
              <w:t>)</w:t>
            </w:r>
          </w:p>
        </w:tc>
        <w:tc>
          <w:tcPr>
            <w:tcW w:w="1559" w:type="dxa"/>
            <w:shd w:val="clear" w:color="auto" w:fill="auto"/>
          </w:tcPr>
          <w:p w:rsidR="00DC4A3E" w:rsidRPr="007255C1" w:rsidRDefault="00DC4A3E" w:rsidP="00E375F0">
            <w:pPr>
              <w:tabs>
                <w:tab w:val="left" w:pos="0"/>
                <w:tab w:val="left" w:pos="444"/>
                <w:tab w:val="left" w:pos="720"/>
              </w:tabs>
              <w:spacing w:line="240" w:lineRule="atLeast"/>
              <w:jc w:val="center"/>
              <w:rPr>
                <w:spacing w:val="-3"/>
              </w:rPr>
            </w:pPr>
            <w:r w:rsidRPr="007255C1">
              <w:rPr>
                <w:spacing w:val="-3"/>
              </w:rPr>
              <w:t>2</w:t>
            </w:r>
            <w:r>
              <w:rPr>
                <w:spacing w:val="-3"/>
              </w:rPr>
              <w:t>0</w:t>
            </w:r>
            <w:r w:rsidRPr="007255C1">
              <w:rPr>
                <w:spacing w:val="-3"/>
              </w:rPr>
              <w:t>0-</w:t>
            </w:r>
            <w:r>
              <w:rPr>
                <w:spacing w:val="-3"/>
              </w:rPr>
              <w:t>410</w:t>
            </w:r>
          </w:p>
        </w:tc>
      </w:tr>
      <w:tr w:rsidR="00E375F0" w:rsidRPr="007255C1" w:rsidTr="00DA6DF5">
        <w:tc>
          <w:tcPr>
            <w:tcW w:w="2348" w:type="dxa"/>
            <w:shd w:val="clear" w:color="auto" w:fill="auto"/>
          </w:tcPr>
          <w:p w:rsidR="00E375F0" w:rsidRPr="00E375F0" w:rsidRDefault="00E375F0" w:rsidP="003C379A">
            <w:pPr>
              <w:tabs>
                <w:tab w:val="left" w:pos="0"/>
                <w:tab w:val="left" w:pos="444"/>
                <w:tab w:val="left" w:pos="720"/>
              </w:tabs>
              <w:spacing w:line="240" w:lineRule="atLeast"/>
              <w:jc w:val="center"/>
              <w:rPr>
                <w:spacing w:val="-3"/>
              </w:rPr>
            </w:pPr>
            <w:r>
              <w:rPr>
                <w:i/>
              </w:rPr>
              <w:t>k</w:t>
            </w:r>
            <w:r>
              <w:rPr>
                <w:vertAlign w:val="subscript"/>
              </w:rPr>
              <w:t>2</w:t>
            </w:r>
            <w:r>
              <w:t>/</w:t>
            </w:r>
            <w:r>
              <w:rPr>
                <w:i/>
              </w:rPr>
              <w:t xml:space="preserve">k </w:t>
            </w:r>
            <w:r w:rsidR="003C379A">
              <w:rPr>
                <w:i/>
              </w:rPr>
              <w:t>*</w:t>
            </w:r>
          </w:p>
        </w:tc>
        <w:tc>
          <w:tcPr>
            <w:tcW w:w="4961" w:type="dxa"/>
            <w:shd w:val="clear" w:color="auto" w:fill="auto"/>
          </w:tcPr>
          <w:p w:rsidR="00E375F0" w:rsidRPr="002B5AD1" w:rsidRDefault="00DA6DF5" w:rsidP="00E54417">
            <w:pPr>
              <w:tabs>
                <w:tab w:val="left" w:pos="0"/>
                <w:tab w:val="left" w:pos="444"/>
                <w:tab w:val="left" w:pos="720"/>
              </w:tabs>
              <w:spacing w:line="240" w:lineRule="atLeast"/>
            </w:pPr>
            <w:r w:rsidRPr="00DA6DF5">
              <w:t>(1/(0.01</w:t>
            </w:r>
            <w:r w:rsidR="00D847A2" w:rsidRPr="00FE1E26">
              <w:rPr>
                <w:sz w:val="20"/>
              </w:rPr>
              <w:t xml:space="preserve"> </w:t>
            </w:r>
            <w:r w:rsidR="00D847A2" w:rsidRPr="00FE1E26">
              <w:rPr>
                <w:sz w:val="20"/>
              </w:rPr>
              <w:sym w:font="Symbol" w:char="F0B4"/>
            </w:r>
            <w:r w:rsidR="00D847A2" w:rsidRPr="00FE1E26">
              <w:rPr>
                <w:sz w:val="20"/>
              </w:rPr>
              <w:t xml:space="preserve"> </w:t>
            </w:r>
            <w:r w:rsidRPr="00DA6DF5">
              <w:t>(</w:t>
            </w:r>
            <w:r w:rsidR="00D50099">
              <w:t>1</w:t>
            </w:r>
            <w:r w:rsidRPr="00DA6DF5">
              <w:t>.</w:t>
            </w:r>
            <w:r w:rsidR="00D50099">
              <w:t>18e-19</w:t>
            </w:r>
            <w:r w:rsidR="00D847A2" w:rsidRPr="00FE1E26">
              <w:rPr>
                <w:sz w:val="20"/>
              </w:rPr>
              <w:t xml:space="preserve"> </w:t>
            </w:r>
            <w:r w:rsidR="00D847A2" w:rsidRPr="00FE1E26">
              <w:rPr>
                <w:sz w:val="20"/>
              </w:rPr>
              <w:sym w:font="Symbol" w:char="F0B4"/>
            </w:r>
            <w:r w:rsidR="00D847A2">
              <w:t>[M</w:t>
            </w:r>
            <w:r w:rsidR="00D847A2" w:rsidRPr="00D847A2">
              <w:t>]</w:t>
            </w:r>
            <w:r w:rsidRPr="00DA6DF5">
              <w:t>+0.365)</w:t>
            </w:r>
            <w:r w:rsidR="00D847A2" w:rsidRPr="00FE1E26">
              <w:rPr>
                <w:sz w:val="20"/>
              </w:rPr>
              <w:t xml:space="preserve"> </w:t>
            </w:r>
            <w:r w:rsidR="00D847A2" w:rsidRPr="00FE1E26">
              <w:rPr>
                <w:sz w:val="20"/>
              </w:rPr>
              <w:sym w:font="Symbol" w:char="F0B4"/>
            </w:r>
            <w:r w:rsidR="00D847A2" w:rsidRPr="00FE1E26">
              <w:rPr>
                <w:sz w:val="20"/>
              </w:rPr>
              <w:t xml:space="preserve"> </w:t>
            </w:r>
            <w:r w:rsidRPr="00DA6DF5">
              <w:t>(1+</w:t>
            </w:r>
            <w:r w:rsidR="00D50099">
              <w:t>9</w:t>
            </w:r>
            <w:r w:rsidRPr="00DA6DF5">
              <w:t>00</w:t>
            </w:r>
            <w:r w:rsidR="00E54417">
              <w:t xml:space="preserve"> </w:t>
            </w:r>
            <w:r w:rsidR="00E54417">
              <w:sym w:font="Symbol" w:char="F0B4"/>
            </w:r>
            <w:r w:rsidR="00E54417">
              <w:t xml:space="preserve"> </w:t>
            </w:r>
            <w:r w:rsidRPr="00DA6DF5">
              <w:t>(1/</w:t>
            </w:r>
            <w:r w:rsidRPr="00DA6DF5">
              <w:rPr>
                <w:i/>
              </w:rPr>
              <w:t>T</w:t>
            </w:r>
            <w:r w:rsidRPr="00DA6DF5">
              <w:t>-1/298)))+1)</w:t>
            </w:r>
            <w:r w:rsidR="00823FE3" w:rsidRPr="00823FE3">
              <w:rPr>
                <w:vertAlign w:val="superscript"/>
              </w:rPr>
              <w:t>-1</w:t>
            </w:r>
          </w:p>
        </w:tc>
        <w:tc>
          <w:tcPr>
            <w:tcW w:w="1559" w:type="dxa"/>
            <w:shd w:val="clear" w:color="auto" w:fill="auto"/>
          </w:tcPr>
          <w:p w:rsidR="00E375F0" w:rsidRPr="007255C1" w:rsidRDefault="00E375F0" w:rsidP="00E375F0">
            <w:pPr>
              <w:tabs>
                <w:tab w:val="left" w:pos="0"/>
                <w:tab w:val="left" w:pos="444"/>
                <w:tab w:val="left" w:pos="720"/>
              </w:tabs>
              <w:spacing w:line="240" w:lineRule="atLeast"/>
              <w:jc w:val="center"/>
              <w:rPr>
                <w:spacing w:val="-3"/>
              </w:rPr>
            </w:pPr>
          </w:p>
        </w:tc>
      </w:tr>
      <w:tr w:rsidR="009777F9" w:rsidRPr="007255C1" w:rsidTr="00DA6DF5">
        <w:tc>
          <w:tcPr>
            <w:tcW w:w="2348" w:type="dxa"/>
            <w:shd w:val="clear" w:color="auto" w:fill="auto"/>
          </w:tcPr>
          <w:p w:rsidR="009777F9" w:rsidRPr="00D847A2" w:rsidRDefault="00D847A2" w:rsidP="00E9275F">
            <w:pPr>
              <w:tabs>
                <w:tab w:val="left" w:pos="0"/>
                <w:tab w:val="left" w:pos="444"/>
                <w:tab w:val="left" w:pos="720"/>
              </w:tabs>
              <w:spacing w:line="240" w:lineRule="atLeast"/>
              <w:jc w:val="center"/>
              <w:rPr>
                <w:color w:val="FF0000"/>
              </w:rPr>
            </w:pPr>
            <w:r>
              <w:rPr>
                <w:i/>
              </w:rPr>
              <w:t>k</w:t>
            </w:r>
            <w:r>
              <w:rPr>
                <w:vertAlign w:val="subscript"/>
              </w:rPr>
              <w:t>2</w:t>
            </w:r>
            <w:r>
              <w:t>/</w:t>
            </w:r>
            <w:r>
              <w:rPr>
                <w:i/>
              </w:rPr>
              <w:t>k</w:t>
            </w:r>
            <w:r>
              <w:t xml:space="preserve"> (1 bar)</w:t>
            </w:r>
          </w:p>
        </w:tc>
        <w:tc>
          <w:tcPr>
            <w:tcW w:w="4961" w:type="dxa"/>
            <w:shd w:val="clear" w:color="auto" w:fill="auto"/>
          </w:tcPr>
          <w:p w:rsidR="009777F9" w:rsidRPr="00B56C75" w:rsidRDefault="00B56C75" w:rsidP="00E9275F">
            <w:pPr>
              <w:tabs>
                <w:tab w:val="left" w:pos="0"/>
                <w:tab w:val="left" w:pos="444"/>
                <w:tab w:val="left" w:pos="720"/>
              </w:tabs>
              <w:spacing w:line="240" w:lineRule="atLeast"/>
              <w:rPr>
                <w:rFonts w:ascii="Symbol" w:hAnsi="Symbol" w:cs="Symbol"/>
              </w:rPr>
            </w:pPr>
            <w:r w:rsidRPr="00B56C75">
              <w:rPr>
                <w:rFonts w:ascii="Symbol" w:hAnsi="Symbol" w:cs="Symbol"/>
              </w:rPr>
              <w:t></w:t>
            </w:r>
            <w:r w:rsidRPr="00B56C75">
              <w:rPr>
                <w:rFonts w:ascii="Symbol" w:hAnsi="Symbol" w:cs="Symbol"/>
              </w:rPr>
              <w:t></w:t>
            </w:r>
            <w:r w:rsidRPr="00B56C75">
              <w:rPr>
                <w:rFonts w:ascii="Symbol" w:hAnsi="Symbol" w:cs="Symbol"/>
              </w:rPr>
              <w:t></w:t>
            </w:r>
            <w:r w:rsidRPr="00B56C75">
              <w:rPr>
                <w:rFonts w:ascii="Symbol" w:hAnsi="Symbol" w:cs="Symbol"/>
              </w:rPr>
              <w:t></w:t>
            </w:r>
            <w:r w:rsidRPr="00B56C75">
              <w:rPr>
                <w:rFonts w:ascii="Symbol" w:hAnsi="Symbol" w:cs="Symbol"/>
              </w:rPr>
              <w:t></w:t>
            </w:r>
          </w:p>
        </w:tc>
        <w:tc>
          <w:tcPr>
            <w:tcW w:w="1559" w:type="dxa"/>
            <w:shd w:val="clear" w:color="auto" w:fill="auto"/>
          </w:tcPr>
          <w:p w:rsidR="009777F9" w:rsidRPr="007255C1" w:rsidRDefault="00D847A2" w:rsidP="00E375F0">
            <w:pPr>
              <w:tabs>
                <w:tab w:val="left" w:pos="0"/>
                <w:tab w:val="left" w:pos="444"/>
                <w:tab w:val="left" w:pos="720"/>
              </w:tabs>
              <w:spacing w:line="240" w:lineRule="atLeast"/>
              <w:jc w:val="center"/>
              <w:rPr>
                <w:spacing w:val="-3"/>
              </w:rPr>
            </w:pPr>
            <w:r>
              <w:rPr>
                <w:spacing w:val="-3"/>
              </w:rPr>
              <w:t>298 K</w:t>
            </w:r>
          </w:p>
        </w:tc>
      </w:tr>
    </w:tbl>
    <w:p w:rsidR="00DC4A3E" w:rsidRPr="007255C1" w:rsidRDefault="00DC4A3E" w:rsidP="00DC4A3E">
      <w:pPr>
        <w:tabs>
          <w:tab w:val="left" w:pos="0"/>
          <w:tab w:val="left" w:pos="444"/>
          <w:tab w:val="left" w:pos="720"/>
        </w:tabs>
        <w:spacing w:line="240" w:lineRule="atLeast"/>
        <w:jc w:val="both"/>
        <w:rPr>
          <w:spacing w:val="-3"/>
        </w:rPr>
      </w:pPr>
      <w:r w:rsidRPr="007255C1">
        <w:rPr>
          <w:i/>
          <w:spacing w:val="-3"/>
        </w:rPr>
        <w:t>Reliability</w:t>
      </w:r>
    </w:p>
    <w:tbl>
      <w:tblPr>
        <w:tblW w:w="0" w:type="auto"/>
        <w:tblInd w:w="454" w:type="dxa"/>
        <w:tblLayout w:type="fixed"/>
        <w:tblLook w:val="0000" w:firstRow="0" w:lastRow="0" w:firstColumn="0" w:lastColumn="0" w:noHBand="0" w:noVBand="0"/>
      </w:tblPr>
      <w:tblGrid>
        <w:gridCol w:w="2348"/>
        <w:gridCol w:w="4961"/>
        <w:gridCol w:w="1559"/>
      </w:tblGrid>
      <w:tr w:rsidR="00DC4A3E" w:rsidRPr="007255C1" w:rsidTr="00DA6DF5">
        <w:tc>
          <w:tcPr>
            <w:tcW w:w="2348" w:type="dxa"/>
            <w:shd w:val="clear" w:color="auto" w:fill="auto"/>
          </w:tcPr>
          <w:p w:rsidR="00DC4A3E" w:rsidRPr="007255C1" w:rsidRDefault="00DC4A3E" w:rsidP="00E9275F">
            <w:pPr>
              <w:tabs>
                <w:tab w:val="left" w:pos="0"/>
                <w:tab w:val="left" w:pos="444"/>
                <w:tab w:val="left" w:pos="720"/>
              </w:tabs>
              <w:spacing w:line="240" w:lineRule="atLeast"/>
              <w:jc w:val="center"/>
              <w:rPr>
                <w:spacing w:val="-3"/>
              </w:rPr>
            </w:pPr>
            <w:r w:rsidRPr="007255C1">
              <w:rPr>
                <w:rFonts w:ascii="Symbol" w:hAnsi="Symbol"/>
                <w:spacing w:val="-3"/>
              </w:rPr>
              <w:t></w:t>
            </w:r>
            <w:r w:rsidRPr="007255C1">
              <w:rPr>
                <w:spacing w:val="-3"/>
              </w:rPr>
              <w:t xml:space="preserve"> log</w:t>
            </w:r>
            <w:r w:rsidRPr="007255C1">
              <w:rPr>
                <w:i/>
                <w:spacing w:val="-3"/>
              </w:rPr>
              <w:t xml:space="preserve"> k</w:t>
            </w:r>
          </w:p>
        </w:tc>
        <w:tc>
          <w:tcPr>
            <w:tcW w:w="4961" w:type="dxa"/>
            <w:shd w:val="clear" w:color="auto" w:fill="auto"/>
          </w:tcPr>
          <w:p w:rsidR="00DC4A3E" w:rsidRPr="007255C1" w:rsidRDefault="00DC4A3E" w:rsidP="00DC4A3E">
            <w:pPr>
              <w:tabs>
                <w:tab w:val="left" w:pos="0"/>
                <w:tab w:val="left" w:pos="444"/>
                <w:tab w:val="left" w:pos="720"/>
              </w:tabs>
              <w:spacing w:line="240" w:lineRule="atLeast"/>
              <w:rPr>
                <w:spacing w:val="-3"/>
              </w:rPr>
            </w:pPr>
            <w:r>
              <w:rPr>
                <w:lang w:val="pt-BR"/>
              </w:rPr>
              <w:t>± 0.1</w:t>
            </w:r>
          </w:p>
        </w:tc>
        <w:tc>
          <w:tcPr>
            <w:tcW w:w="1559" w:type="dxa"/>
            <w:shd w:val="clear" w:color="auto" w:fill="auto"/>
          </w:tcPr>
          <w:p w:rsidR="00DC4A3E" w:rsidRPr="007255C1" w:rsidRDefault="00DC4A3E" w:rsidP="00E9275F">
            <w:pPr>
              <w:tabs>
                <w:tab w:val="left" w:pos="0"/>
                <w:tab w:val="left" w:pos="444"/>
                <w:tab w:val="left" w:pos="720"/>
              </w:tabs>
              <w:spacing w:line="240" w:lineRule="atLeast"/>
              <w:jc w:val="center"/>
            </w:pPr>
            <w:r w:rsidRPr="007255C1">
              <w:rPr>
                <w:spacing w:val="-3"/>
              </w:rPr>
              <w:t>298</w:t>
            </w:r>
          </w:p>
        </w:tc>
      </w:tr>
      <w:tr w:rsidR="00323F2C" w:rsidRPr="007255C1" w:rsidTr="00DA6DF5">
        <w:tc>
          <w:tcPr>
            <w:tcW w:w="2348" w:type="dxa"/>
            <w:shd w:val="clear" w:color="auto" w:fill="auto"/>
          </w:tcPr>
          <w:p w:rsidR="00323F2C" w:rsidRPr="007255C1" w:rsidRDefault="00323F2C" w:rsidP="00E33E36">
            <w:pPr>
              <w:tabs>
                <w:tab w:val="left" w:pos="0"/>
                <w:tab w:val="left" w:pos="444"/>
                <w:tab w:val="left" w:pos="720"/>
              </w:tabs>
              <w:spacing w:after="120" w:line="240" w:lineRule="atLeast"/>
              <w:jc w:val="center"/>
              <w:rPr>
                <w:spacing w:val="-3"/>
              </w:rPr>
            </w:pPr>
            <w:r w:rsidRPr="007255C1">
              <w:rPr>
                <w:spacing w:val="-3"/>
              </w:rPr>
              <w:sym w:font="Symbol" w:char="F044"/>
            </w:r>
            <w:r w:rsidRPr="007255C1">
              <w:rPr>
                <w:rFonts w:ascii="Symbol" w:hAnsi="Symbol"/>
                <w:spacing w:val="-3"/>
              </w:rPr>
              <w:t></w:t>
            </w:r>
            <w:r w:rsidRPr="007255C1">
              <w:rPr>
                <w:i/>
                <w:spacing w:val="-3"/>
              </w:rPr>
              <w:t>E</w:t>
            </w:r>
            <w:r w:rsidRPr="007255C1">
              <w:rPr>
                <w:spacing w:val="-3"/>
              </w:rPr>
              <w:t>/</w:t>
            </w:r>
            <w:r w:rsidRPr="007255C1">
              <w:rPr>
                <w:i/>
                <w:spacing w:val="-3"/>
              </w:rPr>
              <w:t>R</w:t>
            </w:r>
            <w:r w:rsidRPr="007255C1">
              <w:rPr>
                <w:spacing w:val="-3"/>
              </w:rPr>
              <w:t xml:space="preserve"> </w:t>
            </w:r>
          </w:p>
        </w:tc>
        <w:tc>
          <w:tcPr>
            <w:tcW w:w="4961" w:type="dxa"/>
            <w:shd w:val="clear" w:color="auto" w:fill="auto"/>
          </w:tcPr>
          <w:p w:rsidR="00323F2C" w:rsidRPr="007255C1" w:rsidRDefault="00323F2C" w:rsidP="00E33E36">
            <w:pPr>
              <w:tabs>
                <w:tab w:val="left" w:pos="0"/>
                <w:tab w:val="left" w:pos="444"/>
                <w:tab w:val="left" w:pos="720"/>
              </w:tabs>
              <w:spacing w:after="120" w:line="240" w:lineRule="atLeast"/>
              <w:rPr>
                <w:spacing w:val="-3"/>
              </w:rPr>
            </w:pPr>
            <w:r>
              <w:rPr>
                <w:spacing w:val="-3"/>
              </w:rPr>
              <w:t>± 5</w:t>
            </w:r>
            <w:r w:rsidRPr="007255C1">
              <w:rPr>
                <w:spacing w:val="-3"/>
              </w:rPr>
              <w:t>0</w:t>
            </w:r>
          </w:p>
        </w:tc>
        <w:tc>
          <w:tcPr>
            <w:tcW w:w="1559" w:type="dxa"/>
            <w:shd w:val="clear" w:color="auto" w:fill="auto"/>
          </w:tcPr>
          <w:p w:rsidR="00323F2C" w:rsidRPr="007255C1" w:rsidRDefault="00323F2C" w:rsidP="00E9275F">
            <w:pPr>
              <w:tabs>
                <w:tab w:val="left" w:pos="0"/>
                <w:tab w:val="left" w:pos="444"/>
                <w:tab w:val="left" w:pos="720"/>
              </w:tabs>
              <w:spacing w:line="240" w:lineRule="atLeast"/>
              <w:jc w:val="center"/>
              <w:rPr>
                <w:spacing w:val="-3"/>
              </w:rPr>
            </w:pPr>
            <w:r w:rsidRPr="007255C1">
              <w:rPr>
                <w:spacing w:val="-3"/>
              </w:rPr>
              <w:t>2</w:t>
            </w:r>
            <w:r>
              <w:rPr>
                <w:spacing w:val="-3"/>
              </w:rPr>
              <w:t>0</w:t>
            </w:r>
            <w:r w:rsidRPr="007255C1">
              <w:rPr>
                <w:spacing w:val="-3"/>
              </w:rPr>
              <w:t>0-</w:t>
            </w:r>
            <w:r>
              <w:rPr>
                <w:spacing w:val="-3"/>
              </w:rPr>
              <w:t>410</w:t>
            </w:r>
          </w:p>
        </w:tc>
      </w:tr>
      <w:tr w:rsidR="00323F2C" w:rsidRPr="007255C1" w:rsidTr="00DA6DF5">
        <w:tc>
          <w:tcPr>
            <w:tcW w:w="2348" w:type="dxa"/>
            <w:tcBorders>
              <w:bottom w:val="single" w:sz="4" w:space="0" w:color="auto"/>
            </w:tcBorders>
            <w:shd w:val="clear" w:color="auto" w:fill="auto"/>
          </w:tcPr>
          <w:p w:rsidR="00323F2C" w:rsidRPr="0048250E" w:rsidRDefault="00323F2C" w:rsidP="0048250E">
            <w:pPr>
              <w:tabs>
                <w:tab w:val="left" w:pos="0"/>
                <w:tab w:val="left" w:pos="444"/>
                <w:tab w:val="left" w:pos="720"/>
              </w:tabs>
              <w:spacing w:after="120" w:line="240" w:lineRule="atLeast"/>
              <w:jc w:val="center"/>
              <w:rPr>
                <w:spacing w:val="-3"/>
              </w:rPr>
            </w:pPr>
            <w:r w:rsidRPr="007255C1">
              <w:rPr>
                <w:spacing w:val="-3"/>
              </w:rPr>
              <w:lastRenderedPageBreak/>
              <w:sym w:font="Symbol" w:char="F044"/>
            </w:r>
            <w:r w:rsidR="0048250E">
              <w:rPr>
                <w:spacing w:val="-3"/>
              </w:rPr>
              <w:t xml:space="preserve"> </w:t>
            </w:r>
            <w:r w:rsidR="0048250E" w:rsidRPr="007255C1">
              <w:rPr>
                <w:spacing w:val="-3"/>
              </w:rPr>
              <w:t>log</w:t>
            </w:r>
            <w:r w:rsidR="0048250E" w:rsidRPr="007255C1">
              <w:rPr>
                <w:rFonts w:ascii="Symbol" w:hAnsi="Symbol"/>
                <w:spacing w:val="-3"/>
              </w:rPr>
              <w:t></w:t>
            </w:r>
            <w:r w:rsidR="0048250E">
              <w:rPr>
                <w:rFonts w:ascii="Symbol" w:hAnsi="Symbol"/>
                <w:spacing w:val="-3"/>
              </w:rPr>
              <w:t></w:t>
            </w:r>
            <w:r>
              <w:rPr>
                <w:i/>
              </w:rPr>
              <w:t>k</w:t>
            </w:r>
            <w:r>
              <w:rPr>
                <w:vertAlign w:val="subscript"/>
              </w:rPr>
              <w:t>2</w:t>
            </w:r>
            <w:r>
              <w:t>/</w:t>
            </w:r>
            <w:r>
              <w:rPr>
                <w:i/>
              </w:rPr>
              <w:t>k</w:t>
            </w:r>
            <w:r w:rsidR="0048250E">
              <w:t>)</w:t>
            </w:r>
          </w:p>
        </w:tc>
        <w:tc>
          <w:tcPr>
            <w:tcW w:w="4961" w:type="dxa"/>
            <w:tcBorders>
              <w:bottom w:val="single" w:sz="4" w:space="0" w:color="auto"/>
            </w:tcBorders>
            <w:shd w:val="clear" w:color="auto" w:fill="auto"/>
          </w:tcPr>
          <w:p w:rsidR="00323F2C" w:rsidRPr="00323F2C" w:rsidRDefault="0048250E" w:rsidP="00E375F0">
            <w:pPr>
              <w:tabs>
                <w:tab w:val="left" w:pos="0"/>
                <w:tab w:val="left" w:pos="444"/>
                <w:tab w:val="left" w:pos="720"/>
              </w:tabs>
              <w:spacing w:after="120" w:line="240" w:lineRule="atLeast"/>
              <w:rPr>
                <w:color w:val="FF0000"/>
                <w:spacing w:val="-3"/>
              </w:rPr>
            </w:pPr>
            <w:r>
              <w:rPr>
                <w:lang w:val="pt-BR"/>
              </w:rPr>
              <w:t>± 0.2</w:t>
            </w:r>
          </w:p>
        </w:tc>
        <w:tc>
          <w:tcPr>
            <w:tcW w:w="1559" w:type="dxa"/>
            <w:tcBorders>
              <w:bottom w:val="single" w:sz="4" w:space="0" w:color="auto"/>
            </w:tcBorders>
            <w:shd w:val="clear" w:color="auto" w:fill="auto"/>
          </w:tcPr>
          <w:p w:rsidR="00323F2C" w:rsidRPr="007255C1" w:rsidRDefault="00323F2C" w:rsidP="00E9275F">
            <w:pPr>
              <w:tabs>
                <w:tab w:val="left" w:pos="0"/>
                <w:tab w:val="left" w:pos="444"/>
                <w:tab w:val="left" w:pos="720"/>
              </w:tabs>
              <w:spacing w:after="120" w:line="240" w:lineRule="atLeast"/>
              <w:jc w:val="center"/>
              <w:rPr>
                <w:spacing w:val="-3"/>
              </w:rPr>
            </w:pPr>
            <w:r>
              <w:rPr>
                <w:spacing w:val="-3"/>
              </w:rPr>
              <w:t>220-320</w:t>
            </w:r>
          </w:p>
        </w:tc>
      </w:tr>
    </w:tbl>
    <w:p w:rsidR="00DC4A3E" w:rsidRPr="0048250E" w:rsidRDefault="007F4A0C" w:rsidP="003C379A">
      <w:pPr>
        <w:tabs>
          <w:tab w:val="left" w:pos="0"/>
          <w:tab w:val="left" w:pos="444"/>
          <w:tab w:val="left" w:pos="720"/>
        </w:tabs>
        <w:spacing w:line="240" w:lineRule="atLeast"/>
        <w:ind w:left="360"/>
        <w:jc w:val="both"/>
        <w:rPr>
          <w:spacing w:val="-3"/>
          <w:lang w:val="en-US"/>
        </w:rPr>
      </w:pPr>
      <w:r>
        <w:rPr>
          <w:spacing w:val="-3"/>
          <w:lang w:val="en-US"/>
        </w:rPr>
        <w:t>*</w:t>
      </w:r>
      <w:r w:rsidR="00DA6DF5">
        <w:rPr>
          <w:spacing w:val="-3"/>
          <w:lang w:val="en-US"/>
        </w:rPr>
        <w:t xml:space="preserve">The expression was adapted from the parameterization for </w:t>
      </w:r>
      <w:r w:rsidR="00DA6DF5" w:rsidRPr="00DA6DF5">
        <w:rPr>
          <w:i/>
          <w:spacing w:val="-3"/>
          <w:lang w:val="en-US"/>
        </w:rPr>
        <w:t>k</w:t>
      </w:r>
      <w:r w:rsidR="00DA6DF5" w:rsidRPr="00DA6DF5">
        <w:rPr>
          <w:spacing w:val="-3"/>
          <w:vertAlign w:val="subscript"/>
          <w:lang w:val="en-US"/>
        </w:rPr>
        <w:t>2</w:t>
      </w:r>
      <w:r w:rsidR="00DA6DF5">
        <w:rPr>
          <w:spacing w:val="-3"/>
          <w:lang w:val="en-US"/>
        </w:rPr>
        <w:t>/</w:t>
      </w:r>
      <w:r w:rsidR="00DA6DF5" w:rsidRPr="00DA6DF5">
        <w:rPr>
          <w:i/>
          <w:spacing w:val="-3"/>
          <w:lang w:val="en-US"/>
        </w:rPr>
        <w:t>k</w:t>
      </w:r>
      <w:r w:rsidR="00DA6DF5" w:rsidRPr="00DA6DF5">
        <w:rPr>
          <w:spacing w:val="-3"/>
          <w:vertAlign w:val="subscript"/>
          <w:lang w:val="en-US"/>
        </w:rPr>
        <w:t>1</w:t>
      </w:r>
      <w:r w:rsidR="00DA6DF5">
        <w:rPr>
          <w:spacing w:val="-3"/>
          <w:lang w:val="en-US"/>
        </w:rPr>
        <w:t xml:space="preserve"> given by Butkovskaya et al. (2010) using</w:t>
      </w:r>
      <w:r w:rsidR="0048250E">
        <w:rPr>
          <w:spacing w:val="-3"/>
          <w:lang w:val="en-US"/>
        </w:rPr>
        <w:t xml:space="preserve"> </w:t>
      </w:r>
      <w:r w:rsidR="0048250E" w:rsidRPr="00DA6DF5">
        <w:rPr>
          <w:i/>
          <w:spacing w:val="-3"/>
          <w:lang w:val="en-US"/>
        </w:rPr>
        <w:t>k</w:t>
      </w:r>
      <w:r w:rsidR="0048250E" w:rsidRPr="00DA6DF5">
        <w:rPr>
          <w:spacing w:val="-3"/>
          <w:vertAlign w:val="subscript"/>
          <w:lang w:val="en-US"/>
        </w:rPr>
        <w:t>2</w:t>
      </w:r>
      <w:r w:rsidR="0048250E">
        <w:rPr>
          <w:spacing w:val="-3"/>
          <w:lang w:val="en-US"/>
        </w:rPr>
        <w:t>/</w:t>
      </w:r>
      <w:r w:rsidR="0048250E" w:rsidRPr="00DA6DF5">
        <w:rPr>
          <w:i/>
          <w:spacing w:val="-3"/>
          <w:lang w:val="en-US"/>
        </w:rPr>
        <w:t>k</w:t>
      </w:r>
      <w:r w:rsidR="0048250E">
        <w:rPr>
          <w:spacing w:val="-3"/>
          <w:vertAlign w:val="subscript"/>
          <w:lang w:val="en-US"/>
        </w:rPr>
        <w:t xml:space="preserve"> </w:t>
      </w:r>
      <w:r w:rsidR="0048250E">
        <w:rPr>
          <w:spacing w:val="-3"/>
          <w:lang w:val="en-US"/>
        </w:rPr>
        <w:t>=</w:t>
      </w:r>
      <w:r w:rsidR="00DA6DF5">
        <w:rPr>
          <w:spacing w:val="-3"/>
          <w:lang w:val="en-US"/>
        </w:rPr>
        <w:t xml:space="preserve"> </w:t>
      </w:r>
      <w:r w:rsidR="0048250E">
        <w:rPr>
          <w:spacing w:val="-3"/>
          <w:lang w:val="en-US"/>
        </w:rPr>
        <w:t>(</w:t>
      </w:r>
      <w:r w:rsidR="00DA6DF5" w:rsidRPr="00DA6DF5">
        <w:rPr>
          <w:i/>
          <w:spacing w:val="-3"/>
          <w:lang w:val="en-US"/>
        </w:rPr>
        <w:t>k</w:t>
      </w:r>
      <w:r w:rsidR="0048250E">
        <w:rPr>
          <w:spacing w:val="-3"/>
          <w:vertAlign w:val="subscript"/>
          <w:lang w:val="en-US"/>
        </w:rPr>
        <w:t>1</w:t>
      </w:r>
      <w:r w:rsidR="00DA6DF5">
        <w:rPr>
          <w:spacing w:val="-3"/>
          <w:lang w:val="en-US"/>
        </w:rPr>
        <w:t>/</w:t>
      </w:r>
      <w:r w:rsidR="00DA6DF5" w:rsidRPr="00DA6DF5">
        <w:rPr>
          <w:i/>
          <w:spacing w:val="-3"/>
          <w:lang w:val="en-US"/>
        </w:rPr>
        <w:t>k</w:t>
      </w:r>
      <w:r w:rsidR="0048250E">
        <w:rPr>
          <w:spacing w:val="-3"/>
          <w:vertAlign w:val="subscript"/>
          <w:lang w:val="en-US"/>
        </w:rPr>
        <w:t>2</w:t>
      </w:r>
      <w:r w:rsidR="0048250E">
        <w:rPr>
          <w:spacing w:val="-3"/>
          <w:lang w:val="en-US"/>
        </w:rPr>
        <w:t xml:space="preserve"> +1)</w:t>
      </w:r>
      <w:r w:rsidR="0048250E" w:rsidRPr="0048250E">
        <w:rPr>
          <w:spacing w:val="-3"/>
          <w:vertAlign w:val="superscript"/>
          <w:lang w:val="en-US"/>
        </w:rPr>
        <w:t>-1</w:t>
      </w:r>
      <w:r w:rsidR="0048250E">
        <w:rPr>
          <w:spacing w:val="-3"/>
          <w:lang w:val="en-US"/>
        </w:rPr>
        <w:t>.</w:t>
      </w:r>
    </w:p>
    <w:p w:rsidR="00DA6DF5" w:rsidRDefault="00DA6DF5" w:rsidP="003C379A">
      <w:pPr>
        <w:tabs>
          <w:tab w:val="left" w:pos="0"/>
          <w:tab w:val="left" w:pos="444"/>
          <w:tab w:val="left" w:pos="720"/>
        </w:tabs>
        <w:spacing w:line="240" w:lineRule="atLeast"/>
        <w:ind w:left="360"/>
        <w:jc w:val="both"/>
        <w:rPr>
          <w:spacing w:val="-3"/>
          <w:lang w:val="en-US"/>
        </w:rPr>
      </w:pPr>
    </w:p>
    <w:p w:rsidR="00DC4A3E" w:rsidRDefault="00DC4A3E">
      <w:pPr>
        <w:pStyle w:val="Heading2"/>
      </w:pPr>
    </w:p>
    <w:p w:rsidR="001611CC" w:rsidRDefault="001611CC">
      <w:pPr>
        <w:pStyle w:val="Heading2"/>
      </w:pPr>
      <w:r>
        <w:t>Preferred Values</w:t>
      </w:r>
    </w:p>
    <w:p w:rsidR="001611CC" w:rsidRDefault="001611CC">
      <w:pPr>
        <w:pStyle w:val="Justified"/>
        <w:tabs>
          <w:tab w:val="left" w:pos="-1440"/>
          <w:tab w:val="left" w:pos="-720"/>
          <w:tab w:val="left" w:pos="444"/>
        </w:tabs>
        <w:spacing w:after="0" w:line="240" w:lineRule="auto"/>
        <w:rPr>
          <w:lang w:val="en-GB"/>
        </w:rPr>
      </w:pPr>
    </w:p>
    <w:p w:rsidR="001611CC" w:rsidRDefault="001611CC">
      <w:pPr>
        <w:pStyle w:val="Heading1"/>
        <w:rPr>
          <w:bCs/>
          <w:iCs w:val="0"/>
        </w:rPr>
      </w:pPr>
      <w:r>
        <w:rPr>
          <w:bCs/>
          <w:iCs w:val="0"/>
        </w:rPr>
        <w:t>Comments on Preferred Values</w:t>
      </w:r>
    </w:p>
    <w:p w:rsidR="00D1541E" w:rsidRPr="00D1541E" w:rsidRDefault="00D1541E" w:rsidP="00D1541E"/>
    <w:p w:rsidR="001611CC" w:rsidRDefault="001611CC">
      <w:pPr>
        <w:tabs>
          <w:tab w:val="left" w:pos="-1440"/>
          <w:tab w:val="left" w:pos="-720"/>
          <w:tab w:val="left" w:pos="444"/>
        </w:tabs>
        <w:ind w:left="346" w:right="567"/>
        <w:jc w:val="both"/>
      </w:pPr>
      <w:r>
        <w:t>With the exception of the measurement of Adachi and Basco</w:t>
      </w:r>
      <w:r>
        <w:rPr>
          <w:vertAlign w:val="superscript"/>
        </w:rPr>
        <w:t xml:space="preserve"> </w:t>
      </w:r>
      <w:r>
        <w:t>(1979), all measurements at room temperature are in reasonable agreement. The preferred value of the rate coefficient at room temperature is an average of the data from the direct studies of Plumb et al. (1982), Eberhard and Howard (1996), Ranschaert et al. (2000) and Bardwell et al. (2005). The temperature coefficients (</w:t>
      </w:r>
      <w:r>
        <w:rPr>
          <w:i/>
        </w:rPr>
        <w:t>E/R</w:t>
      </w:r>
      <w:r>
        <w:t xml:space="preserve">) </w:t>
      </w:r>
      <w:r w:rsidR="009777F9">
        <w:t>also show good agreement and t</w:t>
      </w:r>
      <w:r>
        <w:t xml:space="preserve">he preferred value was obtained from a weighted fit to the data of Eberhard and Howard (1996), Ranschaert et al. (2000) and Bardwell et al. (2005). The data of Maricq and Szente (1996) are consistent with these datasets, but significantly more scattered. </w:t>
      </w:r>
    </w:p>
    <w:p w:rsidR="00FE1E26" w:rsidRDefault="00FE1E26">
      <w:pPr>
        <w:tabs>
          <w:tab w:val="left" w:pos="-1440"/>
          <w:tab w:val="left" w:pos="-720"/>
          <w:tab w:val="left" w:pos="444"/>
        </w:tabs>
        <w:ind w:left="346" w:right="567"/>
        <w:jc w:val="both"/>
      </w:pPr>
    </w:p>
    <w:p w:rsidR="0048250E" w:rsidRDefault="00FE1E26" w:rsidP="009777F9">
      <w:pPr>
        <w:tabs>
          <w:tab w:val="left" w:pos="-1440"/>
          <w:tab w:val="left" w:pos="-720"/>
          <w:tab w:val="left" w:pos="444"/>
        </w:tabs>
        <w:ind w:left="346" w:right="567"/>
        <w:jc w:val="both"/>
        <w:rPr>
          <w:color w:val="000000"/>
        </w:rPr>
      </w:pPr>
      <w:r>
        <w:t xml:space="preserve">The observation of a temperature independent, </w:t>
      </w:r>
      <w:r w:rsidR="009777F9">
        <w:t>(</w:t>
      </w:r>
      <w:r>
        <w:t xml:space="preserve">100 </w:t>
      </w:r>
      <w:r w:rsidR="009777F9">
        <w:sym w:font="Symbol" w:char="F0B1"/>
      </w:r>
      <w:r w:rsidR="009777F9">
        <w:t xml:space="preserve"> 5)</w:t>
      </w:r>
      <w:r>
        <w:t>% yield of NO</w:t>
      </w:r>
      <w:r>
        <w:rPr>
          <w:vertAlign w:val="subscript"/>
        </w:rPr>
        <w:t>2</w:t>
      </w:r>
      <w:r>
        <w:t xml:space="preserve"> confirms that the reaction proceeds predominantly via formation of an alkoxy radical + NO</w:t>
      </w:r>
      <w:r>
        <w:rPr>
          <w:vertAlign w:val="subscript"/>
        </w:rPr>
        <w:t>2</w:t>
      </w:r>
      <w:r>
        <w:t xml:space="preserve"> under atmospheric conditions</w:t>
      </w:r>
      <w:r w:rsidR="009777F9">
        <w:t xml:space="preserve"> (Bardwell et al., 2005), with low yields of C</w:t>
      </w:r>
      <w:r w:rsidR="009777F9">
        <w:rPr>
          <w:vertAlign w:val="subscript"/>
        </w:rPr>
        <w:t>2</w:t>
      </w:r>
      <w:r w:rsidR="009777F9">
        <w:t>H</w:t>
      </w:r>
      <w:r w:rsidR="009777F9">
        <w:rPr>
          <w:vertAlign w:val="subscript"/>
        </w:rPr>
        <w:t>5</w:t>
      </w:r>
      <w:r w:rsidR="009777F9">
        <w:t>ONO</w:t>
      </w:r>
      <w:r w:rsidR="009777F9">
        <w:rPr>
          <w:vertAlign w:val="subscript"/>
        </w:rPr>
        <w:t>2</w:t>
      </w:r>
      <w:r w:rsidR="009777F9">
        <w:t xml:space="preserve"> at room temperature (Atkinson et al., 1982). </w:t>
      </w:r>
      <w:r w:rsidR="00323F2C">
        <w:t xml:space="preserve"> </w:t>
      </w:r>
      <w:r>
        <w:t xml:space="preserve">However, the </w:t>
      </w:r>
      <w:r w:rsidR="009777F9">
        <w:t>work of Ranschaert</w:t>
      </w:r>
      <w:r>
        <w:t xml:space="preserve"> et al. (2000) and Butkovskaya et al, (2010) indicate that the yield of C</w:t>
      </w:r>
      <w:r>
        <w:rPr>
          <w:vertAlign w:val="subscript"/>
        </w:rPr>
        <w:t>2</w:t>
      </w:r>
      <w:r>
        <w:t>H</w:t>
      </w:r>
      <w:r>
        <w:rPr>
          <w:vertAlign w:val="subscript"/>
        </w:rPr>
        <w:t>5</w:t>
      </w:r>
      <w:r>
        <w:t>ONO</w:t>
      </w:r>
      <w:r>
        <w:rPr>
          <w:vertAlign w:val="subscript"/>
        </w:rPr>
        <w:t>2</w:t>
      </w:r>
      <w:r>
        <w:t xml:space="preserve"> increases with increasing pressure and decreasing temperature</w:t>
      </w:r>
      <w:r w:rsidRPr="00E33E36">
        <w:rPr>
          <w:color w:val="000000"/>
        </w:rPr>
        <w:t xml:space="preserve">. </w:t>
      </w:r>
      <w:r w:rsidR="009777F9" w:rsidRPr="00E33E36">
        <w:rPr>
          <w:color w:val="000000"/>
        </w:rPr>
        <w:t xml:space="preserve">The </w:t>
      </w:r>
      <w:r w:rsidR="003C379A" w:rsidRPr="00E33E36">
        <w:rPr>
          <w:color w:val="000000"/>
        </w:rPr>
        <w:t xml:space="preserve">extensive </w:t>
      </w:r>
      <w:r w:rsidR="009777F9" w:rsidRPr="00E33E36">
        <w:rPr>
          <w:color w:val="000000"/>
        </w:rPr>
        <w:t>experiments of Butkovskaya et al. (2010)</w:t>
      </w:r>
      <w:r w:rsidR="00323F2C" w:rsidRPr="00E33E36">
        <w:rPr>
          <w:color w:val="000000"/>
        </w:rPr>
        <w:t>,</w:t>
      </w:r>
      <w:r w:rsidR="009777F9" w:rsidRPr="00E33E36">
        <w:rPr>
          <w:color w:val="000000"/>
        </w:rPr>
        <w:t xml:space="preserve"> cover</w:t>
      </w:r>
      <w:r w:rsidR="00323F2C" w:rsidRPr="00E33E36">
        <w:rPr>
          <w:color w:val="000000"/>
        </w:rPr>
        <w:t>ing</w:t>
      </w:r>
      <w:r w:rsidR="009777F9" w:rsidRPr="00E33E36">
        <w:rPr>
          <w:color w:val="000000"/>
        </w:rPr>
        <w:t xml:space="preserve"> temperatures between 222 and 323 K and pressures between 100 and 600 Torr</w:t>
      </w:r>
      <w:r w:rsidR="00323F2C" w:rsidRPr="00E33E36">
        <w:rPr>
          <w:color w:val="000000"/>
        </w:rPr>
        <w:t>,</w:t>
      </w:r>
      <w:r w:rsidR="009777F9" w:rsidRPr="00E33E36">
        <w:rPr>
          <w:color w:val="000000"/>
        </w:rPr>
        <w:t xml:space="preserve"> </w:t>
      </w:r>
      <w:r w:rsidR="00323F2C" w:rsidRPr="00E33E36">
        <w:rPr>
          <w:color w:val="000000"/>
        </w:rPr>
        <w:t>enabled the authors to derive a pres</w:t>
      </w:r>
      <w:r w:rsidR="009777F9" w:rsidRPr="00E33E36">
        <w:rPr>
          <w:color w:val="000000"/>
        </w:rPr>
        <w:t xml:space="preserve">sure and temperature </w:t>
      </w:r>
      <w:r w:rsidR="00323F2C" w:rsidRPr="00E33E36">
        <w:rPr>
          <w:color w:val="000000"/>
        </w:rPr>
        <w:t xml:space="preserve">dependent </w:t>
      </w:r>
      <w:r w:rsidR="009777F9" w:rsidRPr="00E33E36">
        <w:rPr>
          <w:color w:val="000000"/>
        </w:rPr>
        <w:t>exp</w:t>
      </w:r>
      <w:r w:rsidR="003C379A" w:rsidRPr="00E33E36">
        <w:rPr>
          <w:color w:val="000000"/>
        </w:rPr>
        <w:t>re</w:t>
      </w:r>
      <w:r w:rsidR="009777F9" w:rsidRPr="00E33E36">
        <w:rPr>
          <w:color w:val="000000"/>
        </w:rPr>
        <w:t xml:space="preserve">ssion for </w:t>
      </w:r>
      <w:r w:rsidR="009777F9" w:rsidRPr="00E33E36">
        <w:rPr>
          <w:i/>
          <w:color w:val="000000"/>
        </w:rPr>
        <w:t>k</w:t>
      </w:r>
      <w:r w:rsidR="009777F9" w:rsidRPr="00E33E36">
        <w:rPr>
          <w:color w:val="000000"/>
          <w:vertAlign w:val="subscript"/>
        </w:rPr>
        <w:t>2</w:t>
      </w:r>
      <w:r w:rsidR="009777F9" w:rsidRPr="00E33E36">
        <w:rPr>
          <w:color w:val="000000"/>
        </w:rPr>
        <w:t>/</w:t>
      </w:r>
      <w:r w:rsidR="009777F9" w:rsidRPr="00E33E36">
        <w:rPr>
          <w:i/>
          <w:color w:val="000000"/>
        </w:rPr>
        <w:t>k</w:t>
      </w:r>
      <w:r w:rsidR="0048250E" w:rsidRPr="00E33E36">
        <w:rPr>
          <w:color w:val="000000"/>
          <w:vertAlign w:val="subscript"/>
        </w:rPr>
        <w:t>1</w:t>
      </w:r>
      <w:r w:rsidR="009777F9" w:rsidRPr="00E33E36">
        <w:rPr>
          <w:color w:val="000000"/>
        </w:rPr>
        <w:t xml:space="preserve">, which </w:t>
      </w:r>
      <w:r w:rsidR="00323F2C" w:rsidRPr="00E33E36">
        <w:rPr>
          <w:color w:val="000000"/>
        </w:rPr>
        <w:t xml:space="preserve">reproduces their own data and </w:t>
      </w:r>
      <w:r w:rsidR="009777F9" w:rsidRPr="00E33E36">
        <w:rPr>
          <w:color w:val="000000"/>
        </w:rPr>
        <w:t xml:space="preserve">is roughly consistent with the </w:t>
      </w:r>
      <w:r w:rsidR="003C379A" w:rsidRPr="00E33E36">
        <w:rPr>
          <w:color w:val="000000"/>
        </w:rPr>
        <w:t xml:space="preserve">observations of </w:t>
      </w:r>
      <w:r w:rsidR="009777F9" w:rsidRPr="00E33E36">
        <w:rPr>
          <w:color w:val="000000"/>
        </w:rPr>
        <w:t>R</w:t>
      </w:r>
      <w:r w:rsidR="003C379A" w:rsidRPr="00E33E36">
        <w:rPr>
          <w:color w:val="000000"/>
        </w:rPr>
        <w:t>aenschaert et al (2000)</w:t>
      </w:r>
      <w:r w:rsidR="00323F2C" w:rsidRPr="00E33E36">
        <w:rPr>
          <w:color w:val="000000"/>
        </w:rPr>
        <w:t xml:space="preserve">. </w:t>
      </w:r>
      <w:r w:rsidR="0048250E" w:rsidRPr="00E33E36">
        <w:rPr>
          <w:color w:val="000000"/>
        </w:rPr>
        <w:t xml:space="preserve">The data of </w:t>
      </w:r>
      <w:r w:rsidR="0048250E" w:rsidRPr="0048250E">
        <w:rPr>
          <w:color w:val="000000"/>
        </w:rPr>
        <w:t>Butkovykaya et al (2010)</w:t>
      </w:r>
      <w:r w:rsidR="0048250E">
        <w:rPr>
          <w:color w:val="000000"/>
        </w:rPr>
        <w:t xml:space="preserve"> are </w:t>
      </w:r>
      <w:r w:rsidR="00D50099">
        <w:rPr>
          <w:color w:val="000000"/>
        </w:rPr>
        <w:t xml:space="preserve">reasonably </w:t>
      </w:r>
      <w:r w:rsidR="0048250E">
        <w:rPr>
          <w:color w:val="000000"/>
        </w:rPr>
        <w:t xml:space="preserve">consistent with predictions of temperature </w:t>
      </w:r>
      <w:r w:rsidR="00411EDE">
        <w:rPr>
          <w:color w:val="000000"/>
        </w:rPr>
        <w:t xml:space="preserve">dependent </w:t>
      </w:r>
      <w:r w:rsidR="0048250E">
        <w:rPr>
          <w:color w:val="000000"/>
        </w:rPr>
        <w:t>nitrate formation in C</w:t>
      </w:r>
      <w:r w:rsidR="0048250E" w:rsidRPr="0048250E">
        <w:rPr>
          <w:color w:val="000000"/>
          <w:vertAlign w:val="subscript"/>
        </w:rPr>
        <w:t>2</w:t>
      </w:r>
      <w:r w:rsidR="0048250E">
        <w:rPr>
          <w:color w:val="000000"/>
        </w:rPr>
        <w:t>H</w:t>
      </w:r>
      <w:r w:rsidR="0048250E" w:rsidRPr="0048250E">
        <w:rPr>
          <w:color w:val="000000"/>
          <w:vertAlign w:val="subscript"/>
        </w:rPr>
        <w:t>5</w:t>
      </w:r>
      <w:r w:rsidR="0048250E">
        <w:rPr>
          <w:color w:val="000000"/>
        </w:rPr>
        <w:t>O</w:t>
      </w:r>
      <w:r w:rsidR="0048250E" w:rsidRPr="0048250E">
        <w:rPr>
          <w:color w:val="000000"/>
          <w:vertAlign w:val="subscript"/>
        </w:rPr>
        <w:t>2</w:t>
      </w:r>
      <w:r w:rsidR="0048250E">
        <w:rPr>
          <w:color w:val="000000"/>
        </w:rPr>
        <w:t xml:space="preserve"> + NO extrapolated from larger RO</w:t>
      </w:r>
      <w:r w:rsidR="0048250E" w:rsidRPr="0048250E">
        <w:rPr>
          <w:color w:val="000000"/>
          <w:vertAlign w:val="subscript"/>
        </w:rPr>
        <w:t>2</w:t>
      </w:r>
      <w:r w:rsidR="00D50099">
        <w:rPr>
          <w:color w:val="000000"/>
        </w:rPr>
        <w:t xml:space="preserve"> (Carter and Atkinson, 1985) but not with latter recommendations from the same group (Carter and Atkinson, 1989, </w:t>
      </w:r>
      <w:r w:rsidR="00D847A2">
        <w:rPr>
          <w:color w:val="000000"/>
        </w:rPr>
        <w:t>Arey et al., 2001)</w:t>
      </w:r>
      <w:r w:rsidR="00411EDE">
        <w:rPr>
          <w:color w:val="000000"/>
        </w:rPr>
        <w:t>.</w:t>
      </w:r>
    </w:p>
    <w:p w:rsidR="00D1541E" w:rsidRPr="00E33E36" w:rsidRDefault="00D1541E" w:rsidP="009777F9">
      <w:pPr>
        <w:tabs>
          <w:tab w:val="left" w:pos="-1440"/>
          <w:tab w:val="left" w:pos="-720"/>
          <w:tab w:val="left" w:pos="444"/>
        </w:tabs>
        <w:ind w:left="346" w:right="567"/>
        <w:jc w:val="both"/>
        <w:rPr>
          <w:color w:val="000000"/>
        </w:rPr>
      </w:pPr>
    </w:p>
    <w:p w:rsidR="009777F9" w:rsidRDefault="00323F2C" w:rsidP="009777F9">
      <w:pPr>
        <w:tabs>
          <w:tab w:val="left" w:pos="-1440"/>
          <w:tab w:val="left" w:pos="-720"/>
          <w:tab w:val="left" w:pos="444"/>
        </w:tabs>
        <w:ind w:left="346" w:right="567"/>
        <w:jc w:val="both"/>
      </w:pPr>
      <w:r w:rsidRPr="00E33E36">
        <w:rPr>
          <w:color w:val="000000"/>
        </w:rPr>
        <w:t xml:space="preserve">We have </w:t>
      </w:r>
      <w:r w:rsidR="003C379A" w:rsidRPr="00E33E36">
        <w:rPr>
          <w:color w:val="000000"/>
        </w:rPr>
        <w:t>adopt</w:t>
      </w:r>
      <w:r w:rsidRPr="00E33E36">
        <w:rPr>
          <w:color w:val="000000"/>
        </w:rPr>
        <w:t>ed the parameterisation of Butkovykaya et al (2010) as our preferred branching ratio for ethyl-nitrate formation</w:t>
      </w:r>
      <w:r w:rsidR="0048250E" w:rsidRPr="00E33E36">
        <w:rPr>
          <w:color w:val="000000"/>
        </w:rPr>
        <w:t>, but have expanded the uncertainty to account for the difference between their results at one bar and room temperature compared to Atkinson et al. (1982).</w:t>
      </w:r>
    </w:p>
    <w:p w:rsidR="00FE1E26" w:rsidRDefault="00FE1E26">
      <w:pPr>
        <w:tabs>
          <w:tab w:val="left" w:pos="-1440"/>
          <w:tab w:val="left" w:pos="-720"/>
          <w:tab w:val="left" w:pos="444"/>
        </w:tabs>
        <w:ind w:left="346" w:right="567"/>
        <w:jc w:val="both"/>
      </w:pPr>
    </w:p>
    <w:p w:rsidR="001611CC" w:rsidRDefault="001611CC">
      <w:pPr>
        <w:pStyle w:val="Heading3"/>
      </w:pPr>
      <w:r>
        <w:t>References</w:t>
      </w:r>
    </w:p>
    <w:p w:rsidR="001611CC" w:rsidRDefault="001611CC">
      <w:pPr>
        <w:tabs>
          <w:tab w:val="center" w:pos="4680"/>
        </w:tabs>
        <w:jc w:val="both"/>
        <w:rPr>
          <w:b/>
        </w:rPr>
      </w:pPr>
    </w:p>
    <w:p w:rsidR="001611CC" w:rsidRDefault="001611CC" w:rsidP="00DC4A3E">
      <w:pPr>
        <w:tabs>
          <w:tab w:val="left" w:pos="-1440"/>
          <w:tab w:val="left" w:pos="-720"/>
        </w:tabs>
        <w:ind w:left="332" w:right="567" w:hanging="170"/>
        <w:jc w:val="both"/>
      </w:pPr>
      <w:r>
        <w:t>Adachi, H. and Basco, N.: Chem. Phys. Lett. 64, 431, 1979.</w:t>
      </w:r>
    </w:p>
    <w:p w:rsidR="001611CC" w:rsidRDefault="001611CC" w:rsidP="00DC4A3E">
      <w:pPr>
        <w:tabs>
          <w:tab w:val="left" w:pos="-1440"/>
          <w:tab w:val="left" w:pos="-720"/>
        </w:tabs>
        <w:ind w:left="332" w:right="567" w:hanging="170"/>
        <w:jc w:val="both"/>
      </w:pPr>
      <w:r>
        <w:t>Atkinson, R., Aschmann, S. M., Carter, W. P. L., Winer, A. M. and Pitts, Jr., J. N.: J. Phys. Chem. 86, 4563, 1982.</w:t>
      </w:r>
    </w:p>
    <w:p w:rsidR="009124DB" w:rsidRPr="009124DB" w:rsidRDefault="009124DB" w:rsidP="00DC4A3E">
      <w:pPr>
        <w:tabs>
          <w:tab w:val="left" w:pos="-1440"/>
          <w:tab w:val="left" w:pos="-720"/>
        </w:tabs>
        <w:ind w:left="332" w:right="567" w:hanging="170"/>
        <w:jc w:val="both"/>
      </w:pPr>
      <w:r w:rsidRPr="009124DB">
        <w:rPr>
          <w:szCs w:val="24"/>
          <w:lang w:eastAsia="en-GB"/>
        </w:rPr>
        <w:t>Arey, J., Aschmann, S. M., Kwok, E. S. C., and Atkinson, R., J</w:t>
      </w:r>
      <w:r>
        <w:rPr>
          <w:szCs w:val="24"/>
          <w:lang w:eastAsia="en-GB"/>
        </w:rPr>
        <w:t xml:space="preserve">. </w:t>
      </w:r>
      <w:r w:rsidRPr="009124DB">
        <w:rPr>
          <w:szCs w:val="24"/>
          <w:lang w:eastAsia="en-GB"/>
        </w:rPr>
        <w:t>Phys</w:t>
      </w:r>
      <w:r>
        <w:rPr>
          <w:szCs w:val="24"/>
          <w:lang w:eastAsia="en-GB"/>
        </w:rPr>
        <w:t xml:space="preserve">. Chem </w:t>
      </w:r>
      <w:r w:rsidRPr="009124DB">
        <w:rPr>
          <w:szCs w:val="24"/>
          <w:lang w:eastAsia="en-GB"/>
        </w:rPr>
        <w:t>A, 105, 1020-1027,  2001.</w:t>
      </w:r>
    </w:p>
    <w:p w:rsidR="001611CC" w:rsidRDefault="001611CC" w:rsidP="00DC4A3E">
      <w:pPr>
        <w:pStyle w:val="Justified"/>
        <w:tabs>
          <w:tab w:val="left" w:pos="-1440"/>
          <w:tab w:val="left" w:pos="-720"/>
        </w:tabs>
        <w:spacing w:after="0" w:line="240" w:lineRule="auto"/>
        <w:ind w:left="332" w:right="567" w:hanging="170"/>
        <w:rPr>
          <w:lang w:val="fr-FR"/>
        </w:rPr>
      </w:pPr>
      <w:r>
        <w:rPr>
          <w:lang w:val="en-GB"/>
        </w:rPr>
        <w:t xml:space="preserve">Bardwell, M. W., Bacak, A., Raventós, M. T., Percival, C. J., Sanchez-Reyna, G. and Shallcross, D. E.: Int. J. Chem. </w:t>
      </w:r>
      <w:r>
        <w:rPr>
          <w:lang w:val="fr-FR"/>
        </w:rPr>
        <w:t>Kinet. 37, 253, 2005.</w:t>
      </w:r>
    </w:p>
    <w:p w:rsidR="00DC4A3E" w:rsidRDefault="00DC4A3E" w:rsidP="00DC4A3E">
      <w:pPr>
        <w:pStyle w:val="Justified"/>
        <w:tabs>
          <w:tab w:val="left" w:pos="-1440"/>
          <w:tab w:val="left" w:pos="-720"/>
        </w:tabs>
        <w:spacing w:after="0" w:line="240" w:lineRule="auto"/>
        <w:ind w:left="332" w:right="567" w:hanging="170"/>
        <w:rPr>
          <w:lang w:val="fr-FR"/>
        </w:rPr>
      </w:pPr>
      <w:r w:rsidRPr="00DC4A3E">
        <w:rPr>
          <w:lang w:val="fr-FR"/>
        </w:rPr>
        <w:t>Butkovskaya, N., Kukui, A., and Le Bras, G., J. Phys. Chem. A, 114, 956-964,  2010.</w:t>
      </w:r>
    </w:p>
    <w:p w:rsidR="0048250E" w:rsidRDefault="0048250E" w:rsidP="00DC4A3E">
      <w:pPr>
        <w:pStyle w:val="Justified"/>
        <w:tabs>
          <w:tab w:val="left" w:pos="-1440"/>
          <w:tab w:val="left" w:pos="-720"/>
        </w:tabs>
        <w:spacing w:after="0" w:line="240" w:lineRule="auto"/>
        <w:ind w:left="332" w:right="567" w:hanging="170"/>
        <w:rPr>
          <w:lang w:val="fr-FR"/>
        </w:rPr>
      </w:pPr>
      <w:r>
        <w:rPr>
          <w:lang w:val="fr-FR"/>
        </w:rPr>
        <w:t xml:space="preserve">Carter, W. P. L and Atkinson, </w:t>
      </w:r>
      <w:r w:rsidR="009124DB">
        <w:rPr>
          <w:lang w:val="fr-FR"/>
        </w:rPr>
        <w:t>R., J. Atmos. Chem. 3, 377, 1985</w:t>
      </w:r>
      <w:r>
        <w:rPr>
          <w:lang w:val="fr-FR"/>
        </w:rPr>
        <w:t>.</w:t>
      </w:r>
    </w:p>
    <w:p w:rsidR="009124DB" w:rsidRDefault="009124DB" w:rsidP="009124DB">
      <w:pPr>
        <w:pStyle w:val="Justified"/>
        <w:tabs>
          <w:tab w:val="left" w:pos="-1440"/>
          <w:tab w:val="left" w:pos="-720"/>
        </w:tabs>
        <w:spacing w:after="0" w:line="240" w:lineRule="auto"/>
        <w:ind w:left="332" w:right="567" w:hanging="170"/>
        <w:rPr>
          <w:lang w:val="fr-FR"/>
        </w:rPr>
      </w:pPr>
      <w:r>
        <w:rPr>
          <w:lang w:val="fr-FR"/>
        </w:rPr>
        <w:t>Carter, W. P. L and Atkinson, R., J. Atmos. Chem. 8, 165, 1989.</w:t>
      </w:r>
    </w:p>
    <w:p w:rsidR="001611CC" w:rsidRDefault="001611CC" w:rsidP="00DC4A3E">
      <w:pPr>
        <w:tabs>
          <w:tab w:val="left" w:pos="-1440"/>
          <w:tab w:val="left" w:pos="-720"/>
        </w:tabs>
        <w:ind w:left="332" w:right="567" w:hanging="170"/>
        <w:jc w:val="both"/>
      </w:pPr>
      <w:r>
        <w:rPr>
          <w:lang w:val="fr-FR"/>
        </w:rPr>
        <w:t xml:space="preserve">Däele, V., Ray, A., Vassalli, I., Poulet, G. and Le Bras, G. Int. J. Chem. </w:t>
      </w:r>
      <w:r w:rsidRPr="002B5AD1">
        <w:t>Kinet. 27, 1121, 1995.</w:t>
      </w:r>
    </w:p>
    <w:p w:rsidR="001611CC" w:rsidRDefault="001611CC" w:rsidP="00DC4A3E">
      <w:pPr>
        <w:pStyle w:val="Justified"/>
        <w:tabs>
          <w:tab w:val="left" w:pos="-1440"/>
          <w:tab w:val="left" w:pos="-720"/>
        </w:tabs>
        <w:spacing w:after="0" w:line="240" w:lineRule="auto"/>
        <w:ind w:left="332" w:right="567" w:hanging="170"/>
      </w:pPr>
      <w:r>
        <w:rPr>
          <w:lang w:val="en-GB"/>
        </w:rPr>
        <w:lastRenderedPageBreak/>
        <w:t>Eberhard, J. and Howard, C. J.: Int. J. Chem. Kinet. 28, 731, 1996.</w:t>
      </w:r>
    </w:p>
    <w:p w:rsidR="001611CC" w:rsidRDefault="001611CC" w:rsidP="00DC4A3E">
      <w:pPr>
        <w:tabs>
          <w:tab w:val="left" w:pos="-1440"/>
          <w:tab w:val="left" w:pos="-720"/>
        </w:tabs>
        <w:ind w:left="332" w:right="567" w:hanging="170"/>
        <w:jc w:val="both"/>
      </w:pPr>
      <w:r>
        <w:t>Maricq, M. M. and Szente, J. J.: J. Phys. Chem. 100, 12374, 1996.</w:t>
      </w:r>
    </w:p>
    <w:p w:rsidR="001611CC" w:rsidRDefault="001611CC" w:rsidP="00DC4A3E">
      <w:pPr>
        <w:tabs>
          <w:tab w:val="left" w:pos="-1440"/>
          <w:tab w:val="left" w:pos="-720"/>
        </w:tabs>
        <w:ind w:left="332" w:right="567" w:hanging="170"/>
        <w:jc w:val="both"/>
        <w:rPr>
          <w:lang w:val="de-DE"/>
        </w:rPr>
      </w:pPr>
      <w:r>
        <w:t xml:space="preserve">Plumb, I. C., Ryan, K. R., Steven, J. R. and Mulcahy, M. F. R.: Int. J. Chem. </w:t>
      </w:r>
      <w:r>
        <w:rPr>
          <w:lang w:val="de-DE"/>
        </w:rPr>
        <w:t>Kinet. 14, 183, 1982.</w:t>
      </w:r>
    </w:p>
    <w:p w:rsidR="001611CC" w:rsidRDefault="001611CC" w:rsidP="00DC4A3E">
      <w:pPr>
        <w:tabs>
          <w:tab w:val="left" w:pos="-1440"/>
          <w:tab w:val="left" w:pos="-720"/>
        </w:tabs>
        <w:ind w:left="332" w:right="567" w:hanging="170"/>
        <w:jc w:val="both"/>
      </w:pPr>
      <w:r>
        <w:rPr>
          <w:lang w:val="de-DE"/>
        </w:rPr>
        <w:t xml:space="preserve">Ranschaert, D. L.,  Schneider, N. J. and Elrod, M. J.:  J. Phys. </w:t>
      </w:r>
      <w:r>
        <w:t>Chem. A 104, 5758, 2000.</w:t>
      </w:r>
    </w:p>
    <w:p w:rsidR="001611CC" w:rsidRDefault="001611CC" w:rsidP="00DC4A3E">
      <w:pPr>
        <w:tabs>
          <w:tab w:val="left" w:pos="-1440"/>
          <w:tab w:val="left" w:pos="-720"/>
        </w:tabs>
        <w:ind w:left="332" w:right="567" w:hanging="170"/>
        <w:jc w:val="both"/>
      </w:pPr>
      <w:r>
        <w:t>Sehested, J., Nielsen, O. J. and Wallington, T. J.:  Chem. Phys. Lett. 213, 457, 1993.</w:t>
      </w:r>
    </w:p>
    <w:p w:rsidR="001611CC" w:rsidRDefault="001611CC" w:rsidP="00DC4A3E">
      <w:pPr>
        <w:tabs>
          <w:tab w:val="left" w:pos="-1440"/>
          <w:tab w:val="left" w:pos="-720"/>
        </w:tabs>
        <w:ind w:left="332" w:right="567" w:hanging="170"/>
        <w:jc w:val="both"/>
      </w:pPr>
      <w:r>
        <w:t>Xing, J.-H., Nagai, Y., Kusuhara, M and Miyoshi, A.: J. Phys. Chem. A 108, 10458, 2004.</w:t>
      </w:r>
    </w:p>
    <w:p w:rsidR="00D1541E" w:rsidRDefault="00D1541E" w:rsidP="00DC4A3E">
      <w:pPr>
        <w:tabs>
          <w:tab w:val="left" w:pos="-1440"/>
          <w:tab w:val="left" w:pos="-720"/>
        </w:tabs>
        <w:ind w:left="332" w:right="567" w:hanging="170"/>
        <w:jc w:val="both"/>
      </w:pPr>
    </w:p>
    <w:p w:rsidR="00D1541E" w:rsidRDefault="00D1541E" w:rsidP="00DC4A3E">
      <w:pPr>
        <w:tabs>
          <w:tab w:val="left" w:pos="-1440"/>
          <w:tab w:val="left" w:pos="-720"/>
        </w:tabs>
        <w:ind w:left="332" w:right="567" w:hanging="170"/>
        <w:jc w:val="both"/>
      </w:pPr>
    </w:p>
    <w:p w:rsidR="00D1541E" w:rsidRDefault="00D1541E" w:rsidP="00DC4A3E">
      <w:pPr>
        <w:tabs>
          <w:tab w:val="left" w:pos="-1440"/>
          <w:tab w:val="left" w:pos="-720"/>
        </w:tabs>
        <w:ind w:left="332" w:right="567" w:hanging="170"/>
        <w:jc w:val="both"/>
      </w:pPr>
    </w:p>
    <w:p w:rsidR="00D1541E" w:rsidRDefault="00D1541E" w:rsidP="00DC4A3E">
      <w:pPr>
        <w:tabs>
          <w:tab w:val="left" w:pos="-1440"/>
          <w:tab w:val="left" w:pos="-720"/>
        </w:tabs>
        <w:ind w:left="332" w:right="567" w:hanging="170"/>
        <w:jc w:val="both"/>
      </w:pPr>
    </w:p>
    <w:p w:rsidR="00323F2C" w:rsidRDefault="00834CFD" w:rsidP="00DC4A3E">
      <w:pPr>
        <w:tabs>
          <w:tab w:val="left" w:pos="-1440"/>
          <w:tab w:val="left" w:pos="-720"/>
          <w:tab w:val="left" w:pos="288"/>
        </w:tabs>
        <w:ind w:hanging="170"/>
        <w:jc w:val="both"/>
      </w:pP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365125</wp:posOffset>
                </wp:positionH>
                <wp:positionV relativeFrom="paragraph">
                  <wp:posOffset>17780</wp:posOffset>
                </wp:positionV>
                <wp:extent cx="5456555" cy="4568190"/>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456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3F2C" w:rsidRDefault="00834CFD" w:rsidP="00323F2C">
                            <w:pPr>
                              <w:rPr>
                                <w:lang w:val="de-DE"/>
                              </w:rPr>
                            </w:pPr>
                            <w:r>
                              <w:rPr>
                                <w:noProof/>
                                <w:lang w:eastAsia="en-GB"/>
                              </w:rPr>
                              <w:drawing>
                                <wp:inline distT="0" distB="0" distL="0" distR="0">
                                  <wp:extent cx="4015740" cy="4140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4140200"/>
                                          </a:xfrm>
                                          <a:prstGeom prst="rect">
                                            <a:avLst/>
                                          </a:prstGeom>
                                          <a:solidFill>
                                            <a:srgbClr val="FFFFFF"/>
                                          </a:solidFill>
                                          <a:ln>
                                            <a:noFill/>
                                          </a:ln>
                                        </pic:spPr>
                                      </pic:pic>
                                    </a:graphicData>
                                  </a:graphic>
                                </wp:inline>
                              </w:drawing>
                            </w:r>
                          </w:p>
                          <w:p w:rsidR="00323F2C" w:rsidRDefault="00323F2C" w:rsidP="00323F2C">
                            <w:pPr>
                              <w:rPr>
                                <w:lang w:val="de-DE"/>
                              </w:rPr>
                            </w:pPr>
                          </w:p>
                          <w:p w:rsidR="00323F2C" w:rsidRPr="00323F2C" w:rsidRDefault="00323F2C" w:rsidP="00323F2C">
                            <w:r w:rsidRPr="00323F2C">
                              <w:t xml:space="preserve">Rate coefficients </w:t>
                            </w:r>
                            <w:r>
                              <w:t>(</w:t>
                            </w:r>
                            <w:r w:rsidRPr="00323F2C">
                              <w:rPr>
                                <w:i/>
                              </w:rPr>
                              <w:t>k</w:t>
                            </w:r>
                            <w:r>
                              <w:t xml:space="preserve">) </w:t>
                            </w:r>
                            <w:r w:rsidRPr="00323F2C">
                              <w:t xml:space="preserve">for </w:t>
                            </w:r>
                            <w:r>
                              <w:t>C</w:t>
                            </w:r>
                            <w:r>
                              <w:rPr>
                                <w:vertAlign w:val="subscript"/>
                              </w:rPr>
                              <w:t>2</w:t>
                            </w:r>
                            <w:r>
                              <w:t>H</w:t>
                            </w:r>
                            <w:r>
                              <w:rPr>
                                <w:vertAlign w:val="subscript"/>
                              </w:rPr>
                              <w:t>5</w:t>
                            </w:r>
                            <w:r>
                              <w:t>O</w:t>
                            </w:r>
                            <w:r>
                              <w:rPr>
                                <w:vertAlign w:val="subscript"/>
                              </w:rPr>
                              <w:t xml:space="preserve">2 </w:t>
                            </w:r>
                            <w:r>
                              <w:t xml:space="preserve"> + NO. The solid line is the IUPAC preferred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75pt;margin-top:1.4pt;width:429.65pt;height:359.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" stroked="f">
                <v:textbox inset="0,0,0,0">
                  <w:txbxContent>
                    <w:p w:rsidR="00323F2C" w:rsidRDefault="00834CFD" w:rsidP="00323F2C">
                      <w:pPr>
                        <w:rPr>
                          <w:lang w:val="de-DE"/>
                        </w:rPr>
                      </w:pPr>
                      <w:r>
                        <w:rPr>
                          <w:noProof/>
                          <w:lang w:eastAsia="en-GB"/>
                        </w:rPr>
                        <w:drawing>
                          <wp:inline distT="0" distB="0" distL="0" distR="0">
                            <wp:extent cx="4015740" cy="4140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4140200"/>
                                    </a:xfrm>
                                    <a:prstGeom prst="rect">
                                      <a:avLst/>
                                    </a:prstGeom>
                                    <a:solidFill>
                                      <a:srgbClr val="FFFFFF"/>
                                    </a:solidFill>
                                    <a:ln>
                                      <a:noFill/>
                                    </a:ln>
                                  </pic:spPr>
                                </pic:pic>
                              </a:graphicData>
                            </a:graphic>
                          </wp:inline>
                        </w:drawing>
                      </w:r>
                    </w:p>
                    <w:p w:rsidR="00323F2C" w:rsidRDefault="00323F2C" w:rsidP="00323F2C">
                      <w:pPr>
                        <w:rPr>
                          <w:lang w:val="de-DE"/>
                        </w:rPr>
                      </w:pPr>
                    </w:p>
                    <w:p w:rsidR="00323F2C" w:rsidRPr="00323F2C" w:rsidRDefault="00323F2C" w:rsidP="00323F2C">
                      <w:r w:rsidRPr="00323F2C">
                        <w:t xml:space="preserve">Rate coefficients </w:t>
                      </w:r>
                      <w:r>
                        <w:t>(</w:t>
                      </w:r>
                      <w:r w:rsidRPr="00323F2C">
                        <w:rPr>
                          <w:i/>
                        </w:rPr>
                        <w:t>k</w:t>
                      </w:r>
                      <w:r>
                        <w:t xml:space="preserve">) </w:t>
                      </w:r>
                      <w:r w:rsidRPr="00323F2C">
                        <w:t xml:space="preserve">for </w:t>
                      </w:r>
                      <w:r>
                        <w:t>C</w:t>
                      </w:r>
                      <w:r>
                        <w:rPr>
                          <w:vertAlign w:val="subscript"/>
                        </w:rPr>
                        <w:t>2</w:t>
                      </w:r>
                      <w:r>
                        <w:t>H</w:t>
                      </w:r>
                      <w:r>
                        <w:rPr>
                          <w:vertAlign w:val="subscript"/>
                        </w:rPr>
                        <w:t>5</w:t>
                      </w:r>
                      <w:r>
                        <w:t>O</w:t>
                      </w:r>
                      <w:r>
                        <w:rPr>
                          <w:vertAlign w:val="subscript"/>
                        </w:rPr>
                        <w:t xml:space="preserve">2 </w:t>
                      </w:r>
                      <w:r>
                        <w:t xml:space="preserve"> + NO. The solid line is the IUPAC preferred value.</w:t>
                      </w:r>
                    </w:p>
                  </w:txbxContent>
                </v:textbox>
                <w10:wrap type="topAndBottom"/>
              </v:shape>
            </w:pict>
          </mc:Fallback>
        </mc:AlternateContent>
      </w:r>
    </w:p>
    <w:p w:rsidR="001611CC" w:rsidRDefault="00834CFD">
      <w:pPr>
        <w:pageBreakBefore/>
        <w:tabs>
          <w:tab w:val="left" w:pos="-1440"/>
          <w:tab w:val="left" w:pos="-720"/>
          <w:tab w:val="left" w:pos="288"/>
        </w:tabs>
        <w:jc w:val="both"/>
      </w:pPr>
      <w:r>
        <w:rPr>
          <w:noProof/>
          <w:lang w:eastAsia="en-GB"/>
        </w:rPr>
        <w:lastRenderedPageBreak/>
        <mc:AlternateContent>
          <mc:Choice Requires="wps">
            <w:drawing>
              <wp:anchor distT="0" distB="0" distL="114935" distR="114935" simplePos="0" relativeHeight="251657728" behindDoc="0" locked="0" layoutInCell="1" allowOverlap="1">
                <wp:simplePos x="0" y="0"/>
                <wp:positionH relativeFrom="column">
                  <wp:posOffset>438785</wp:posOffset>
                </wp:positionH>
                <wp:positionV relativeFrom="paragraph">
                  <wp:posOffset>-133985</wp:posOffset>
                </wp:positionV>
                <wp:extent cx="5491480" cy="533463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533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1CC" w:rsidRDefault="001611CC">
                            <w:pPr>
                              <w:rPr>
                                <w:lang w:val="de-DE"/>
                              </w:rPr>
                            </w:pPr>
                          </w:p>
                          <w:p w:rsidR="00323F2C" w:rsidRDefault="00834CFD">
                            <w:pPr>
                              <w:rPr>
                                <w:lang w:val="de-DE"/>
                              </w:rPr>
                            </w:pPr>
                            <w:r>
                              <w:rPr>
                                <w:noProof/>
                                <w:lang w:eastAsia="en-GB"/>
                              </w:rPr>
                              <w:drawing>
                                <wp:inline distT="0" distB="0" distL="0" distR="0">
                                  <wp:extent cx="5398770" cy="3971925"/>
                                  <wp:effectExtent l="0" t="0" r="0" b="9525"/>
                                  <wp:docPr id="2" name="Picture 2" descr="C2H5O2 + NO branching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H5O2 + NO branching Rat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971925"/>
                                          </a:xfrm>
                                          <a:prstGeom prst="rect">
                                            <a:avLst/>
                                          </a:prstGeom>
                                          <a:noFill/>
                                          <a:ln>
                                            <a:noFill/>
                                          </a:ln>
                                        </pic:spPr>
                                      </pic:pic>
                                    </a:graphicData>
                                  </a:graphic>
                                </wp:inline>
                              </w:drawing>
                            </w:r>
                          </w:p>
                          <w:p w:rsidR="006F27A2" w:rsidRDefault="006F27A2"/>
                          <w:p w:rsidR="001611CC" w:rsidRPr="00323F2C" w:rsidRDefault="00411EDE">
                            <w:r>
                              <w:t xml:space="preserve">Branching ratio, </w:t>
                            </w:r>
                            <w:r w:rsidR="006F27A2" w:rsidRPr="006F27A2">
                              <w:rPr>
                                <w:i/>
                              </w:rPr>
                              <w:t>k</w:t>
                            </w:r>
                            <w:r w:rsidR="006F27A2" w:rsidRPr="006F27A2">
                              <w:rPr>
                                <w:vertAlign w:val="subscript"/>
                              </w:rPr>
                              <w:t>2</w:t>
                            </w:r>
                            <w:r>
                              <w:rPr>
                                <w:vertAlign w:val="subscript"/>
                              </w:rPr>
                              <w:t xml:space="preserve"> </w:t>
                            </w:r>
                            <w:r w:rsidR="006F27A2">
                              <w:t>/</w:t>
                            </w:r>
                            <w:r>
                              <w:t xml:space="preserve"> (</w:t>
                            </w:r>
                            <w:r w:rsidRPr="006F27A2">
                              <w:rPr>
                                <w:i/>
                              </w:rPr>
                              <w:t>k</w:t>
                            </w:r>
                            <w:r>
                              <w:rPr>
                                <w:vertAlign w:val="subscript"/>
                              </w:rPr>
                              <w:t>1</w:t>
                            </w:r>
                            <w:r>
                              <w:t>+</w:t>
                            </w:r>
                            <w:r w:rsidRPr="006F27A2">
                              <w:rPr>
                                <w:i/>
                              </w:rPr>
                              <w:t>k</w:t>
                            </w:r>
                            <w:r w:rsidRPr="006F27A2">
                              <w:rPr>
                                <w:vertAlign w:val="subscript"/>
                              </w:rPr>
                              <w:t>2</w:t>
                            </w:r>
                            <w:r w:rsidR="006F27A2">
                              <w:t>)</w:t>
                            </w:r>
                            <w:r>
                              <w:t>,</w:t>
                            </w:r>
                            <w:r w:rsidR="006F27A2">
                              <w:t xml:space="preserve"> for formation of </w:t>
                            </w:r>
                            <w:r w:rsidR="00323F2C" w:rsidRPr="00323F2C">
                              <w:t xml:space="preserve"> </w:t>
                            </w:r>
                            <w:r w:rsidR="00323F2C" w:rsidRPr="006F27A2">
                              <w:t>C</w:t>
                            </w:r>
                            <w:r w:rsidR="00323F2C" w:rsidRPr="006F27A2">
                              <w:rPr>
                                <w:vertAlign w:val="subscript"/>
                              </w:rPr>
                              <w:t>2</w:t>
                            </w:r>
                            <w:r w:rsidR="00323F2C" w:rsidRPr="006F27A2">
                              <w:t>H</w:t>
                            </w:r>
                            <w:r w:rsidR="00323F2C" w:rsidRPr="006F27A2">
                              <w:rPr>
                                <w:vertAlign w:val="subscript"/>
                              </w:rPr>
                              <w:t>5</w:t>
                            </w:r>
                            <w:r w:rsidR="006F27A2">
                              <w:t>ON</w:t>
                            </w:r>
                            <w:r w:rsidR="00323F2C" w:rsidRPr="006F27A2">
                              <w:t>O</w:t>
                            </w:r>
                            <w:r w:rsidR="00323F2C" w:rsidRPr="006F27A2">
                              <w:rPr>
                                <w:vertAlign w:val="subscript"/>
                              </w:rPr>
                              <w:t>2</w:t>
                            </w:r>
                            <w:r w:rsidR="00323F2C">
                              <w:rPr>
                                <w:vertAlign w:val="subscript"/>
                              </w:rPr>
                              <w:t xml:space="preserve"> </w:t>
                            </w:r>
                            <w:r w:rsidR="00323F2C">
                              <w:t xml:space="preserve"> </w:t>
                            </w:r>
                            <w:r w:rsidR="006F27A2">
                              <w:t xml:space="preserve">in the reaction between </w:t>
                            </w:r>
                            <w:r w:rsidR="006F27A2" w:rsidRPr="006F27A2">
                              <w:t>C</w:t>
                            </w:r>
                            <w:r w:rsidR="006F27A2" w:rsidRPr="006F27A2">
                              <w:rPr>
                                <w:vertAlign w:val="subscript"/>
                              </w:rPr>
                              <w:t>2</w:t>
                            </w:r>
                            <w:r w:rsidR="006F27A2" w:rsidRPr="006F27A2">
                              <w:t>H</w:t>
                            </w:r>
                            <w:r w:rsidR="006F27A2" w:rsidRPr="006F27A2">
                              <w:rPr>
                                <w:vertAlign w:val="subscript"/>
                              </w:rPr>
                              <w:t>5</w:t>
                            </w:r>
                            <w:r w:rsidR="006F27A2" w:rsidRPr="006F27A2">
                              <w:t>O</w:t>
                            </w:r>
                            <w:r w:rsidR="006F27A2" w:rsidRPr="006F27A2">
                              <w:rPr>
                                <w:vertAlign w:val="subscript"/>
                              </w:rPr>
                              <w:t>2</w:t>
                            </w:r>
                            <w:r w:rsidR="006F27A2">
                              <w:rPr>
                                <w:vertAlign w:val="subscript"/>
                              </w:rPr>
                              <w:t xml:space="preserve"> </w:t>
                            </w:r>
                            <w:r w:rsidR="006F27A2">
                              <w:t>and NO</w:t>
                            </w:r>
                            <w:r w:rsidR="00710DB9">
                              <w:t xml:space="preserve">. The solid lines are </w:t>
                            </w:r>
                            <w:r w:rsidR="00D50099">
                              <w:t xml:space="preserve">adapted </w:t>
                            </w:r>
                            <w:r w:rsidR="006F27A2">
                              <w:t xml:space="preserve">from the parameterisation </w:t>
                            </w:r>
                            <w:r w:rsidR="00710DB9">
                              <w:t xml:space="preserve">given by </w:t>
                            </w:r>
                            <w:r w:rsidR="006F27A2">
                              <w:t xml:space="preserve">Butkovykaya et al. (2010). </w:t>
                            </w:r>
                            <w:r w:rsidR="00710DB9">
                              <w:t>To preserve clarify of presentation, only selections of the datasets of Butkovskaya et al. (2010) and Ranschaert et al. (2000) are shown. The down-arrow on the data point of Atkinson (1982) indicates an upper-limit.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55pt;margin-top:-10.55pt;width:432.4pt;height:420.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FfgIAAAc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" stroked="f">
                <v:textbox inset="0,0,0,0">
                  <w:txbxContent>
                    <w:p w:rsidR="001611CC" w:rsidRDefault="001611CC">
                      <w:pPr>
                        <w:rPr>
                          <w:lang w:val="de-DE"/>
                        </w:rPr>
                      </w:pPr>
                    </w:p>
                    <w:p w:rsidR="00323F2C" w:rsidRDefault="00834CFD">
                      <w:pPr>
                        <w:rPr>
                          <w:lang w:val="de-DE"/>
                        </w:rPr>
                      </w:pPr>
                      <w:r>
                        <w:rPr>
                          <w:noProof/>
                          <w:lang w:eastAsia="en-GB"/>
                        </w:rPr>
                        <w:drawing>
                          <wp:inline distT="0" distB="0" distL="0" distR="0">
                            <wp:extent cx="5398770" cy="3971925"/>
                            <wp:effectExtent l="0" t="0" r="0" b="9525"/>
                            <wp:docPr id="2" name="Picture 2" descr="C2H5O2 + NO branching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H5O2 + NO branching Rat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8770" cy="3971925"/>
                                    </a:xfrm>
                                    <a:prstGeom prst="rect">
                                      <a:avLst/>
                                    </a:prstGeom>
                                    <a:noFill/>
                                    <a:ln>
                                      <a:noFill/>
                                    </a:ln>
                                  </pic:spPr>
                                </pic:pic>
                              </a:graphicData>
                            </a:graphic>
                          </wp:inline>
                        </w:drawing>
                      </w:r>
                    </w:p>
                    <w:p w:rsidR="006F27A2" w:rsidRDefault="006F27A2"/>
                    <w:p w:rsidR="001611CC" w:rsidRPr="00323F2C" w:rsidRDefault="00411EDE">
                      <w:r>
                        <w:t xml:space="preserve">Branching ratio, </w:t>
                      </w:r>
                      <w:r w:rsidR="006F27A2" w:rsidRPr="006F27A2">
                        <w:rPr>
                          <w:i/>
                        </w:rPr>
                        <w:t>k</w:t>
                      </w:r>
                      <w:r w:rsidR="006F27A2" w:rsidRPr="006F27A2">
                        <w:rPr>
                          <w:vertAlign w:val="subscript"/>
                        </w:rPr>
                        <w:t>2</w:t>
                      </w:r>
                      <w:r>
                        <w:rPr>
                          <w:vertAlign w:val="subscript"/>
                        </w:rPr>
                        <w:t xml:space="preserve"> </w:t>
                      </w:r>
                      <w:r w:rsidR="006F27A2">
                        <w:t>/</w:t>
                      </w:r>
                      <w:r>
                        <w:t xml:space="preserve"> (</w:t>
                      </w:r>
                      <w:r w:rsidRPr="006F27A2">
                        <w:rPr>
                          <w:i/>
                        </w:rPr>
                        <w:t>k</w:t>
                      </w:r>
                      <w:r>
                        <w:rPr>
                          <w:vertAlign w:val="subscript"/>
                        </w:rPr>
                        <w:t>1</w:t>
                      </w:r>
                      <w:r>
                        <w:t>+</w:t>
                      </w:r>
                      <w:r w:rsidRPr="006F27A2">
                        <w:rPr>
                          <w:i/>
                        </w:rPr>
                        <w:t>k</w:t>
                      </w:r>
                      <w:r w:rsidRPr="006F27A2">
                        <w:rPr>
                          <w:vertAlign w:val="subscript"/>
                        </w:rPr>
                        <w:t>2</w:t>
                      </w:r>
                      <w:r w:rsidR="006F27A2">
                        <w:t>)</w:t>
                      </w:r>
                      <w:r>
                        <w:t>,</w:t>
                      </w:r>
                      <w:r w:rsidR="006F27A2">
                        <w:t xml:space="preserve"> for formation of </w:t>
                      </w:r>
                      <w:r w:rsidR="00323F2C" w:rsidRPr="00323F2C">
                        <w:t xml:space="preserve"> </w:t>
                      </w:r>
                      <w:r w:rsidR="00323F2C" w:rsidRPr="006F27A2">
                        <w:t>C</w:t>
                      </w:r>
                      <w:r w:rsidR="00323F2C" w:rsidRPr="006F27A2">
                        <w:rPr>
                          <w:vertAlign w:val="subscript"/>
                        </w:rPr>
                        <w:t>2</w:t>
                      </w:r>
                      <w:r w:rsidR="00323F2C" w:rsidRPr="006F27A2">
                        <w:t>H</w:t>
                      </w:r>
                      <w:r w:rsidR="00323F2C" w:rsidRPr="006F27A2">
                        <w:rPr>
                          <w:vertAlign w:val="subscript"/>
                        </w:rPr>
                        <w:t>5</w:t>
                      </w:r>
                      <w:r w:rsidR="006F27A2">
                        <w:t>ON</w:t>
                      </w:r>
                      <w:r w:rsidR="00323F2C" w:rsidRPr="006F27A2">
                        <w:t>O</w:t>
                      </w:r>
                      <w:r w:rsidR="00323F2C" w:rsidRPr="006F27A2">
                        <w:rPr>
                          <w:vertAlign w:val="subscript"/>
                        </w:rPr>
                        <w:t>2</w:t>
                      </w:r>
                      <w:r w:rsidR="00323F2C">
                        <w:rPr>
                          <w:vertAlign w:val="subscript"/>
                        </w:rPr>
                        <w:t xml:space="preserve"> </w:t>
                      </w:r>
                      <w:r w:rsidR="00323F2C">
                        <w:t xml:space="preserve"> </w:t>
                      </w:r>
                      <w:r w:rsidR="006F27A2">
                        <w:t xml:space="preserve">in the reaction between </w:t>
                      </w:r>
                      <w:r w:rsidR="006F27A2" w:rsidRPr="006F27A2">
                        <w:t>C</w:t>
                      </w:r>
                      <w:r w:rsidR="006F27A2" w:rsidRPr="006F27A2">
                        <w:rPr>
                          <w:vertAlign w:val="subscript"/>
                        </w:rPr>
                        <w:t>2</w:t>
                      </w:r>
                      <w:r w:rsidR="006F27A2" w:rsidRPr="006F27A2">
                        <w:t>H</w:t>
                      </w:r>
                      <w:r w:rsidR="006F27A2" w:rsidRPr="006F27A2">
                        <w:rPr>
                          <w:vertAlign w:val="subscript"/>
                        </w:rPr>
                        <w:t>5</w:t>
                      </w:r>
                      <w:r w:rsidR="006F27A2" w:rsidRPr="006F27A2">
                        <w:t>O</w:t>
                      </w:r>
                      <w:r w:rsidR="006F27A2" w:rsidRPr="006F27A2">
                        <w:rPr>
                          <w:vertAlign w:val="subscript"/>
                        </w:rPr>
                        <w:t>2</w:t>
                      </w:r>
                      <w:r w:rsidR="006F27A2">
                        <w:rPr>
                          <w:vertAlign w:val="subscript"/>
                        </w:rPr>
                        <w:t xml:space="preserve"> </w:t>
                      </w:r>
                      <w:r w:rsidR="006F27A2">
                        <w:t>and NO</w:t>
                      </w:r>
                      <w:r w:rsidR="00710DB9">
                        <w:t xml:space="preserve">. The solid lines are </w:t>
                      </w:r>
                      <w:r w:rsidR="00D50099">
                        <w:t xml:space="preserve">adapted </w:t>
                      </w:r>
                      <w:r w:rsidR="006F27A2">
                        <w:t xml:space="preserve">from the parameterisation </w:t>
                      </w:r>
                      <w:r w:rsidR="00710DB9">
                        <w:t xml:space="preserve">given by </w:t>
                      </w:r>
                      <w:r w:rsidR="006F27A2">
                        <w:t xml:space="preserve">Butkovykaya et al. (2010). </w:t>
                      </w:r>
                      <w:r w:rsidR="00710DB9">
                        <w:t>To preserve clarify of presentation, only selections of the datasets of Butkovskaya et al. (2010) and Ranschaert et al. (2000) are shown. The down-arrow on the data point of Atkinson (1982) indicates an upper-limit.</w:t>
                      </w:r>
                    </w:p>
                  </w:txbxContent>
                </v:textbox>
                <w10:wrap type="topAndBottom"/>
              </v:shape>
            </w:pict>
          </mc:Fallback>
        </mc:AlternateContent>
      </w:r>
    </w:p>
    <w:p w:rsidR="001611CC" w:rsidRDefault="001611CC">
      <w:pPr>
        <w:tabs>
          <w:tab w:val="left" w:pos="-1440"/>
          <w:tab w:val="left" w:pos="-720"/>
          <w:tab w:val="left" w:pos="288"/>
        </w:tabs>
        <w:jc w:val="both"/>
        <w:rPr>
          <w:lang w:val="en-GB" w:eastAsia="en-GB"/>
        </w:rPr>
      </w:pPr>
    </w:p>
    <w:p w:rsidR="001611CC" w:rsidRDefault="001611CC">
      <w:pPr>
        <w:tabs>
          <w:tab w:val="center" w:pos="4680"/>
          <w:tab w:val="right" w:pos="8640"/>
        </w:tabs>
        <w:ind w:firstLine="2790"/>
        <w:jc w:val="both"/>
      </w:pPr>
    </w:p>
    <w:p w:rsidR="00323F2C" w:rsidRDefault="00323F2C">
      <w:pPr>
        <w:tabs>
          <w:tab w:val="center" w:pos="4680"/>
          <w:tab w:val="right" w:pos="8640"/>
        </w:tabs>
        <w:ind w:firstLine="2790"/>
        <w:jc w:val="both"/>
      </w:pPr>
    </w:p>
    <w:p w:rsidR="00323F2C" w:rsidRDefault="00323F2C">
      <w:pPr>
        <w:tabs>
          <w:tab w:val="center" w:pos="4680"/>
          <w:tab w:val="right" w:pos="8640"/>
        </w:tabs>
        <w:ind w:firstLine="2790"/>
        <w:jc w:val="both"/>
      </w:pPr>
    </w:p>
    <w:p w:rsidR="00323F2C" w:rsidRDefault="00323F2C">
      <w:pPr>
        <w:tabs>
          <w:tab w:val="center" w:pos="4680"/>
          <w:tab w:val="right" w:pos="8640"/>
        </w:tabs>
        <w:ind w:firstLine="2790"/>
        <w:jc w:val="both"/>
      </w:pPr>
    </w:p>
    <w:sectPr w:rsidR="00323F2C">
      <w:pgSz w:w="11906" w:h="16838"/>
      <w:pgMar w:top="1418" w:right="995" w:bottom="1440" w:left="996"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ohit Devanagari">
    <w:altName w:val="MS Mincho"/>
    <w:charset w:val="80"/>
    <w:family w:val="auto"/>
    <w:pitch w:val="default"/>
  </w:font>
  <w:font w:name="Liberation Sans">
    <w:altName w:val="Arial Unicode MS"/>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3"/>
    <w:multiLevelType w:val="singleLevel"/>
    <w:tmpl w:val="00000003"/>
    <w:name w:val="WW8Num2"/>
    <w:lvl w:ilvl="0">
      <w:start w:val="1"/>
      <w:numFmt w:val="decimal"/>
      <w:lvlText w:val="%1."/>
      <w:lvlJc w:val="left"/>
      <w:pPr>
        <w:tabs>
          <w:tab w:val="num" w:pos="1492"/>
        </w:tabs>
        <w:ind w:left="1492" w:hanging="360"/>
      </w:pPr>
    </w:lvl>
  </w:abstractNum>
  <w:abstractNum w:abstractNumId="3">
    <w:nsid w:val="00000004"/>
    <w:multiLevelType w:val="singleLevel"/>
    <w:tmpl w:val="00000004"/>
    <w:name w:val="WW8Num3"/>
    <w:lvl w:ilvl="0">
      <w:start w:val="1"/>
      <w:numFmt w:val="decimal"/>
      <w:lvlText w:val="%1."/>
      <w:lvlJc w:val="left"/>
      <w:pPr>
        <w:tabs>
          <w:tab w:val="num" w:pos="1209"/>
        </w:tabs>
        <w:ind w:left="1209" w:hanging="360"/>
      </w:pPr>
    </w:lvl>
  </w:abstractNum>
  <w:abstractNum w:abstractNumId="4">
    <w:nsid w:val="00000005"/>
    <w:multiLevelType w:val="singleLevel"/>
    <w:tmpl w:val="00000005"/>
    <w:name w:val="WW8Num4"/>
    <w:lvl w:ilvl="0">
      <w:start w:val="1"/>
      <w:numFmt w:val="decimal"/>
      <w:lvlText w:val="%1."/>
      <w:lvlJc w:val="left"/>
      <w:pPr>
        <w:tabs>
          <w:tab w:val="num" w:pos="926"/>
        </w:tabs>
        <w:ind w:left="926" w:hanging="360"/>
      </w:pPr>
    </w:lvl>
  </w:abstractNum>
  <w:abstractNum w:abstractNumId="5">
    <w:nsid w:val="00000006"/>
    <w:multiLevelType w:val="singleLevel"/>
    <w:tmpl w:val="00000006"/>
    <w:name w:val="WW8Num5"/>
    <w:lvl w:ilvl="0">
      <w:start w:val="1"/>
      <w:numFmt w:val="decimal"/>
      <w:lvlText w:val="%1."/>
      <w:lvlJc w:val="left"/>
      <w:pPr>
        <w:tabs>
          <w:tab w:val="num" w:pos="643"/>
        </w:tabs>
        <w:ind w:left="643" w:hanging="360"/>
      </w:pPr>
    </w:lvl>
  </w:abstractNum>
  <w:abstractNum w:abstractNumId="6">
    <w:nsid w:val="00000007"/>
    <w:multiLevelType w:val="singleLevel"/>
    <w:tmpl w:val="00000007"/>
    <w:name w:val="WW8Num6"/>
    <w:lvl w:ilvl="0">
      <w:start w:val="1"/>
      <w:numFmt w:val="bullet"/>
      <w:lvlText w:val=""/>
      <w:lvlJc w:val="left"/>
      <w:pPr>
        <w:tabs>
          <w:tab w:val="num" w:pos="1492"/>
        </w:tabs>
        <w:ind w:left="1492" w:hanging="360"/>
      </w:pPr>
      <w:rPr>
        <w:rFonts w:ascii="Symbol" w:hAnsi="Symbol" w:cs="Symbol"/>
      </w:rPr>
    </w:lvl>
  </w:abstractNum>
  <w:abstractNum w:abstractNumId="7">
    <w:nsid w:val="00000008"/>
    <w:multiLevelType w:val="singleLevel"/>
    <w:tmpl w:val="00000008"/>
    <w:name w:val="WW8Num7"/>
    <w:lvl w:ilvl="0">
      <w:start w:val="1"/>
      <w:numFmt w:val="bullet"/>
      <w:lvlText w:val=""/>
      <w:lvlJc w:val="left"/>
      <w:pPr>
        <w:tabs>
          <w:tab w:val="num" w:pos="1209"/>
        </w:tabs>
        <w:ind w:left="1209"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926"/>
        </w:tabs>
        <w:ind w:left="926" w:hanging="360"/>
      </w:pPr>
      <w:rPr>
        <w:rFonts w:ascii="Symbol" w:hAnsi="Symbol" w:cs="Symbol"/>
      </w:rPr>
    </w:lvl>
  </w:abstractNum>
  <w:abstractNum w:abstractNumId="9">
    <w:nsid w:val="0000000A"/>
    <w:multiLevelType w:val="singleLevel"/>
    <w:tmpl w:val="0000000A"/>
    <w:name w:val="WW8Num9"/>
    <w:lvl w:ilvl="0">
      <w:start w:val="1"/>
      <w:numFmt w:val="bullet"/>
      <w:lvlText w:val=""/>
      <w:lvlJc w:val="left"/>
      <w:pPr>
        <w:tabs>
          <w:tab w:val="num" w:pos="643"/>
        </w:tabs>
        <w:ind w:left="643" w:hanging="360"/>
      </w:pPr>
      <w:rPr>
        <w:rFonts w:ascii="Symbol" w:hAnsi="Symbol" w:cs="Symbol"/>
      </w:rPr>
    </w:lvl>
  </w:abstractNum>
  <w:abstractNum w:abstractNumId="1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1"/>
    <w:lvl w:ilvl="0">
      <w:start w:val="1"/>
      <w:numFmt w:val="bullet"/>
      <w:lvlText w:val=""/>
      <w:lvlJc w:val="left"/>
      <w:pPr>
        <w:tabs>
          <w:tab w:val="num" w:pos="360"/>
        </w:tabs>
        <w:ind w:left="360" w:hanging="360"/>
      </w:pPr>
      <w:rPr>
        <w:rFonts w:ascii="Symbol" w:hAnsi="Symbol" w:cs="Symbol"/>
      </w:rPr>
    </w:lvl>
  </w:abstractNum>
  <w:abstractNum w:abstractNumId="12">
    <w:nsid w:val="4A270883"/>
    <w:multiLevelType w:val="hybridMultilevel"/>
    <w:tmpl w:val="0DE8EFBE"/>
    <w:lvl w:ilvl="0" w:tplc="08090001">
      <w:start w:val="2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83"/>
    <w:rsid w:val="001611CC"/>
    <w:rsid w:val="002B5AD1"/>
    <w:rsid w:val="00323F2C"/>
    <w:rsid w:val="003C379A"/>
    <w:rsid w:val="00411EDE"/>
    <w:rsid w:val="0048250E"/>
    <w:rsid w:val="006F27A2"/>
    <w:rsid w:val="00710DB9"/>
    <w:rsid w:val="007F4A0C"/>
    <w:rsid w:val="00823FE3"/>
    <w:rsid w:val="00834CFD"/>
    <w:rsid w:val="009124DB"/>
    <w:rsid w:val="009777F9"/>
    <w:rsid w:val="009B13FC"/>
    <w:rsid w:val="009F3DF7"/>
    <w:rsid w:val="00B56C75"/>
    <w:rsid w:val="00BC4DFD"/>
    <w:rsid w:val="00D1541E"/>
    <w:rsid w:val="00D50099"/>
    <w:rsid w:val="00D847A2"/>
    <w:rsid w:val="00DA6DF5"/>
    <w:rsid w:val="00DC4A3E"/>
    <w:rsid w:val="00E33E36"/>
    <w:rsid w:val="00E375F0"/>
    <w:rsid w:val="00E54417"/>
    <w:rsid w:val="00E70C83"/>
    <w:rsid w:val="00E9275F"/>
    <w:rsid w:val="00FE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lang w:eastAsia="zh-CN"/>
    </w:rPr>
  </w:style>
  <w:style w:type="paragraph" w:styleId="Heading1">
    <w:name w:val="heading 1"/>
    <w:basedOn w:val="Normal"/>
    <w:next w:val="Normal"/>
    <w:qFormat/>
    <w:pPr>
      <w:keepNext/>
      <w:tabs>
        <w:tab w:val="left" w:pos="9356"/>
      </w:tabs>
      <w:ind w:right="396"/>
      <w:outlineLvl w:val="0"/>
    </w:pPr>
    <w:rPr>
      <w:i/>
      <w:iCs/>
    </w:rPr>
  </w:style>
  <w:style w:type="paragraph" w:styleId="Heading2">
    <w:name w:val="heading 2"/>
    <w:basedOn w:val="Normal"/>
    <w:next w:val="Normal"/>
    <w:qFormat/>
    <w:pPr>
      <w:keepNext/>
      <w:tabs>
        <w:tab w:val="center" w:pos="4680"/>
        <w:tab w:val="left" w:pos="4867"/>
        <w:tab w:val="left" w:pos="7982"/>
        <w:tab w:val="left" w:pos="8395"/>
        <w:tab w:val="left" w:pos="8812"/>
      </w:tabs>
      <w:jc w:val="center"/>
      <w:outlineLvl w:val="1"/>
    </w:pPr>
    <w:rPr>
      <w:b/>
    </w:rPr>
  </w:style>
  <w:style w:type="paragraph" w:styleId="Heading3">
    <w:name w:val="heading 3"/>
    <w:basedOn w:val="Normal"/>
    <w:next w:val="Normal"/>
    <w:qFormat/>
    <w:pPr>
      <w:keepNext/>
      <w:tabs>
        <w:tab w:val="center" w:pos="4680"/>
      </w:tabs>
      <w:jc w:val="center"/>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356"/>
      </w:tabs>
      <w:ind w:right="-108"/>
      <w:outlineLvl w:val="6"/>
    </w:pPr>
    <w:rPr>
      <w:i/>
      <w:iC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5z0">
    <w:name w:val="WW8Num15z0"/>
    <w:rPr>
      <w:strike w:val="0"/>
      <w:dstrike w:val="0"/>
      <w:vertAlign w:val="superscript"/>
    </w:rPr>
  </w:style>
  <w:style w:type="character" w:customStyle="1" w:styleId="WW8Num16z0">
    <w:name w:val="WW8Num16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paragraph" w:customStyle="1" w:styleId="Titre">
    <w:name w:val="Titre"/>
    <w:basedOn w:val="Normal"/>
    <w:next w:val="Subtitle"/>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next w:val="Normal"/>
    <w:qFormat/>
    <w:pPr>
      <w:spacing w:before="120" w:after="120"/>
    </w:pPr>
    <w:rPr>
      <w:b/>
      <w:bC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2"/>
      </w:numPr>
    </w:pPr>
  </w:style>
  <w:style w:type="paragraph" w:styleId="ListBullet2">
    <w:name w:val="List Bullet 2"/>
    <w:basedOn w:val="Normal"/>
    <w:pPr>
      <w:numPr>
        <w:numId w:val="10"/>
      </w:numPr>
    </w:pPr>
  </w:style>
  <w:style w:type="paragraph" w:styleId="ListBullet3">
    <w:name w:val="List Bullet 3"/>
    <w:basedOn w:val="Normal"/>
    <w:pPr>
      <w:numPr>
        <w:numId w:val="9"/>
      </w:numPr>
    </w:pPr>
  </w:style>
  <w:style w:type="paragraph" w:styleId="ListBullet4">
    <w:name w:val="List Bullet 4"/>
    <w:basedOn w:val="Normal"/>
    <w:pPr>
      <w:numPr>
        <w:numId w:val="8"/>
      </w:numPr>
    </w:pPr>
  </w:style>
  <w:style w:type="paragraph" w:styleId="ListBullet5">
    <w:name w:val="List Bullet 5"/>
    <w:basedOn w:val="Normal"/>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6"/>
      </w:numPr>
    </w:pPr>
  </w:style>
  <w:style w:type="paragraph" w:styleId="ListNumber3">
    <w:name w:val="List Number 3"/>
    <w:basedOn w:val="Normal"/>
    <w:pPr>
      <w:numPr>
        <w:numId w:val="5"/>
      </w:numPr>
    </w:pPr>
  </w:style>
  <w:style w:type="paragraph" w:styleId="ListNumber4">
    <w:name w:val="List Number 4"/>
    <w:basedOn w:val="Normal"/>
    <w:pPr>
      <w:numPr>
        <w:numId w:val="4"/>
      </w:numPr>
    </w:pPr>
  </w:style>
  <w:style w:type="paragraph" w:styleId="ListNumber5">
    <w:name w:val="List Number 5"/>
    <w:basedOn w:val="Normal"/>
    <w:pPr>
      <w:numPr>
        <w:numId w:val="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zh-C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JGR-HEAD1">
    <w:name w:val="JGR-HEAD1"/>
    <w:basedOn w:val="Heading1"/>
    <w:pPr>
      <w:numPr>
        <w:numId w:val="2"/>
      </w:numPr>
      <w:tabs>
        <w:tab w:val="clear" w:pos="9356"/>
      </w:tabs>
      <w:overflowPunct/>
      <w:autoSpaceDE/>
      <w:spacing w:before="290" w:after="120" w:line="240" w:lineRule="exact"/>
      <w:ind w:right="0"/>
      <w:textAlignment w:val="auto"/>
    </w:pPr>
    <w:rPr>
      <w:b/>
      <w:i w:val="0"/>
      <w:kern w:val="1"/>
      <w:lang w:val="en-US"/>
    </w:rPr>
  </w:style>
  <w:style w:type="paragraph" w:customStyle="1" w:styleId="JGR-HEAD3">
    <w:name w:val="JGR-HEAD3"/>
    <w:basedOn w:val="Heading3"/>
    <w:pPr>
      <w:numPr>
        <w:ilvl w:val="2"/>
        <w:numId w:val="2"/>
      </w:numPr>
      <w:tabs>
        <w:tab w:val="clear" w:pos="4680"/>
      </w:tabs>
      <w:overflowPunct/>
      <w:autoSpaceDE/>
      <w:spacing w:before="240" w:after="60" w:line="220" w:lineRule="exact"/>
      <w:ind w:right="4876"/>
      <w:jc w:val="left"/>
      <w:textAlignment w:val="auto"/>
    </w:pPr>
    <w:rPr>
      <w:sz w:val="19"/>
      <w:vertAlign w:val="subscript"/>
    </w:rPr>
  </w:style>
  <w:style w:type="paragraph" w:customStyle="1" w:styleId="Justified">
    <w:name w:val="Justified"/>
    <w:basedOn w:val="Normal"/>
    <w:pPr>
      <w:overflowPunct/>
      <w:autoSpaceDE/>
      <w:spacing w:after="100" w:line="360" w:lineRule="auto"/>
      <w:jc w:val="both"/>
      <w:textAlignment w:val="auto"/>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Citation">
    <w:name w:val="Citation"/>
    <w:basedOn w:val="Normal"/>
    <w:pPr>
      <w:spacing w:after="283"/>
      <w:ind w:left="567" w:right="567"/>
    </w:pPr>
  </w:style>
  <w:style w:type="paragraph" w:styleId="Title">
    <w:name w:val="Title"/>
    <w:basedOn w:val="Titre"/>
    <w:next w:val="BodyText"/>
    <w:qFormat/>
    <w:rPr>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sz w:val="24"/>
      <w:lang w:eastAsia="zh-CN"/>
    </w:rPr>
  </w:style>
  <w:style w:type="paragraph" w:styleId="Heading1">
    <w:name w:val="heading 1"/>
    <w:basedOn w:val="Normal"/>
    <w:next w:val="Normal"/>
    <w:qFormat/>
    <w:pPr>
      <w:keepNext/>
      <w:tabs>
        <w:tab w:val="left" w:pos="9356"/>
      </w:tabs>
      <w:ind w:right="396"/>
      <w:outlineLvl w:val="0"/>
    </w:pPr>
    <w:rPr>
      <w:i/>
      <w:iCs/>
    </w:rPr>
  </w:style>
  <w:style w:type="paragraph" w:styleId="Heading2">
    <w:name w:val="heading 2"/>
    <w:basedOn w:val="Normal"/>
    <w:next w:val="Normal"/>
    <w:qFormat/>
    <w:pPr>
      <w:keepNext/>
      <w:tabs>
        <w:tab w:val="center" w:pos="4680"/>
        <w:tab w:val="left" w:pos="4867"/>
        <w:tab w:val="left" w:pos="7982"/>
        <w:tab w:val="left" w:pos="8395"/>
        <w:tab w:val="left" w:pos="8812"/>
      </w:tabs>
      <w:jc w:val="center"/>
      <w:outlineLvl w:val="1"/>
    </w:pPr>
    <w:rPr>
      <w:b/>
    </w:rPr>
  </w:style>
  <w:style w:type="paragraph" w:styleId="Heading3">
    <w:name w:val="heading 3"/>
    <w:basedOn w:val="Normal"/>
    <w:next w:val="Normal"/>
    <w:qFormat/>
    <w:pPr>
      <w:keepNext/>
      <w:tabs>
        <w:tab w:val="center" w:pos="4680"/>
      </w:tabs>
      <w:jc w:val="center"/>
      <w:outlineLvl w:val="2"/>
    </w:pPr>
    <w:rPr>
      <w: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tabs>
        <w:tab w:val="left" w:pos="9356"/>
      </w:tabs>
      <w:ind w:right="-108"/>
      <w:outlineLvl w:val="6"/>
    </w:pPr>
    <w:rPr>
      <w:i/>
      <w:iC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style>
  <w:style w:type="character" w:customStyle="1" w:styleId="WW8Num11z0">
    <w:name w:val="WW8Num11z0"/>
    <w:rPr>
      <w:rFonts w:ascii="Symbol" w:hAnsi="Symbol" w:cs="Symbol"/>
    </w:rPr>
  </w:style>
  <w:style w:type="character" w:customStyle="1" w:styleId="Absatz-Standardschriftart">
    <w:name w:val="Absatz-Standardschriftart"/>
  </w:style>
  <w:style w:type="character" w:customStyle="1" w:styleId="WW8Num15z0">
    <w:name w:val="WW8Num15z0"/>
    <w:rPr>
      <w:strike w:val="0"/>
      <w:dstrike w:val="0"/>
      <w:vertAlign w:val="superscript"/>
    </w:rPr>
  </w:style>
  <w:style w:type="character" w:customStyle="1" w:styleId="WW8Num16z0">
    <w:name w:val="WW8Num16z0"/>
    <w:rPr>
      <w:strike w:val="0"/>
      <w:dstrike w:val="0"/>
      <w:vertAlign w:val="superscript"/>
    </w:rPr>
  </w:style>
  <w:style w:type="character" w:styleId="DefaultParagraphFont0">
    <w:name w:val="Default Paragraph Font"/>
  </w:style>
  <w:style w:type="character" w:styleId="Hyperlink">
    <w:name w:val="Hyperlink"/>
    <w:rPr>
      <w:color w:val="0000FF"/>
      <w:u w:val="single"/>
    </w:rPr>
  </w:style>
  <w:style w:type="paragraph" w:customStyle="1" w:styleId="Titre">
    <w:name w:val="Titre"/>
    <w:basedOn w:val="Normal"/>
    <w:next w:val="Subtitle"/>
    <w:pPr>
      <w:spacing w:before="240" w:after="60"/>
      <w:jc w:val="center"/>
    </w:pPr>
    <w:rPr>
      <w:rFonts w:ascii="Arial" w:hAnsi="Arial" w:cs="Arial"/>
      <w:b/>
      <w:bCs/>
      <w:kern w:val="1"/>
      <w:sz w:val="32"/>
      <w:szCs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Lohit Devanagari"/>
    </w:rPr>
  </w:style>
  <w:style w:type="paragraph" w:customStyle="1" w:styleId="Heading">
    <w:name w:val="Heading"/>
    <w:basedOn w:val="Normal"/>
    <w:next w:val="BodyText"/>
    <w:pPr>
      <w:keepNext/>
      <w:spacing w:before="240" w:after="120"/>
    </w:pPr>
    <w:rPr>
      <w:rFonts w:ascii="Liberation Sans" w:eastAsia="DejaVu Sans" w:hAnsi="Liberation Sans" w:cs="Lohit Devanagari"/>
      <w:sz w:val="28"/>
      <w:szCs w:val="28"/>
    </w:rPr>
  </w:style>
  <w:style w:type="paragraph" w:styleId="Caption0">
    <w:name w:val="caption"/>
    <w:basedOn w:val="Normal"/>
    <w:next w:val="Normal"/>
    <w:qFormat/>
    <w:pPr>
      <w:spacing w:before="120" w:after="120"/>
    </w:pPr>
    <w:rPr>
      <w:b/>
      <w:bC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2"/>
      </w:numPr>
    </w:pPr>
  </w:style>
  <w:style w:type="paragraph" w:styleId="ListBullet2">
    <w:name w:val="List Bullet 2"/>
    <w:basedOn w:val="Normal"/>
    <w:pPr>
      <w:numPr>
        <w:numId w:val="10"/>
      </w:numPr>
    </w:pPr>
  </w:style>
  <w:style w:type="paragraph" w:styleId="ListBullet3">
    <w:name w:val="List Bullet 3"/>
    <w:basedOn w:val="Normal"/>
    <w:pPr>
      <w:numPr>
        <w:numId w:val="9"/>
      </w:numPr>
    </w:pPr>
  </w:style>
  <w:style w:type="paragraph" w:styleId="ListBullet4">
    <w:name w:val="List Bullet 4"/>
    <w:basedOn w:val="Normal"/>
    <w:pPr>
      <w:numPr>
        <w:numId w:val="8"/>
      </w:numPr>
    </w:pPr>
  </w:style>
  <w:style w:type="paragraph" w:styleId="ListBullet5">
    <w:name w:val="List Bullet 5"/>
    <w:basedOn w:val="Normal"/>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6"/>
      </w:numPr>
    </w:pPr>
  </w:style>
  <w:style w:type="paragraph" w:styleId="ListNumber3">
    <w:name w:val="List Number 3"/>
    <w:basedOn w:val="Normal"/>
    <w:pPr>
      <w:numPr>
        <w:numId w:val="5"/>
      </w:numPr>
    </w:pPr>
  </w:style>
  <w:style w:type="paragraph" w:styleId="ListNumber4">
    <w:name w:val="List Number 4"/>
    <w:basedOn w:val="Normal"/>
    <w:pPr>
      <w:numPr>
        <w:numId w:val="4"/>
      </w:numPr>
    </w:pPr>
  </w:style>
  <w:style w:type="paragraph" w:styleId="ListNumber5">
    <w:name w:val="List Number 5"/>
    <w:basedOn w:val="Normal"/>
    <w:pPr>
      <w:numPr>
        <w:numId w:val="3"/>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lang w:eastAsia="zh-C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paragraph" w:customStyle="1" w:styleId="JGR-HEAD1">
    <w:name w:val="JGR-HEAD1"/>
    <w:basedOn w:val="Heading1"/>
    <w:pPr>
      <w:numPr>
        <w:numId w:val="2"/>
      </w:numPr>
      <w:tabs>
        <w:tab w:val="clear" w:pos="9356"/>
      </w:tabs>
      <w:overflowPunct/>
      <w:autoSpaceDE/>
      <w:spacing w:before="290" w:after="120" w:line="240" w:lineRule="exact"/>
      <w:ind w:right="0"/>
      <w:textAlignment w:val="auto"/>
    </w:pPr>
    <w:rPr>
      <w:b/>
      <w:i w:val="0"/>
      <w:kern w:val="1"/>
      <w:lang w:val="en-US"/>
    </w:rPr>
  </w:style>
  <w:style w:type="paragraph" w:customStyle="1" w:styleId="JGR-HEAD3">
    <w:name w:val="JGR-HEAD3"/>
    <w:basedOn w:val="Heading3"/>
    <w:pPr>
      <w:numPr>
        <w:ilvl w:val="2"/>
        <w:numId w:val="2"/>
      </w:numPr>
      <w:tabs>
        <w:tab w:val="clear" w:pos="4680"/>
      </w:tabs>
      <w:overflowPunct/>
      <w:autoSpaceDE/>
      <w:spacing w:before="240" w:after="60" w:line="220" w:lineRule="exact"/>
      <w:ind w:right="4876"/>
      <w:jc w:val="left"/>
      <w:textAlignment w:val="auto"/>
    </w:pPr>
    <w:rPr>
      <w:sz w:val="19"/>
      <w:vertAlign w:val="subscript"/>
    </w:rPr>
  </w:style>
  <w:style w:type="paragraph" w:customStyle="1" w:styleId="Justified">
    <w:name w:val="Justified"/>
    <w:basedOn w:val="Normal"/>
    <w:pPr>
      <w:overflowPunct/>
      <w:autoSpaceDE/>
      <w:spacing w:after="100" w:line="360" w:lineRule="auto"/>
      <w:jc w:val="both"/>
      <w:textAlignment w:val="auto"/>
    </w:pPr>
    <w:rPr>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Citation">
    <w:name w:val="Citation"/>
    <w:basedOn w:val="Normal"/>
    <w:pPr>
      <w:spacing w:after="283"/>
      <w:ind w:left="567" w:right="567"/>
    </w:pPr>
  </w:style>
  <w:style w:type="paragraph" w:styleId="Title">
    <w:name w:val="Title"/>
    <w:basedOn w:val="Titre"/>
    <w:next w:val="BodyText"/>
    <w:qFormat/>
    <w:rPr>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1FA051D-085C-4848-8589-CB4EC63EB4D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IUPAC Task Group on Atmospheric Chemical Kinetic Data Evaluation – Data Sheet ROO_2</vt:lpstr>
    </vt:vector>
  </TitlesOfParts>
  <Company>Microsoft</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IUPAC Task Group on Atmospheric Chemical Kinetic Data Evaluation – Data Sheet ROO_2</dc:title>
  <dc:creator>D.L. Baulch.</dc:creator>
  <cp:lastModifiedBy>Crowley</cp:lastModifiedBy>
  <cp:revision>2</cp:revision>
  <cp:lastPrinted>2002-08-23T11:05:00Z</cp:lastPrinted>
  <dcterms:created xsi:type="dcterms:W3CDTF">2018-09-19T11:05:00Z</dcterms:created>
  <dcterms:modified xsi:type="dcterms:W3CDTF">2018-09-19T11:05:00Z</dcterms:modified>
</cp:coreProperties>
</file>