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5" w:rsidRPr="00CA6636" w:rsidRDefault="006E7C85" w:rsidP="00CA6636">
      <w:pPr>
        <w:pStyle w:val="IUPACheadline"/>
      </w:pPr>
      <w:r w:rsidRPr="00CA6636">
        <w:t>IUPAC Task Group on Atmospheric Chemical Kinetic Data Evaluation</w:t>
      </w:r>
      <w:r w:rsidR="00CA6636">
        <w:t xml:space="preserve"> - </w:t>
      </w:r>
      <w:r w:rsidR="002F5C5A" w:rsidRPr="00CA6636">
        <w:t xml:space="preserve">Data Sheet </w:t>
      </w:r>
      <w:r w:rsidR="00CA6636" w:rsidRPr="00CA6636">
        <w:t>Het_Org</w:t>
      </w:r>
      <w:r w:rsidR="00527269">
        <w:t>5</w:t>
      </w:r>
      <w:bookmarkStart w:id="0" w:name="_GoBack"/>
      <w:bookmarkEnd w:id="0"/>
    </w:p>
    <w:p w:rsidR="005F66B0" w:rsidRPr="00BF3262" w:rsidRDefault="005F66B0" w:rsidP="005F66B0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>Data sheets can be downloaded for personal use only and must not be retransmitted or disseminated either electronically or in hard copy without explicit written permission.</w:t>
      </w:r>
    </w:p>
    <w:p w:rsidR="005F66B0" w:rsidRPr="00BF3262" w:rsidRDefault="005F66B0" w:rsidP="005F66B0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 xml:space="preserve">The citation for this data sheet is: </w:t>
      </w:r>
      <w:r w:rsidRPr="00BF3262">
        <w:rPr>
          <w:rFonts w:ascii="Times New Roman" w:eastAsia="Times New Roman" w:hAnsi="Times New Roman"/>
          <w:sz w:val="24"/>
          <w:szCs w:val="20"/>
          <w:lang w:val="en-US" w:eastAsia="zh-CN"/>
        </w:rPr>
        <w:t xml:space="preserve">IUPAC Task Group on Atmospheric chemical Kinetic Data Evaluation, </w:t>
      </w:r>
      <w:hyperlink r:id="rId7" w:history="1">
        <w:r w:rsidRPr="00BF3262">
          <w:rPr>
            <w:rStyle w:val="Hyperlink"/>
            <w:rFonts w:ascii="Times New Roman" w:eastAsia="Times New Roman" w:hAnsi="Times New Roman"/>
            <w:sz w:val="24"/>
            <w:szCs w:val="20"/>
            <w:lang w:eastAsia="zh-CN"/>
          </w:rPr>
          <w:t>http://iupac.pole-ether.fr</w:t>
        </w:r>
      </w:hyperlink>
      <w:r w:rsidRPr="00BF3262">
        <w:rPr>
          <w:rFonts w:ascii="Times New Roman" w:eastAsia="Times New Roman" w:hAnsi="Times New Roman"/>
          <w:sz w:val="24"/>
          <w:szCs w:val="20"/>
          <w:u w:val="single"/>
          <w:lang w:val="en-US" w:eastAsia="zh-CN"/>
        </w:rPr>
        <w:t>.</w:t>
      </w:r>
    </w:p>
    <w:p w:rsidR="006E7C85" w:rsidRPr="006E7C85" w:rsidRDefault="006E7C85" w:rsidP="006E7C85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This data sheet evaluated: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; last change in preferred values: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:rsidR="006E7C85" w:rsidRPr="006E7C85" w:rsidRDefault="005A45AD" w:rsidP="006E7C85">
      <w:pPr>
        <w:suppressAutoHyphens/>
        <w:spacing w:after="0"/>
        <w:ind w:left="346" w:right="470"/>
        <w:jc w:val="lef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173355</wp:posOffset>
                </wp:positionV>
                <wp:extent cx="75596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5pt,13.65pt" to="54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" strokeweight=".26mm">
                <v:stroke joinstyle="miter" endcap="square"/>
              </v:line>
            </w:pict>
          </mc:Fallback>
        </mc:AlternateContent>
      </w: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jc w:val="left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ind w:left="113" w:right="113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NO</w:t>
      </w:r>
      <w:r>
        <w:rPr>
          <w:rFonts w:ascii="Times New Roman" w:eastAsia="Times New Roman" w:hAnsi="Times New Roman"/>
          <w:b/>
          <w:sz w:val="24"/>
          <w:szCs w:val="20"/>
          <w:vertAlign w:val="subscript"/>
          <w:lang w:eastAsia="zh-CN"/>
        </w:rPr>
        <w:t>3</w:t>
      </w: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+ </w:t>
      </w:r>
      <w:r w:rsidR="00E86209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aromatics </w:t>
      </w:r>
    </w:p>
    <w:p w:rsidR="006E7C85" w:rsidRPr="006E7C85" w:rsidRDefault="006E7C85" w:rsidP="006E7C85">
      <w:pPr>
        <w:keepNext/>
        <w:suppressAutoHyphens/>
        <w:spacing w:before="240" w:after="60" w:line="360" w:lineRule="auto"/>
        <w:ind w:left="113" w:right="113"/>
        <w:jc w:val="center"/>
        <w:outlineLvl w:val="0"/>
        <w:rPr>
          <w:rFonts w:ascii="Times New Roman" w:eastAsia="Times New Roman" w:hAnsi="Times New Roman"/>
          <w:b/>
          <w:i/>
          <w:spacing w:val="-2"/>
          <w:kern w:val="1"/>
          <w:sz w:val="20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kern w:val="1"/>
          <w:sz w:val="24"/>
          <w:szCs w:val="20"/>
          <w:lang w:eastAsia="zh-CN"/>
        </w:rPr>
        <w:t>Experimental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2409"/>
        <w:gridCol w:w="2552"/>
      </w:tblGrid>
      <w:tr w:rsidR="002F5C5A" w:rsidRPr="00A61F8D" w:rsidTr="00793351">
        <w:tc>
          <w:tcPr>
            <w:tcW w:w="3227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i/>
                <w:spacing w:val="-2"/>
                <w:sz w:val="20"/>
              </w:rPr>
              <w:t>Parameter</w:t>
            </w:r>
            <w:r w:rsidRPr="00A61F8D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Temp./K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pStyle w:val="Heading2"/>
              <w:spacing w:before="120" w:after="120"/>
              <w:ind w:left="113" w:right="113"/>
              <w:rPr>
                <w:b w:val="0"/>
                <w:i w:val="0"/>
                <w:sz w:val="20"/>
              </w:rPr>
            </w:pPr>
            <w:r w:rsidRPr="00A61F8D"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Technique/ Comments</w:t>
            </w:r>
          </w:p>
        </w:tc>
      </w:tr>
      <w:tr w:rsidR="002F5C5A" w:rsidRPr="00A61F8D" w:rsidTr="00793351">
        <w:tc>
          <w:tcPr>
            <w:tcW w:w="3227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  <w:noProof w:val="0"/>
                <w:spacing w:val="-2"/>
              </w:rPr>
            </w:pPr>
            <w:r w:rsidRPr="00A61F8D">
              <w:rPr>
                <w:spacing w:val="-2"/>
              </w:rPr>
              <w:sym w:font="Symbol" w:char="F067"/>
            </w:r>
            <w:r w:rsidR="0070324E" w:rsidRPr="0070324E">
              <w:rPr>
                <w:spacing w:val="-2"/>
                <w:vertAlign w:val="subscript"/>
              </w:rPr>
              <w:t>0</w:t>
            </w:r>
            <w:r w:rsidRPr="00A61F8D">
              <w:rPr>
                <w:spacing w:val="-2"/>
              </w:rPr>
              <w:t xml:space="preserve"> </w:t>
            </w:r>
          </w:p>
        </w:tc>
        <w:tc>
          <w:tcPr>
            <w:tcW w:w="1276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  <w:tc>
          <w:tcPr>
            <w:tcW w:w="2409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</w:rPr>
            </w:pPr>
          </w:p>
        </w:tc>
        <w:tc>
          <w:tcPr>
            <w:tcW w:w="2552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</w:tr>
      <w:tr w:rsidR="002F5C5A" w:rsidRPr="00A61F8D" w:rsidTr="00793351">
        <w:tc>
          <w:tcPr>
            <w:tcW w:w="3227" w:type="dxa"/>
          </w:tcPr>
          <w:p w:rsidR="002F5C5A" w:rsidRPr="00C906AC" w:rsidRDefault="00E86209" w:rsidP="00E8620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 w:rsidRPr="00C906AC">
              <w:rPr>
                <w:caps w:val="0"/>
                <w:noProof w:val="0"/>
                <w:spacing w:val="-2"/>
              </w:rPr>
              <w:t xml:space="preserve">&gt; 0.1 </w:t>
            </w:r>
            <w:r w:rsidR="002F5C5A" w:rsidRPr="00C906AC">
              <w:rPr>
                <w:caps w:val="0"/>
                <w:noProof w:val="0"/>
                <w:spacing w:val="-2"/>
              </w:rPr>
              <w:t>(</w:t>
            </w:r>
            <w:r w:rsidRPr="00C906AC">
              <w:rPr>
                <w:caps w:val="0"/>
                <w:noProof w:val="0"/>
                <w:spacing w:val="-2"/>
              </w:rPr>
              <w:t>pyrene</w:t>
            </w:r>
            <w:r w:rsidR="002F5C5A" w:rsidRPr="00C906AC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276" w:type="dxa"/>
          </w:tcPr>
          <w:p w:rsidR="002F5C5A" w:rsidRPr="00C906AC" w:rsidRDefault="00E86209" w:rsidP="00A4399E">
            <w:pPr>
              <w:spacing w:after="0"/>
              <w:ind w:left="-108" w:right="-108" w:firstLine="221"/>
              <w:rPr>
                <w:sz w:val="20"/>
              </w:rPr>
            </w:pPr>
            <w:r w:rsidRPr="00C906AC">
              <w:rPr>
                <w:sz w:val="20"/>
              </w:rPr>
              <w:t>29</w:t>
            </w:r>
            <w:r w:rsidR="00967E21" w:rsidRPr="00C906AC"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F5C5A" w:rsidRPr="00C906AC" w:rsidRDefault="00E86209" w:rsidP="00E8620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 w:rsidRPr="00C906AC">
              <w:rPr>
                <w:caps w:val="0"/>
              </w:rPr>
              <w:t>Mak</w:t>
            </w:r>
            <w:r w:rsidR="002F5C5A" w:rsidRPr="00C906AC">
              <w:rPr>
                <w:caps w:val="0"/>
              </w:rPr>
              <w:t xml:space="preserve"> et al., 200</w:t>
            </w:r>
            <w:r w:rsidRPr="00C906AC">
              <w:rPr>
                <w:caps w:val="0"/>
              </w:rPr>
              <w:t>7</w:t>
            </w:r>
          </w:p>
        </w:tc>
        <w:tc>
          <w:tcPr>
            <w:tcW w:w="2552" w:type="dxa"/>
          </w:tcPr>
          <w:p w:rsidR="002F5C5A" w:rsidRPr="00C906AC" w:rsidRDefault="002F5C5A" w:rsidP="00E86209">
            <w:pPr>
              <w:spacing w:after="0"/>
              <w:ind w:left="113" w:right="113"/>
              <w:rPr>
                <w:sz w:val="20"/>
              </w:rPr>
            </w:pPr>
            <w:r w:rsidRPr="00C906AC">
              <w:rPr>
                <w:sz w:val="20"/>
              </w:rPr>
              <w:t>CWFT-</w:t>
            </w:r>
            <w:r w:rsidR="00E86209" w:rsidRPr="00C906AC">
              <w:rPr>
                <w:sz w:val="20"/>
              </w:rPr>
              <w:t>CIMS</w:t>
            </w:r>
            <w:r w:rsidRPr="00C906AC">
              <w:rPr>
                <w:sz w:val="20"/>
              </w:rPr>
              <w:t xml:space="preserve"> (a)</w:t>
            </w:r>
          </w:p>
        </w:tc>
      </w:tr>
      <w:tr w:rsidR="00967E21" w:rsidRPr="00A61F8D" w:rsidTr="00793351">
        <w:tc>
          <w:tcPr>
            <w:tcW w:w="3227" w:type="dxa"/>
          </w:tcPr>
          <w:p w:rsidR="00967E21" w:rsidRPr="00C906AC" w:rsidRDefault="00527269" w:rsidP="00E8620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before="40" w:after="40"/>
              <w:ind w:right="113"/>
              <w:rPr>
                <w:caps w:val="0"/>
                <w:noProof w:val="0"/>
                <w:spacing w:val="-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</w:rPr>
                    <m:t>0.38</m:t>
                  </m:r>
                </m:e>
                <m:sub>
                  <m:r>
                    <w:rPr>
                      <w:rFonts w:ascii="Cambria Math" w:hAnsi="Cambria Math"/>
                      <w:caps w:val="0"/>
                    </w:rPr>
                    <m:t>-0.3</m:t>
                  </m:r>
                </m:sub>
                <m:sup>
                  <m:r>
                    <w:rPr>
                      <w:rFonts w:ascii="Cambria Math" w:hAnsi="Cambria Math"/>
                      <w:caps w:val="0"/>
                    </w:rPr>
                    <m:t>+ 0.62</m:t>
                  </m:r>
                </m:sup>
              </m:sSubSup>
            </m:oMath>
            <w:r w:rsidR="00E86209" w:rsidRPr="00C906AC">
              <w:rPr>
                <w:caps w:val="0"/>
                <w:noProof w:val="0"/>
              </w:rPr>
              <w:t xml:space="preserve"> (pyrene)</w:t>
            </w:r>
          </w:p>
        </w:tc>
        <w:tc>
          <w:tcPr>
            <w:tcW w:w="1276" w:type="dxa"/>
          </w:tcPr>
          <w:p w:rsidR="00967E21" w:rsidRPr="00C906AC" w:rsidRDefault="00E86209" w:rsidP="00A4399E">
            <w:pPr>
              <w:spacing w:after="0"/>
              <w:ind w:left="-108" w:right="-108" w:firstLine="221"/>
              <w:rPr>
                <w:sz w:val="20"/>
              </w:rPr>
            </w:pPr>
            <w:r w:rsidRPr="00C906AC">
              <w:rPr>
                <w:sz w:val="20"/>
              </w:rPr>
              <w:t xml:space="preserve">273 </w:t>
            </w:r>
          </w:p>
        </w:tc>
        <w:tc>
          <w:tcPr>
            <w:tcW w:w="2409" w:type="dxa"/>
          </w:tcPr>
          <w:p w:rsidR="00967E21" w:rsidRPr="00C906AC" w:rsidRDefault="00E86209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 w:rsidRPr="00C906AC">
              <w:rPr>
                <w:caps w:val="0"/>
              </w:rPr>
              <w:t>Gross and Bertram, (2008)</w:t>
            </w:r>
          </w:p>
        </w:tc>
        <w:tc>
          <w:tcPr>
            <w:tcW w:w="2552" w:type="dxa"/>
          </w:tcPr>
          <w:p w:rsidR="00967E21" w:rsidRPr="00C906AC" w:rsidRDefault="00E86209" w:rsidP="006E7C85">
            <w:pPr>
              <w:spacing w:after="0"/>
              <w:ind w:left="113" w:right="113"/>
              <w:rPr>
                <w:sz w:val="20"/>
              </w:rPr>
            </w:pPr>
            <w:r w:rsidRPr="00C906AC">
              <w:rPr>
                <w:sz w:val="20"/>
              </w:rPr>
              <w:t>CWFT-CIMS (b)</w:t>
            </w:r>
          </w:p>
        </w:tc>
      </w:tr>
      <w:tr w:rsidR="00CB3305" w:rsidRPr="00A61F8D" w:rsidTr="00793351">
        <w:tc>
          <w:tcPr>
            <w:tcW w:w="3227" w:type="dxa"/>
          </w:tcPr>
          <w:p w:rsidR="00CB3305" w:rsidRPr="00C906AC" w:rsidRDefault="00527269" w:rsidP="00E8620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before="40" w:after="40"/>
              <w:ind w:right="113"/>
              <w:rPr>
                <w:caps w:val="0"/>
                <w:noProof w:val="0"/>
                <w:spacing w:val="-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</w:rPr>
                    <m:t>0.79</m:t>
                  </m:r>
                </m:e>
                <m:sub>
                  <m:r>
                    <w:rPr>
                      <w:rFonts w:ascii="Cambria Math" w:hAnsi="Cambria Math"/>
                      <w:caps w:val="0"/>
                    </w:rPr>
                    <m:t>-0.67</m:t>
                  </m:r>
                </m:sub>
                <m:sup>
                  <m:r>
                    <w:rPr>
                      <w:rFonts w:ascii="Cambria Math" w:hAnsi="Cambria Math"/>
                      <w:caps w:val="0"/>
                    </w:rPr>
                    <m:t>+ 0.21</m:t>
                  </m:r>
                </m:sup>
              </m:sSubSup>
            </m:oMath>
            <w:r w:rsidR="00E86209" w:rsidRPr="00C906AC">
              <w:rPr>
                <w:caps w:val="0"/>
                <w:noProof w:val="0"/>
              </w:rPr>
              <w:t xml:space="preserve"> (pyrene)</w:t>
            </w:r>
          </w:p>
        </w:tc>
        <w:tc>
          <w:tcPr>
            <w:tcW w:w="1276" w:type="dxa"/>
          </w:tcPr>
          <w:p w:rsidR="00CB3305" w:rsidRPr="00C906AC" w:rsidRDefault="00E86209" w:rsidP="003379EB">
            <w:pPr>
              <w:spacing w:after="0"/>
              <w:ind w:left="113" w:right="113"/>
              <w:rPr>
                <w:sz w:val="20"/>
              </w:rPr>
            </w:pPr>
            <w:r w:rsidRPr="00C906AC">
              <w:rPr>
                <w:sz w:val="20"/>
              </w:rPr>
              <w:t>293 - 297</w:t>
            </w:r>
          </w:p>
        </w:tc>
        <w:tc>
          <w:tcPr>
            <w:tcW w:w="2409" w:type="dxa"/>
          </w:tcPr>
          <w:p w:rsidR="00CB3305" w:rsidRPr="00C906AC" w:rsidRDefault="00CB3305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CB3305" w:rsidRPr="00C906AC" w:rsidRDefault="00CB3305" w:rsidP="003379EB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CB3305" w:rsidRPr="00A61F8D" w:rsidTr="00793351">
        <w:tc>
          <w:tcPr>
            <w:tcW w:w="3227" w:type="dxa"/>
          </w:tcPr>
          <w:p w:rsidR="00CB3305" w:rsidRPr="00C906AC" w:rsidRDefault="00527269" w:rsidP="00CB3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</w:rPr>
                    <m:t>0.059</m:t>
                  </m:r>
                </m:e>
                <m:sub>
                  <m:r>
                    <w:rPr>
                      <w:rFonts w:ascii="Cambria Math" w:hAnsi="Cambria Math"/>
                      <w:caps w:val="0"/>
                    </w:rPr>
                    <m:t>-0.049</m:t>
                  </m:r>
                </m:sub>
                <m:sup>
                  <m:r>
                    <w:rPr>
                      <w:rFonts w:ascii="Cambria Math" w:hAnsi="Cambria Math"/>
                      <w:caps w:val="0"/>
                    </w:rPr>
                    <m:t>+ 0.11</m:t>
                  </m:r>
                </m:sup>
              </m:sSubSup>
            </m:oMath>
            <w:r w:rsidR="009739AF" w:rsidRPr="00C906AC">
              <w:rPr>
                <w:caps w:val="0"/>
                <w:noProof w:val="0"/>
              </w:rPr>
              <w:t xml:space="preserve"> (benz[a]anthracene)</w:t>
            </w:r>
          </w:p>
        </w:tc>
        <w:tc>
          <w:tcPr>
            <w:tcW w:w="1276" w:type="dxa"/>
          </w:tcPr>
          <w:p w:rsidR="00CB3305" w:rsidRPr="00C906AC" w:rsidRDefault="009739AF" w:rsidP="00A4399E">
            <w:pPr>
              <w:spacing w:after="0"/>
              <w:ind w:left="113" w:right="113"/>
              <w:rPr>
                <w:sz w:val="20"/>
              </w:rPr>
            </w:pPr>
            <w:r w:rsidRPr="00C906AC">
              <w:rPr>
                <w:sz w:val="20"/>
              </w:rPr>
              <w:t>273</w:t>
            </w:r>
          </w:p>
        </w:tc>
        <w:tc>
          <w:tcPr>
            <w:tcW w:w="2409" w:type="dxa"/>
          </w:tcPr>
          <w:p w:rsidR="00CB3305" w:rsidRPr="00C906AC" w:rsidRDefault="00CB3305" w:rsidP="00C0291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CB3305" w:rsidRPr="00C906AC" w:rsidRDefault="00CB3305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739AF" w:rsidRPr="00A61F8D" w:rsidTr="00793351">
        <w:tc>
          <w:tcPr>
            <w:tcW w:w="3227" w:type="dxa"/>
          </w:tcPr>
          <w:p w:rsidR="009739AF" w:rsidRPr="00C906AC" w:rsidRDefault="00527269" w:rsidP="009739A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before="40" w:after="40"/>
              <w:ind w:right="113"/>
              <w:rPr>
                <w:caps w:val="0"/>
                <w:noProof w:val="0"/>
                <w:spacing w:val="-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</w:rPr>
                    <m:t>0.13</m:t>
                  </m:r>
                </m:e>
                <m:sub>
                  <m:r>
                    <w:rPr>
                      <w:rFonts w:ascii="Cambria Math" w:hAnsi="Cambria Math"/>
                      <w:caps w:val="0"/>
                    </w:rPr>
                    <m:t>-0.096</m:t>
                  </m:r>
                </m:sub>
                <m:sup>
                  <m:r>
                    <w:rPr>
                      <w:rFonts w:ascii="Cambria Math" w:hAnsi="Cambria Math"/>
                      <w:caps w:val="0"/>
                    </w:rPr>
                    <m:t>+ 0.53</m:t>
                  </m:r>
                </m:sup>
              </m:sSubSup>
            </m:oMath>
            <w:r w:rsidR="009739AF" w:rsidRPr="00C906AC">
              <w:rPr>
                <w:caps w:val="0"/>
                <w:noProof w:val="0"/>
              </w:rPr>
              <w:t xml:space="preserve"> (</w:t>
            </w:r>
            <w:proofErr w:type="spellStart"/>
            <w:r w:rsidR="009739AF" w:rsidRPr="00C906AC">
              <w:rPr>
                <w:caps w:val="0"/>
                <w:noProof w:val="0"/>
              </w:rPr>
              <w:t>benz</w:t>
            </w:r>
            <w:proofErr w:type="spellEnd"/>
            <w:r w:rsidR="009739AF" w:rsidRPr="00C906AC">
              <w:rPr>
                <w:caps w:val="0"/>
                <w:noProof w:val="0"/>
              </w:rPr>
              <w:t>[a]anthracene)</w:t>
            </w:r>
          </w:p>
        </w:tc>
        <w:tc>
          <w:tcPr>
            <w:tcW w:w="1276" w:type="dxa"/>
          </w:tcPr>
          <w:p w:rsidR="009739AF" w:rsidRPr="00C906AC" w:rsidRDefault="009739AF" w:rsidP="0072520C">
            <w:pPr>
              <w:spacing w:after="0"/>
              <w:ind w:left="113" w:right="113"/>
              <w:rPr>
                <w:sz w:val="20"/>
              </w:rPr>
            </w:pPr>
            <w:r w:rsidRPr="00C906AC">
              <w:rPr>
                <w:sz w:val="20"/>
              </w:rPr>
              <w:t>293 - 297</w:t>
            </w:r>
          </w:p>
        </w:tc>
        <w:tc>
          <w:tcPr>
            <w:tcW w:w="2409" w:type="dxa"/>
          </w:tcPr>
          <w:p w:rsidR="009739AF" w:rsidRPr="00C906AC" w:rsidRDefault="009739AF" w:rsidP="00C0291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9739AF" w:rsidRPr="00C906AC" w:rsidRDefault="009739AF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739AF" w:rsidRPr="00A61F8D" w:rsidTr="00793351">
        <w:tc>
          <w:tcPr>
            <w:tcW w:w="3227" w:type="dxa"/>
          </w:tcPr>
          <w:p w:rsidR="009739AF" w:rsidRPr="00C906AC" w:rsidRDefault="00527269" w:rsidP="008E733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</w:rPr>
                    <m:t>0.087</m:t>
                  </m:r>
                </m:e>
                <m:sub>
                  <m:r>
                    <w:rPr>
                      <w:rFonts w:ascii="Cambria Math" w:hAnsi="Cambria Math"/>
                      <w:caps w:val="0"/>
                    </w:rPr>
                    <m:t>-0.063</m:t>
                  </m:r>
                </m:sub>
                <m:sup>
                  <m:r>
                    <w:rPr>
                      <w:rFonts w:ascii="Cambria Math" w:hAnsi="Cambria Math"/>
                      <w:caps w:val="0"/>
                    </w:rPr>
                    <m:t>+ 0.28</m:t>
                  </m:r>
                </m:sup>
              </m:sSubSup>
            </m:oMath>
            <w:r w:rsidR="009739AF" w:rsidRPr="00C906AC">
              <w:rPr>
                <w:caps w:val="0"/>
                <w:noProof w:val="0"/>
              </w:rPr>
              <w:t xml:space="preserve"> (</w:t>
            </w:r>
            <w:proofErr w:type="spellStart"/>
            <w:r w:rsidR="008E7338" w:rsidRPr="00C906AC">
              <w:rPr>
                <w:caps w:val="0"/>
                <w:noProof w:val="0"/>
              </w:rPr>
              <w:t>fluoranthene</w:t>
            </w:r>
            <w:proofErr w:type="spellEnd"/>
            <w:r w:rsidR="009739AF" w:rsidRPr="00C906AC">
              <w:rPr>
                <w:caps w:val="0"/>
                <w:noProof w:val="0"/>
              </w:rPr>
              <w:t>)</w:t>
            </w:r>
          </w:p>
        </w:tc>
        <w:tc>
          <w:tcPr>
            <w:tcW w:w="1276" w:type="dxa"/>
          </w:tcPr>
          <w:p w:rsidR="009739AF" w:rsidRPr="00C906AC" w:rsidRDefault="009739AF" w:rsidP="0072520C">
            <w:pPr>
              <w:spacing w:after="0"/>
              <w:ind w:left="113" w:right="113"/>
              <w:rPr>
                <w:sz w:val="20"/>
              </w:rPr>
            </w:pPr>
            <w:r w:rsidRPr="00C906AC">
              <w:rPr>
                <w:sz w:val="20"/>
              </w:rPr>
              <w:t>273</w:t>
            </w:r>
          </w:p>
        </w:tc>
        <w:tc>
          <w:tcPr>
            <w:tcW w:w="2409" w:type="dxa"/>
          </w:tcPr>
          <w:p w:rsidR="009739AF" w:rsidRPr="00C906AC" w:rsidRDefault="009739AF" w:rsidP="0072520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9739AF" w:rsidRPr="00C906AC" w:rsidRDefault="009739AF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6655EC" w:rsidRPr="00A61F8D" w:rsidTr="00793351">
        <w:tc>
          <w:tcPr>
            <w:tcW w:w="3227" w:type="dxa"/>
          </w:tcPr>
          <w:p w:rsidR="006655EC" w:rsidRPr="00C906AC" w:rsidRDefault="006655EC" w:rsidP="006655E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</w:rPr>
            </w:pPr>
            <w:r>
              <w:rPr>
                <w:caps w:val="0"/>
              </w:rPr>
              <w:t>0.02-0.03 (</w:t>
            </w:r>
            <w:r w:rsidRPr="006655EC">
              <w:rPr>
                <w:caps w:val="0"/>
              </w:rPr>
              <w:t>nitroguaiaco</w:t>
            </w:r>
            <w:r>
              <w:rPr>
                <w:caps w:val="0"/>
              </w:rPr>
              <w:t>l)</w:t>
            </w:r>
          </w:p>
        </w:tc>
        <w:tc>
          <w:tcPr>
            <w:tcW w:w="1276" w:type="dxa"/>
          </w:tcPr>
          <w:p w:rsidR="006655EC" w:rsidRPr="00C906AC" w:rsidRDefault="006655EC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2409" w:type="dxa"/>
          </w:tcPr>
          <w:p w:rsidR="006655EC" w:rsidRPr="00C906AC" w:rsidRDefault="006655EC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Knopf et al., (2011)</w:t>
            </w:r>
          </w:p>
        </w:tc>
        <w:tc>
          <w:tcPr>
            <w:tcW w:w="2552" w:type="dxa"/>
          </w:tcPr>
          <w:p w:rsidR="006655EC" w:rsidRDefault="006655EC" w:rsidP="00793351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CWFT-CIMS (c)</w:t>
            </w:r>
          </w:p>
        </w:tc>
      </w:tr>
      <w:tr w:rsidR="009739AF" w:rsidRPr="00A61F8D" w:rsidTr="00793351">
        <w:tc>
          <w:tcPr>
            <w:tcW w:w="3227" w:type="dxa"/>
          </w:tcPr>
          <w:p w:rsidR="009739AF" w:rsidRPr="00C906AC" w:rsidRDefault="00C906AC" w:rsidP="00CB3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</w:rPr>
            </w:pPr>
            <w:r w:rsidRPr="00C906AC">
              <w:rPr>
                <w:caps w:val="0"/>
              </w:rPr>
              <w:t>0.37 (pyrene)</w:t>
            </w:r>
          </w:p>
        </w:tc>
        <w:tc>
          <w:tcPr>
            <w:tcW w:w="1276" w:type="dxa"/>
          </w:tcPr>
          <w:p w:rsidR="009739AF" w:rsidRPr="00C906AC" w:rsidRDefault="00C906AC" w:rsidP="006E7C85">
            <w:pPr>
              <w:spacing w:after="0"/>
              <w:ind w:left="113" w:right="113"/>
              <w:rPr>
                <w:sz w:val="20"/>
              </w:rPr>
            </w:pPr>
            <w:r w:rsidRPr="00C906AC">
              <w:rPr>
                <w:sz w:val="20"/>
              </w:rPr>
              <w:t>287</w:t>
            </w:r>
          </w:p>
        </w:tc>
        <w:tc>
          <w:tcPr>
            <w:tcW w:w="2409" w:type="dxa"/>
          </w:tcPr>
          <w:p w:rsidR="009739AF" w:rsidRPr="00C906AC" w:rsidRDefault="00C906AC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 w:rsidRPr="00C906AC">
              <w:rPr>
                <w:caps w:val="0"/>
              </w:rPr>
              <w:t>Liu et al., (2012)</w:t>
            </w:r>
          </w:p>
        </w:tc>
        <w:tc>
          <w:tcPr>
            <w:tcW w:w="2552" w:type="dxa"/>
          </w:tcPr>
          <w:p w:rsidR="009739AF" w:rsidRPr="00C906AC" w:rsidRDefault="00C906AC" w:rsidP="00793351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Chamber</w:t>
            </w:r>
            <w:r w:rsidR="00793351">
              <w:rPr>
                <w:sz w:val="20"/>
              </w:rPr>
              <w:t xml:space="preserve"> </w:t>
            </w:r>
            <w:r>
              <w:rPr>
                <w:sz w:val="20"/>
              </w:rPr>
              <w:t>AMS</w:t>
            </w:r>
            <w:r w:rsidR="00793351">
              <w:rPr>
                <w:sz w:val="20"/>
              </w:rPr>
              <w:t>/GC-MS</w:t>
            </w:r>
            <w:r w:rsidR="006655EC">
              <w:rPr>
                <w:sz w:val="20"/>
              </w:rPr>
              <w:t xml:space="preserve"> (d</w:t>
            </w:r>
            <w:r>
              <w:rPr>
                <w:sz w:val="20"/>
              </w:rPr>
              <w:t>)</w:t>
            </w:r>
          </w:p>
        </w:tc>
      </w:tr>
      <w:tr w:rsidR="009739AF" w:rsidRPr="00A61F8D" w:rsidTr="00793351">
        <w:tc>
          <w:tcPr>
            <w:tcW w:w="3227" w:type="dxa"/>
          </w:tcPr>
          <w:p w:rsidR="009739AF" w:rsidRPr="00C906AC" w:rsidRDefault="0065682C" w:rsidP="00876A5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>0.06 (1-nitro-pyrene)</w:t>
            </w:r>
          </w:p>
        </w:tc>
        <w:tc>
          <w:tcPr>
            <w:tcW w:w="1276" w:type="dxa"/>
          </w:tcPr>
          <w:p w:rsidR="009739AF" w:rsidRPr="00C906AC" w:rsidRDefault="0065682C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2409" w:type="dxa"/>
          </w:tcPr>
          <w:p w:rsidR="009739AF" w:rsidRPr="00C906AC" w:rsidRDefault="009739AF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9739AF" w:rsidRPr="00C906AC" w:rsidRDefault="009739AF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739AF" w:rsidRPr="00A61F8D" w:rsidTr="00793351">
        <w:tc>
          <w:tcPr>
            <w:tcW w:w="3227" w:type="dxa"/>
          </w:tcPr>
          <w:p w:rsidR="009739AF" w:rsidRPr="00C906AC" w:rsidRDefault="0065682C" w:rsidP="00930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>0.57 (1-hydroxy-pyrene)</w:t>
            </w:r>
          </w:p>
        </w:tc>
        <w:tc>
          <w:tcPr>
            <w:tcW w:w="1276" w:type="dxa"/>
          </w:tcPr>
          <w:p w:rsidR="009739AF" w:rsidRPr="00C906AC" w:rsidRDefault="0065682C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2409" w:type="dxa"/>
          </w:tcPr>
          <w:p w:rsidR="009739AF" w:rsidRPr="00C906AC" w:rsidRDefault="009739AF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9739AF" w:rsidRPr="00C906AC" w:rsidRDefault="009739AF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739AF" w:rsidRPr="00A61F8D" w:rsidTr="00793351">
        <w:tc>
          <w:tcPr>
            <w:tcW w:w="3227" w:type="dxa"/>
          </w:tcPr>
          <w:p w:rsidR="009739AF" w:rsidRPr="00C906AC" w:rsidRDefault="00793351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>0.29 (</w:t>
            </w:r>
            <w:proofErr w:type="spellStart"/>
            <w:r>
              <w:rPr>
                <w:caps w:val="0"/>
                <w:noProof w:val="0"/>
                <w:spacing w:val="-2"/>
              </w:rPr>
              <w:t>benz</w:t>
            </w:r>
            <w:proofErr w:type="spellEnd"/>
            <w:r>
              <w:rPr>
                <w:caps w:val="0"/>
                <w:noProof w:val="0"/>
                <w:spacing w:val="-2"/>
              </w:rPr>
              <w:t>[a]anthracene)</w:t>
            </w:r>
          </w:p>
        </w:tc>
        <w:tc>
          <w:tcPr>
            <w:tcW w:w="1276" w:type="dxa"/>
          </w:tcPr>
          <w:p w:rsidR="009739AF" w:rsidRPr="00C906AC" w:rsidRDefault="00793351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2409" w:type="dxa"/>
          </w:tcPr>
          <w:p w:rsidR="009739AF" w:rsidRPr="00C906AC" w:rsidRDefault="009739AF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9739AF" w:rsidRPr="00C906AC" w:rsidRDefault="009739AF" w:rsidP="003379EB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739AF" w:rsidRPr="00A61F8D" w:rsidTr="00793351">
        <w:tc>
          <w:tcPr>
            <w:tcW w:w="3227" w:type="dxa"/>
          </w:tcPr>
          <w:p w:rsidR="009739AF" w:rsidRPr="00C906AC" w:rsidRDefault="00793351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 w:line="280" w:lineRule="exact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>0.18 (chrysene)</w:t>
            </w:r>
          </w:p>
        </w:tc>
        <w:tc>
          <w:tcPr>
            <w:tcW w:w="1276" w:type="dxa"/>
          </w:tcPr>
          <w:p w:rsidR="009739AF" w:rsidRPr="00C906AC" w:rsidRDefault="00793351" w:rsidP="003379EB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2409" w:type="dxa"/>
          </w:tcPr>
          <w:p w:rsidR="009739AF" w:rsidRPr="00C906AC" w:rsidRDefault="009739AF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2552" w:type="dxa"/>
          </w:tcPr>
          <w:p w:rsidR="009739AF" w:rsidRPr="00C906AC" w:rsidRDefault="009739AF" w:rsidP="003379EB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739AF" w:rsidRPr="00A61F8D" w:rsidTr="00793351">
        <w:tc>
          <w:tcPr>
            <w:tcW w:w="3227" w:type="dxa"/>
            <w:tcBorders>
              <w:bottom w:val="single" w:sz="4" w:space="0" w:color="auto"/>
            </w:tcBorders>
          </w:tcPr>
          <w:p w:rsidR="009739AF" w:rsidRPr="00A61F8D" w:rsidRDefault="009739AF" w:rsidP="001D62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noProof w:val="0"/>
                <w:spacing w:val="-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9AF" w:rsidRPr="00A61F8D" w:rsidRDefault="009739AF">
            <w:pPr>
              <w:spacing w:line="264" w:lineRule="auto"/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39AF" w:rsidRPr="00A61F8D" w:rsidRDefault="009739AF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rPr>
                <w:caps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39AF" w:rsidRPr="00A61F8D" w:rsidRDefault="009739AF">
            <w:pPr>
              <w:spacing w:line="264" w:lineRule="auto"/>
              <w:rPr>
                <w:sz w:val="20"/>
              </w:rPr>
            </w:pPr>
          </w:p>
        </w:tc>
      </w:tr>
    </w:tbl>
    <w:p w:rsidR="00D764C1" w:rsidRPr="00D764C1" w:rsidRDefault="00D764C1" w:rsidP="00D764C1">
      <w:pPr>
        <w:pStyle w:val="IUPACTitle"/>
        <w:jc w:val="left"/>
        <w:rPr>
          <w:b w:val="0"/>
        </w:rPr>
      </w:pPr>
      <w:r w:rsidRPr="00D764C1">
        <w:rPr>
          <w:b w:val="0"/>
        </w:rPr>
        <w:t>Pyrene is C</w:t>
      </w:r>
      <w:r w:rsidRPr="00D764C1">
        <w:rPr>
          <w:b w:val="0"/>
          <w:vertAlign w:val="subscript"/>
        </w:rPr>
        <w:t>16</w:t>
      </w:r>
      <w:r w:rsidRPr="00D764C1">
        <w:rPr>
          <w:b w:val="0"/>
        </w:rPr>
        <w:t>H</w:t>
      </w:r>
      <w:r w:rsidRPr="00D764C1">
        <w:rPr>
          <w:b w:val="0"/>
          <w:vertAlign w:val="subscript"/>
        </w:rPr>
        <w:t>10</w:t>
      </w:r>
      <w:r w:rsidRPr="00D764C1">
        <w:rPr>
          <w:b w:val="0"/>
        </w:rPr>
        <w:t xml:space="preserve"> (</w:t>
      </w:r>
      <w:proofErr w:type="gramStart"/>
      <w:r w:rsidRPr="00D764C1">
        <w:rPr>
          <w:b w:val="0"/>
        </w:rPr>
        <w:t>benzo[</w:t>
      </w:r>
      <w:proofErr w:type="spellStart"/>
      <w:proofErr w:type="gramEnd"/>
      <w:r w:rsidRPr="00D764C1">
        <w:rPr>
          <w:b w:val="0"/>
        </w:rPr>
        <w:t>def</w:t>
      </w:r>
      <w:proofErr w:type="spellEnd"/>
      <w:r w:rsidRPr="00D764C1">
        <w:rPr>
          <w:b w:val="0"/>
        </w:rPr>
        <w:t>]</w:t>
      </w:r>
      <w:proofErr w:type="spellStart"/>
      <w:r w:rsidRPr="00D764C1">
        <w:rPr>
          <w:b w:val="0"/>
        </w:rPr>
        <w:t>phenanthrene</w:t>
      </w:r>
      <w:proofErr w:type="spellEnd"/>
      <w:r w:rsidRPr="00D764C1">
        <w:rPr>
          <w:b w:val="0"/>
        </w:rPr>
        <w:t xml:space="preserve">), </w:t>
      </w:r>
      <w:proofErr w:type="spellStart"/>
      <w:r w:rsidRPr="00D764C1">
        <w:rPr>
          <w:b w:val="0"/>
        </w:rPr>
        <w:t>benz</w:t>
      </w:r>
      <w:proofErr w:type="spellEnd"/>
      <w:r w:rsidRPr="00D764C1">
        <w:rPr>
          <w:b w:val="0"/>
        </w:rPr>
        <w:t>[a]anthracene is C</w:t>
      </w:r>
      <w:r w:rsidRPr="00D764C1">
        <w:rPr>
          <w:b w:val="0"/>
          <w:vertAlign w:val="subscript"/>
        </w:rPr>
        <w:t>18</w:t>
      </w:r>
      <w:r w:rsidRPr="00D764C1">
        <w:rPr>
          <w:b w:val="0"/>
        </w:rPr>
        <w:t>H</w:t>
      </w:r>
      <w:r w:rsidRPr="00D764C1">
        <w:rPr>
          <w:b w:val="0"/>
          <w:vertAlign w:val="subscript"/>
        </w:rPr>
        <w:t>12</w:t>
      </w:r>
      <w:r w:rsidRPr="00D764C1">
        <w:rPr>
          <w:b w:val="0"/>
        </w:rPr>
        <w:t xml:space="preserve">, </w:t>
      </w:r>
      <w:proofErr w:type="spellStart"/>
      <w:r w:rsidRPr="00D764C1">
        <w:rPr>
          <w:b w:val="0"/>
        </w:rPr>
        <w:t>Fluoranthene</w:t>
      </w:r>
      <w:proofErr w:type="spellEnd"/>
      <w:r w:rsidRPr="00D764C1">
        <w:rPr>
          <w:b w:val="0"/>
        </w:rPr>
        <w:t xml:space="preserve"> is C</w:t>
      </w:r>
      <w:r w:rsidRPr="00D764C1">
        <w:rPr>
          <w:b w:val="0"/>
          <w:vertAlign w:val="subscript"/>
        </w:rPr>
        <w:t>16</w:t>
      </w:r>
      <w:r w:rsidRPr="00D764C1">
        <w:rPr>
          <w:b w:val="0"/>
        </w:rPr>
        <w:t>H</w:t>
      </w:r>
      <w:r w:rsidRPr="00D764C1">
        <w:rPr>
          <w:b w:val="0"/>
          <w:vertAlign w:val="subscript"/>
        </w:rPr>
        <w:t>10</w:t>
      </w:r>
      <w:r w:rsidRPr="00D764C1">
        <w:rPr>
          <w:b w:val="0"/>
        </w:rPr>
        <w:t xml:space="preserve">, </w:t>
      </w:r>
      <w:proofErr w:type="spellStart"/>
      <w:r w:rsidRPr="00D764C1">
        <w:rPr>
          <w:b w:val="0"/>
        </w:rPr>
        <w:t>nitroguaiacol</w:t>
      </w:r>
      <w:proofErr w:type="spellEnd"/>
      <w:r w:rsidRPr="00D764C1">
        <w:rPr>
          <w:b w:val="0"/>
        </w:rPr>
        <w:t xml:space="preserve"> (C</w:t>
      </w:r>
      <w:r w:rsidRPr="00D764C1">
        <w:rPr>
          <w:b w:val="0"/>
          <w:vertAlign w:val="subscript"/>
        </w:rPr>
        <w:t>7</w:t>
      </w:r>
      <w:r w:rsidRPr="00D764C1">
        <w:rPr>
          <w:b w:val="0"/>
        </w:rPr>
        <w:t>H</w:t>
      </w:r>
      <w:r w:rsidRPr="00D764C1">
        <w:rPr>
          <w:b w:val="0"/>
          <w:vertAlign w:val="subscript"/>
        </w:rPr>
        <w:t>7</w:t>
      </w:r>
      <w:r w:rsidRPr="00D764C1">
        <w:rPr>
          <w:b w:val="0"/>
        </w:rPr>
        <w:t>NO</w:t>
      </w:r>
      <w:r w:rsidRPr="00D764C1">
        <w:rPr>
          <w:b w:val="0"/>
          <w:vertAlign w:val="subscript"/>
        </w:rPr>
        <w:t>4</w:t>
      </w:r>
      <w:r w:rsidRPr="00D764C1">
        <w:rPr>
          <w:b w:val="0"/>
        </w:rPr>
        <w:t xml:space="preserve">) </w:t>
      </w:r>
      <w:r w:rsidRPr="00D764C1">
        <w:rPr>
          <w:b w:val="0"/>
          <w:szCs w:val="24"/>
        </w:rPr>
        <w:t xml:space="preserve">is 2-methoxy-5-nitrophenol, </w:t>
      </w:r>
      <w:proofErr w:type="spellStart"/>
      <w:r w:rsidRPr="00D764C1">
        <w:rPr>
          <w:b w:val="0"/>
          <w:szCs w:val="24"/>
        </w:rPr>
        <w:t>c</w:t>
      </w:r>
      <w:r w:rsidRPr="00D764C1">
        <w:rPr>
          <w:b w:val="0"/>
        </w:rPr>
        <w:t>hyrsene</w:t>
      </w:r>
      <w:proofErr w:type="spellEnd"/>
      <w:r w:rsidRPr="00D764C1">
        <w:rPr>
          <w:b w:val="0"/>
        </w:rPr>
        <w:t xml:space="preserve"> (C</w:t>
      </w:r>
      <w:r w:rsidRPr="00D764C1">
        <w:rPr>
          <w:b w:val="0"/>
          <w:vertAlign w:val="subscript"/>
        </w:rPr>
        <w:t>18</w:t>
      </w:r>
      <w:r w:rsidRPr="00D764C1">
        <w:rPr>
          <w:b w:val="0"/>
        </w:rPr>
        <w:t>H</w:t>
      </w:r>
      <w:r w:rsidRPr="00D764C1">
        <w:rPr>
          <w:b w:val="0"/>
          <w:vertAlign w:val="subscript"/>
        </w:rPr>
        <w:t>12</w:t>
      </w:r>
      <w:r w:rsidRPr="00D764C1">
        <w:rPr>
          <w:b w:val="0"/>
        </w:rPr>
        <w:t>) is 1,2-Benzophenanthrene.</w:t>
      </w:r>
    </w:p>
    <w:p w:rsidR="00D764C1" w:rsidRDefault="00D764C1" w:rsidP="00D764C1">
      <w:pPr>
        <w:pStyle w:val="IUPACTitle"/>
      </w:pPr>
    </w:p>
    <w:p w:rsidR="00D764C1" w:rsidRDefault="00D764C1" w:rsidP="00D764C1">
      <w:pPr>
        <w:pStyle w:val="IUPACTitle"/>
      </w:pPr>
    </w:p>
    <w:p w:rsidR="00D764C1" w:rsidRDefault="00D764C1" w:rsidP="00D764C1">
      <w:pPr>
        <w:pStyle w:val="IUPACTitle"/>
      </w:pPr>
    </w:p>
    <w:p w:rsidR="00CA6636" w:rsidRPr="00D764C1" w:rsidRDefault="002F5C5A" w:rsidP="00D764C1">
      <w:pPr>
        <w:pStyle w:val="IUPACTitle"/>
      </w:pPr>
      <w:r w:rsidRPr="00D764C1">
        <w:t>Comments</w:t>
      </w:r>
    </w:p>
    <w:p w:rsidR="00CA6636" w:rsidRPr="00CA6636" w:rsidRDefault="00CA6636" w:rsidP="00CA6636">
      <w:pPr>
        <w:rPr>
          <w:lang w:val="en-AU"/>
        </w:rPr>
      </w:pPr>
    </w:p>
    <w:p w:rsidR="002D6B80" w:rsidRPr="005C5201" w:rsidRDefault="00E86209" w:rsidP="00C906AC">
      <w:pPr>
        <w:pStyle w:val="IUPACexpcommenttext"/>
      </w:pPr>
      <w:r w:rsidRPr="00122D9B">
        <w:t>NO</w:t>
      </w:r>
      <w:r w:rsidRPr="00122D9B">
        <w:rPr>
          <w:vertAlign w:val="subscript"/>
        </w:rPr>
        <w:t>3</w:t>
      </w:r>
      <w:r w:rsidRPr="00122D9B">
        <w:t xml:space="preserve"> (</w:t>
      </w:r>
      <w:r>
        <w:t>7-40</w:t>
      </w:r>
      <w:r w:rsidRPr="00122D9B">
        <w:t xml:space="preserve"> </w:t>
      </w:r>
      <w:r w:rsidRPr="00122D9B">
        <w:sym w:font="Symbol" w:char="F0B4"/>
      </w:r>
      <w:r w:rsidRPr="00122D9B">
        <w:t xml:space="preserve"> 10</w:t>
      </w:r>
      <w:r w:rsidRPr="00122D9B">
        <w:rPr>
          <w:vertAlign w:val="superscript"/>
        </w:rPr>
        <w:t>10</w:t>
      </w:r>
      <w:r w:rsidRPr="00122D9B">
        <w:t xml:space="preserve"> molecule cm</w:t>
      </w:r>
      <w:r w:rsidRPr="00122D9B">
        <w:rPr>
          <w:vertAlign w:val="superscript"/>
        </w:rPr>
        <w:noBreakHyphen/>
        <w:t>3</w:t>
      </w:r>
      <w:r w:rsidRPr="00122D9B">
        <w:t>) was formed by the thermal dissociation of N</w:t>
      </w:r>
      <w:r w:rsidRPr="00122D9B">
        <w:rPr>
          <w:vertAlign w:val="subscript"/>
        </w:rPr>
        <w:t>2</w:t>
      </w:r>
      <w:r w:rsidRPr="00122D9B">
        <w:t>O</w:t>
      </w:r>
      <w:r w:rsidRPr="00122D9B">
        <w:rPr>
          <w:vertAlign w:val="subscript"/>
        </w:rPr>
        <w:t>5</w:t>
      </w:r>
      <w:r w:rsidRPr="00122D9B">
        <w:t xml:space="preserve"> and detected following ionisation by I</w:t>
      </w:r>
      <w:r w:rsidRPr="00122D9B">
        <w:rPr>
          <w:vertAlign w:val="superscript"/>
        </w:rPr>
        <w:t>-</w:t>
      </w:r>
      <w:r w:rsidRPr="00122D9B">
        <w:t xml:space="preserve">. </w:t>
      </w:r>
      <w:r w:rsidR="002F5C5A" w:rsidRPr="00793989">
        <w:t xml:space="preserve"> </w:t>
      </w:r>
      <w:r>
        <w:t>Pyrene surfaces were solid</w:t>
      </w:r>
      <w:r w:rsidR="005C36F3">
        <w:t>.</w:t>
      </w:r>
    </w:p>
    <w:p w:rsidR="005C36F3" w:rsidRDefault="00E86209" w:rsidP="00C906AC">
      <w:pPr>
        <w:pStyle w:val="IUPACexpcommenttext"/>
      </w:pPr>
      <w:r w:rsidRPr="00122D9B">
        <w:t>NO</w:t>
      </w:r>
      <w:r w:rsidRPr="00122D9B">
        <w:rPr>
          <w:vertAlign w:val="subscript"/>
        </w:rPr>
        <w:t>3</w:t>
      </w:r>
      <w:r w:rsidRPr="00122D9B">
        <w:t xml:space="preserve"> (</w:t>
      </w:r>
      <w:r>
        <w:t>3-37</w:t>
      </w:r>
      <w:r w:rsidRPr="00122D9B">
        <w:t xml:space="preserve"> </w:t>
      </w:r>
      <w:r w:rsidRPr="00122D9B">
        <w:sym w:font="Symbol" w:char="F0B4"/>
      </w:r>
      <w:r w:rsidRPr="00122D9B">
        <w:t xml:space="preserve"> 10</w:t>
      </w:r>
      <w:r w:rsidRPr="00122D9B">
        <w:rPr>
          <w:vertAlign w:val="superscript"/>
        </w:rPr>
        <w:t>10</w:t>
      </w:r>
      <w:r w:rsidRPr="00122D9B">
        <w:t xml:space="preserve"> molecule cm</w:t>
      </w:r>
      <w:r w:rsidRPr="00122D9B">
        <w:rPr>
          <w:vertAlign w:val="superscript"/>
        </w:rPr>
        <w:noBreakHyphen/>
        <w:t>3</w:t>
      </w:r>
      <w:r w:rsidRPr="00122D9B">
        <w:t>) was formed by the thermal dissociation of N</w:t>
      </w:r>
      <w:r w:rsidRPr="00122D9B">
        <w:rPr>
          <w:vertAlign w:val="subscript"/>
        </w:rPr>
        <w:t>2</w:t>
      </w:r>
      <w:r w:rsidRPr="00122D9B">
        <w:t>O</w:t>
      </w:r>
      <w:r w:rsidRPr="00122D9B">
        <w:rPr>
          <w:vertAlign w:val="subscript"/>
        </w:rPr>
        <w:t>5</w:t>
      </w:r>
      <w:r w:rsidRPr="00122D9B">
        <w:t xml:space="preserve"> and detected following ionisation by I</w:t>
      </w:r>
      <w:r w:rsidRPr="00122D9B">
        <w:rPr>
          <w:vertAlign w:val="superscript"/>
        </w:rPr>
        <w:t>-</w:t>
      </w:r>
      <w:r w:rsidRPr="00122D9B">
        <w:t>.</w:t>
      </w:r>
      <w:r w:rsidR="005C36F3">
        <w:t xml:space="preserve"> Pyrene surfaces were solid.</w:t>
      </w:r>
      <w:r w:rsidR="009739AF">
        <w:t xml:space="preserve"> The initial values of </w:t>
      </w:r>
      <w:r w:rsidR="009739AF" w:rsidRPr="00F801C1">
        <w:rPr>
          <w:color w:val="000000" w:themeColor="text1"/>
        </w:rPr>
        <w:sym w:font="Symbol" w:char="F067"/>
      </w:r>
      <w:r w:rsidR="009739AF">
        <w:t xml:space="preserve"> listed decreased with exposure to NO</w:t>
      </w:r>
      <w:r w:rsidR="009739AF">
        <w:rPr>
          <w:vertAlign w:val="subscript"/>
        </w:rPr>
        <w:t>3</w:t>
      </w:r>
      <w:r w:rsidR="009739AF">
        <w:t xml:space="preserve"> for samples at 263 K. This effect was greatly reduced for </w:t>
      </w:r>
      <w:proofErr w:type="spellStart"/>
      <w:proofErr w:type="gramStart"/>
      <w:r w:rsidR="009739AF">
        <w:t>benz</w:t>
      </w:r>
      <w:proofErr w:type="spellEnd"/>
      <w:r w:rsidR="009739AF">
        <w:t>[</w:t>
      </w:r>
      <w:proofErr w:type="gramEnd"/>
      <w:r w:rsidR="009739AF">
        <w:t xml:space="preserve">a]anthracene, and absent for pyrene and </w:t>
      </w:r>
      <w:proofErr w:type="spellStart"/>
      <w:r w:rsidR="009739AF">
        <w:t>fluoranthene</w:t>
      </w:r>
      <w:proofErr w:type="spellEnd"/>
      <w:r w:rsidR="009739AF">
        <w:t xml:space="preserve"> at 297 K</w:t>
      </w:r>
      <w:r w:rsidR="008E7338">
        <w:t>.</w:t>
      </w:r>
    </w:p>
    <w:p w:rsidR="006655EC" w:rsidRPr="005C5201" w:rsidRDefault="00D764C1" w:rsidP="00C906AC">
      <w:pPr>
        <w:pStyle w:val="IUPACexpcommenttext"/>
      </w:pPr>
      <w:r w:rsidRPr="00D503B0">
        <w:t>NO</w:t>
      </w:r>
      <w:r w:rsidRPr="00D503B0">
        <w:rPr>
          <w:vertAlign w:val="subscript"/>
        </w:rPr>
        <w:t>3</w:t>
      </w:r>
      <w:r w:rsidRPr="00D503B0">
        <w:t xml:space="preserve"> (</w:t>
      </w:r>
      <w:r>
        <w:t>4</w:t>
      </w:r>
      <w:r w:rsidRPr="00D503B0">
        <w:t>-</w:t>
      </w:r>
      <w:r>
        <w:t>300</w:t>
      </w:r>
      <w:r w:rsidRPr="00D503B0">
        <w:t xml:space="preserve"> </w:t>
      </w:r>
      <w:r w:rsidRPr="00D503B0">
        <w:sym w:font="Symbol" w:char="F0B4"/>
      </w:r>
      <w:r w:rsidRPr="00D503B0">
        <w:t xml:space="preserve"> 10</w:t>
      </w:r>
      <w:r>
        <w:rPr>
          <w:vertAlign w:val="superscript"/>
        </w:rPr>
        <w:t>9</w:t>
      </w:r>
      <w:r w:rsidRPr="00D503B0">
        <w:t xml:space="preserve"> molecule cm</w:t>
      </w:r>
      <w:r w:rsidRPr="00D503B0">
        <w:rPr>
          <w:vertAlign w:val="superscript"/>
        </w:rPr>
        <w:noBreakHyphen/>
        <w:t>3</w:t>
      </w:r>
      <w:r w:rsidRPr="00D503B0">
        <w:t>) was formed by the thermal dissociation of N</w:t>
      </w:r>
      <w:r w:rsidRPr="00D503B0">
        <w:rPr>
          <w:vertAlign w:val="subscript"/>
        </w:rPr>
        <w:t>2</w:t>
      </w:r>
      <w:r w:rsidRPr="00D503B0">
        <w:t>O</w:t>
      </w:r>
      <w:r w:rsidRPr="00D503B0">
        <w:rPr>
          <w:vertAlign w:val="subscript"/>
        </w:rPr>
        <w:t>5</w:t>
      </w:r>
      <w:r w:rsidRPr="00D503B0">
        <w:t xml:space="preserve"> and detected following ionisation by I</w:t>
      </w:r>
      <w:r w:rsidRPr="00D503B0">
        <w:rPr>
          <w:vertAlign w:val="superscript"/>
        </w:rPr>
        <w:t>-</w:t>
      </w:r>
      <w:r w:rsidRPr="00D503B0">
        <w:t>.</w:t>
      </w:r>
      <w:r>
        <w:t xml:space="preserve"> The larger values of </w:t>
      </w:r>
      <w:r w:rsidRPr="009B20A1">
        <w:sym w:font="Symbol" w:char="F067"/>
      </w:r>
      <w:r w:rsidRPr="009B20A1">
        <w:rPr>
          <w:vertAlign w:val="subscript"/>
        </w:rPr>
        <w:t>0</w:t>
      </w:r>
      <w:r>
        <w:t xml:space="preserve"> were obtained when using low </w:t>
      </w:r>
      <w:r w:rsidRPr="009B20A1">
        <w:t>NO</w:t>
      </w:r>
      <w:r w:rsidRPr="009B20A1">
        <w:rPr>
          <w:vertAlign w:val="subscript"/>
        </w:rPr>
        <w:t>3</w:t>
      </w:r>
      <w:r>
        <w:t xml:space="preserve"> concentrations. </w:t>
      </w:r>
    </w:p>
    <w:p w:rsidR="002536C1" w:rsidRPr="00095115" w:rsidRDefault="00A42734" w:rsidP="00095115">
      <w:pPr>
        <w:pStyle w:val="IUPACexpcommenttext"/>
      </w:pPr>
      <w:r>
        <w:t>NO</w:t>
      </w:r>
      <w:r>
        <w:rPr>
          <w:vertAlign w:val="subscript"/>
        </w:rPr>
        <w:t>3</w:t>
      </w:r>
      <w:r>
        <w:t xml:space="preserve"> present in equilibrium mixtures of NO</w:t>
      </w:r>
      <w:r>
        <w:rPr>
          <w:vertAlign w:val="subscript"/>
        </w:rPr>
        <w:t>2</w:t>
      </w:r>
      <w:r>
        <w:t>-NO</w:t>
      </w:r>
      <w:r>
        <w:rPr>
          <w:vertAlign w:val="subscript"/>
        </w:rPr>
        <w:t>3</w:t>
      </w:r>
      <w:r>
        <w:t>-N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. </w:t>
      </w:r>
      <w:r w:rsidR="00793351">
        <w:t xml:space="preserve">Aromatics </w:t>
      </w:r>
      <w:r w:rsidR="00C906AC" w:rsidRPr="00C906AC">
        <w:t>present as coating</w:t>
      </w:r>
      <w:r w:rsidR="00793351">
        <w:t>s</w:t>
      </w:r>
      <w:r w:rsidR="00C906AC" w:rsidRPr="00C906AC">
        <w:t xml:space="preserve"> on an </w:t>
      </w:r>
      <w:proofErr w:type="spellStart"/>
      <w:r w:rsidR="00C906AC" w:rsidRPr="00C906AC">
        <w:t>azelaic</w:t>
      </w:r>
      <w:proofErr w:type="spellEnd"/>
      <w:r w:rsidR="00C906AC" w:rsidRPr="00C906AC">
        <w:t xml:space="preserve"> acid particle. Relative loss rate of </w:t>
      </w:r>
      <w:r w:rsidR="00793351">
        <w:t xml:space="preserve">aromatic (particle) </w:t>
      </w:r>
      <w:r w:rsidR="00C906AC" w:rsidRPr="00C906AC">
        <w:t xml:space="preserve">and isoprene (g) monitored to </w:t>
      </w:r>
      <w:proofErr w:type="gramStart"/>
      <w:r w:rsidR="00C906AC" w:rsidRPr="00C906AC">
        <w:t xml:space="preserve">derive </w:t>
      </w:r>
      <w:proofErr w:type="gramEnd"/>
      <w:r w:rsidR="00C906AC" w:rsidRPr="00C906AC">
        <w:sym w:font="Symbol" w:char="F067"/>
      </w:r>
      <w:r w:rsidR="00C906AC">
        <w:t xml:space="preserve">. </w:t>
      </w:r>
      <w:r w:rsidR="00793351">
        <w:t>Correction for the d</w:t>
      </w:r>
      <w:r w:rsidR="00C906AC">
        <w:t xml:space="preserve">iffusive limitation to the uptake </w:t>
      </w:r>
      <w:r w:rsidR="00793351">
        <w:t xml:space="preserve">was </w:t>
      </w:r>
      <w:r w:rsidR="00C906AC" w:rsidRPr="00C906AC">
        <w:t xml:space="preserve">achieved by normalising </w:t>
      </w:r>
      <w:r w:rsidR="00C906AC">
        <w:t xml:space="preserve">to </w:t>
      </w:r>
      <w:r w:rsidR="00C906AC" w:rsidRPr="00C906AC">
        <w:sym w:font="Symbol" w:char="F067"/>
      </w:r>
      <w:r w:rsidR="00C906AC" w:rsidRPr="00C906AC">
        <w:t xml:space="preserve"> obtained by </w:t>
      </w:r>
      <w:r w:rsidR="00C906AC" w:rsidRPr="00C906AC">
        <w:fldChar w:fldCharType="begin"/>
      </w:r>
      <w:r w:rsidR="00C906AC" w:rsidRPr="00C906AC">
        <w:instrText xml:space="preserve"> ADDIN EN.CITE &lt;EndNote&gt;&lt;Cite&gt;&lt;Author&gt;Gross&lt;/Author&gt;&lt;Year&gt;2008&lt;/Year&gt;&lt;RecNum&gt;3314&lt;/RecNum&gt;&lt;DisplayText&gt;(Gross and Bertram, 2008)&lt;/DisplayText&gt;&lt;record&gt;&lt;rec-number&gt;3314&lt;/rec-number&gt;&lt;foreign-keys&gt;&lt;key app="EN" db-id="z2tse2s5ewzp0uewz5e59efcztw0w9pw2eev"&gt;3314&lt;/key&gt;&lt;/foreign-keys&gt;&lt;ref-type name="Journal Article"&gt;17&lt;/ref-type&gt;&lt;contributors&gt;&lt;authors&gt;&lt;author&gt;Gross, S.&lt;/author&gt;&lt;author&gt;Bertram, A. K.&lt;/author&gt;&lt;/authors&gt;&lt;/contributors&gt;&lt;titles&gt;&lt;title&gt;&lt;style face="normal" font="default" size="100%"&gt;Reactive uptake of NO&lt;/style&gt;&lt;style face="subscript" font="default" size="100%"&gt;3&lt;/style&gt;&lt;style face="normal" font="default" size="100%"&gt;, N&lt;/style&gt;&lt;style face="subscript" font="default" size="100%"&gt;2&lt;/style&gt;&lt;style face="normal" font="default" size="100%"&gt;O&lt;/style&gt;&lt;style face="subscript" font="default" size="100%"&gt;5&lt;/style&gt;&lt;style face="normal" font="default" size="100%"&gt;, NO&lt;/style&gt;&lt;style face="subscript" font="default" size="100%"&gt;2&lt;/style&gt;&lt;style face="normal" font="default" size="100%"&gt;, HNO&lt;/style&gt;&lt;style face="subscript" font="default" size="100%"&gt;3&lt;/style&gt;&lt;style face="normal" font="default" size="100%"&gt;, and O&lt;/style&gt;&lt;style face="subscript" font="default" size="100%"&gt;3&lt;/style&gt;&lt;style face="normal" font="default" size="100%"&gt; on three types of polycyclic aromatic hydrocarbon surfaces&lt;/style&gt;&lt;/title&gt;&lt;secondary-title&gt;Journal of Physical Chemistry A&lt;/secondary-title&gt;&lt;/titles&gt;&lt;periodical&gt;&lt;full-title&gt;Journal of Physical Chemistry A&lt;/full-title&gt;&lt;abbr-1&gt;J. Phys. Chem. A&lt;/abbr-1&gt;&lt;abbr-2&gt;J Phys Chem A&lt;/abbr-2&gt;&lt;abbr-3&gt;JPCA&lt;/abbr-3&gt;&lt;/periodical&gt;&lt;pages&gt;3104-3113&lt;/pages&gt;&lt;volume&gt;112&lt;/volume&gt;&lt;number&gt;14&lt;/number&gt;&lt;dates&gt;&lt;year&gt;2008&lt;/year&gt;&lt;/dates&gt;&lt;accession-num&gt;WOS:000254659700015&lt;/accession-num&gt;&lt;label&gt;28&lt;/label&gt;&lt;urls&gt;&lt;related-urls&gt;&lt;url&gt;&amp;lt;Go to ISI&amp;gt;://000254659700015&lt;/url&gt;&lt;/related-urls&gt;&lt;/urls&gt;&lt;/record&gt;&lt;/Cite&gt;&lt;/EndNote&gt;</w:instrText>
      </w:r>
      <w:r w:rsidR="00C906AC" w:rsidRPr="00C906AC">
        <w:fldChar w:fldCharType="separate"/>
      </w:r>
      <w:r w:rsidR="00C906AC" w:rsidRPr="00C906AC">
        <w:rPr>
          <w:noProof/>
        </w:rPr>
        <w:t>(</w:t>
      </w:r>
      <w:hyperlink w:anchor="_ENREF_2" w:tooltip="Gross, 2008 #3314" w:history="1">
        <w:r w:rsidR="00D0638E" w:rsidRPr="00C906AC">
          <w:rPr>
            <w:noProof/>
          </w:rPr>
          <w:t>Gross and Bertram, 2008</w:t>
        </w:r>
      </w:hyperlink>
      <w:r w:rsidR="00C906AC" w:rsidRPr="00C906AC">
        <w:rPr>
          <w:noProof/>
        </w:rPr>
        <w:t>)</w:t>
      </w:r>
      <w:r w:rsidR="00C906AC" w:rsidRPr="00C906AC">
        <w:fldChar w:fldCharType="end"/>
      </w:r>
      <w:r w:rsidR="00C906AC" w:rsidRPr="00C906AC">
        <w:t xml:space="preserve"> and </w:t>
      </w:r>
      <w:r w:rsidR="00C906AC" w:rsidRPr="00C906AC">
        <w:fldChar w:fldCharType="begin"/>
      </w:r>
      <w:r w:rsidR="00C906AC" w:rsidRPr="00C906AC">
        <w:instrText xml:space="preserve"> ADDIN EN.CITE &lt;EndNote&gt;&lt;Cite&gt;&lt;Author&gt;Mak&lt;/Author&gt;&lt;Year&gt;2007&lt;/Year&gt;&lt;RecNum&gt;3547&lt;/RecNum&gt;&lt;DisplayText&gt;(Mak et al., 2007)&lt;/DisplayText&gt;&lt;record&gt;&lt;rec-number&gt;3547&lt;/rec-number&gt;&lt;foreign-keys&gt;&lt;key app="EN" db-id="z2tse2s5ewzp0uewz5e59efcztw0w9pw2eev"&gt;3547&lt;/key&gt;&lt;/foreign-keys&gt;&lt;ref-type name="Journal Article"&gt;17&lt;/ref-type&gt;&lt;contributors&gt;&lt;authors&gt;&lt;author&gt;Mak, J.&lt;/author&gt;&lt;author&gt;Gross, S.&lt;/author&gt;&lt;author&gt;Bertram, A. K.&lt;/author&gt;&lt;/authors&gt;&lt;/contributors&gt;&lt;titles&gt;&lt;title&gt;Uptake of NO3 on soot and pyrene surfaces&lt;/title&gt;&lt;secondary-title&gt;Geophysical Research Letters&lt;/secondary-title&gt;&lt;/titles&gt;&lt;periodical&gt;&lt;full-title&gt;Geophysical Research Letters&lt;/full-title&gt;&lt;abbr-1&gt;Geophys. Res. Lett.&lt;/abbr-1&gt;&lt;abbr-2&gt;Geophys Res Lett&lt;/abbr-2&gt;&lt;/periodical&gt;&lt;volume&gt;34&lt;/volume&gt;&lt;number&gt;10&lt;/number&gt;&lt;keywords&gt;&lt;keyword&gt;air-aqueous interface&lt;/keyword&gt;&lt;keyword&gt;reactive uptake&lt;/keyword&gt;&lt;keyword&gt;oleic-acid&lt;/keyword&gt;&lt;keyword&gt;heterogeneous&lt;/keyword&gt;&lt;keyword&gt;reaction&lt;/keyword&gt;&lt;keyword&gt;flame soot&lt;/keyword&gt;&lt;keyword&gt;ozone&lt;/keyword&gt;&lt;keyword&gt;kinetics&lt;/keyword&gt;&lt;keyword&gt;products&lt;/keyword&gt;&lt;keyword&gt;aerosol&lt;/keyword&gt;&lt;keyword&gt;water&lt;/keyword&gt;&lt;/keywords&gt;&lt;dates&gt;&lt;year&gt;2007&lt;/year&gt;&lt;pub-dates&gt;&lt;date&gt;May&lt;/date&gt;&lt;/pub-dates&gt;&lt;/dates&gt;&lt;isbn&gt;0094-8276&lt;/isbn&gt;&lt;accession-num&gt;ISI:000246838300003&lt;/accession-num&gt;&lt;label&gt;28&lt;/label&gt;&lt;urls&gt;&lt;related-urls&gt;&lt;url&gt;&amp;lt;Go to ISI&amp;gt;://000246838300003&lt;/url&gt;&lt;/related-urls&gt;&lt;/urls&gt;&lt;electronic-resource-num&gt;L10804&amp;#xD;10.1029/2006gl029756&lt;/electronic-resource-num&gt;&lt;/record&gt;&lt;/Cite&gt;&lt;/EndNote&gt;</w:instrText>
      </w:r>
      <w:r w:rsidR="00C906AC" w:rsidRPr="00C906AC">
        <w:fldChar w:fldCharType="separate"/>
      </w:r>
      <w:r w:rsidR="00C906AC" w:rsidRPr="00C906AC">
        <w:rPr>
          <w:noProof/>
        </w:rPr>
        <w:t>(Mak et al., 2007</w:t>
      </w:r>
      <w:hyperlink w:anchor="_ENREF_3" w:tooltip="Mak, 2007 #3547" w:history="1"/>
      <w:r w:rsidR="00C906AC" w:rsidRPr="00C906AC">
        <w:rPr>
          <w:noProof/>
        </w:rPr>
        <w:t>)</w:t>
      </w:r>
      <w:r w:rsidR="00C906AC" w:rsidRPr="00C906AC">
        <w:fldChar w:fldCharType="end"/>
      </w:r>
      <w:r w:rsidR="00C906AC" w:rsidRPr="00C906AC">
        <w:t>.</w:t>
      </w:r>
      <w:r w:rsidR="00C906AC">
        <w:t xml:space="preserve"> </w:t>
      </w:r>
    </w:p>
    <w:p w:rsidR="00E96C50" w:rsidRDefault="00E96C50" w:rsidP="00C906AC">
      <w:pPr>
        <w:pStyle w:val="IUPACexpcommenttext"/>
        <w:numPr>
          <w:ilvl w:val="0"/>
          <w:numId w:val="0"/>
        </w:numPr>
        <w:ind w:left="360"/>
      </w:pPr>
    </w:p>
    <w:p w:rsidR="00812E83" w:rsidRPr="00812E83" w:rsidRDefault="00812E83" w:rsidP="00812E83">
      <w:pPr>
        <w:keepNext/>
        <w:spacing w:before="240" w:after="120"/>
        <w:jc w:val="center"/>
        <w:rPr>
          <w:rFonts w:ascii="Times New Roman" w:eastAsia="Times New Roman" w:hAnsi="Times New Roman" w:cs="Times"/>
          <w:b/>
          <w:sz w:val="24"/>
          <w:szCs w:val="24"/>
          <w:lang w:val="en-AU"/>
        </w:rPr>
      </w:pPr>
      <w:r w:rsidRPr="00812E83">
        <w:rPr>
          <w:rFonts w:ascii="Times New Roman" w:eastAsia="Times New Roman" w:hAnsi="Times New Roman" w:cs="Times"/>
          <w:b/>
          <w:sz w:val="24"/>
          <w:szCs w:val="24"/>
          <w:lang w:val="en-AU"/>
        </w:rPr>
        <w:t>Preferred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T/K</w:t>
            </w:r>
          </w:p>
        </w:tc>
      </w:tr>
      <w:tr w:rsidR="00812E83" w:rsidRPr="00812E83" w:rsidTr="0036588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spacing w:after="0" w:line="264" w:lineRule="auto"/>
              <w:jc w:val="left"/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>α</w:t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7C2602" w:rsidRPr="00812E83" w:rsidTr="0036588E"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7C2602" w:rsidP="0036588E">
            <w:pPr>
              <w:spacing w:after="0" w:line="264" w:lineRule="auto"/>
              <w:jc w:val="left"/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(M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s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AF13C5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3</w:t>
            </w:r>
            <w:r w:rsidR="007C2602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</w:t>
            </w:r>
            <w:r w:rsidR="007C2602" w:rsidRPr="00812E83">
              <w:rPr>
                <w:rFonts w:ascii="Times New Roman" w:eastAsia="Times New Roman" w:hAnsi="Times New Roman" w:cs="Times"/>
                <w:spacing w:val="-3"/>
                <w:sz w:val="24"/>
                <w:szCs w:val="24"/>
              </w:rPr>
              <w:sym w:font="Symbol" w:char="F0B4"/>
            </w:r>
            <w:r w:rsidR="007C2602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AF13C5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280-300</w:t>
            </w:r>
          </w:p>
        </w:tc>
      </w:tr>
    </w:tbl>
    <w:p w:rsidR="00812E83" w:rsidRPr="00812E83" w:rsidRDefault="00812E83" w:rsidP="00812E83">
      <w:pPr>
        <w:keepNext/>
        <w:tabs>
          <w:tab w:val="left" w:pos="-1440"/>
          <w:tab w:val="left" w:pos="-720"/>
          <w:tab w:val="left" w:pos="444"/>
        </w:tabs>
        <w:spacing w:before="240" w:after="120"/>
        <w:rPr>
          <w:rFonts w:ascii="Times" w:eastAsia="Times New Roman" w:hAnsi="Times" w:cs="Times"/>
          <w:i/>
          <w:sz w:val="24"/>
          <w:szCs w:val="24"/>
        </w:rPr>
      </w:pPr>
      <w:r w:rsidRPr="00812E83">
        <w:rPr>
          <w:rFonts w:ascii="Times" w:eastAsia="Times New Roman" w:hAnsi="Times" w:cs="Times"/>
          <w:i/>
          <w:sz w:val="24"/>
          <w:szCs w:val="24"/>
        </w:rPr>
        <w:t>Reliability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sym w:font="Symbol" w:char="F044"/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log</w:t>
            </w: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(</w:t>
            </w: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</w:tcPr>
          <w:p w:rsidR="00812E83" w:rsidRPr="00812E83" w:rsidRDefault="00E6016C" w:rsidP="00AF13C5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0.</w:t>
            </w:r>
            <w:r w:rsidR="00AF13C5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5</w:t>
            </w: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</w:tbl>
    <w:p w:rsidR="00812E83" w:rsidRDefault="00812E83">
      <w:pPr>
        <w:keepNext/>
        <w:keepLines/>
        <w:widowControl w:val="0"/>
      </w:pPr>
    </w:p>
    <w:p w:rsidR="002F5C5A" w:rsidRDefault="002F5C5A">
      <w:pPr>
        <w:pStyle w:val="IUPACsubtitle"/>
      </w:pPr>
      <w:r>
        <w:t>Comments on Preferred Values</w:t>
      </w:r>
    </w:p>
    <w:p w:rsidR="00AB0DE6" w:rsidRPr="005D4D4F" w:rsidRDefault="00AB0DE6" w:rsidP="003F1DE0">
      <w:pPr>
        <w:pStyle w:val="IUPACpreferredcommentstext"/>
      </w:pPr>
      <w:r w:rsidRPr="005D4D4F">
        <w:t xml:space="preserve">Early work (Pitts et al., 1985) </w:t>
      </w:r>
      <w:r w:rsidR="00C3289A" w:rsidRPr="005D4D4F">
        <w:t>on NO</w:t>
      </w:r>
      <w:r w:rsidR="00C3289A" w:rsidRPr="005D4D4F">
        <w:rPr>
          <w:vertAlign w:val="subscript"/>
        </w:rPr>
        <w:t>3</w:t>
      </w:r>
      <w:r w:rsidR="00C3289A" w:rsidRPr="005D4D4F">
        <w:t xml:space="preserve"> / N</w:t>
      </w:r>
      <w:r w:rsidR="00C3289A" w:rsidRPr="005D4D4F">
        <w:rPr>
          <w:vertAlign w:val="subscript"/>
        </w:rPr>
        <w:t>2</w:t>
      </w:r>
      <w:r w:rsidR="00C3289A" w:rsidRPr="005D4D4F">
        <w:t>O</w:t>
      </w:r>
      <w:r w:rsidR="00C3289A" w:rsidRPr="005D4D4F">
        <w:rPr>
          <w:vertAlign w:val="subscript"/>
        </w:rPr>
        <w:t>5</w:t>
      </w:r>
      <w:r w:rsidR="00C3289A" w:rsidRPr="005D4D4F">
        <w:t xml:space="preserve"> interactions with pyrene </w:t>
      </w:r>
      <w:r w:rsidRPr="005D4D4F">
        <w:t xml:space="preserve">assigned product formation to reaction </w:t>
      </w:r>
      <w:r w:rsidR="00C3289A" w:rsidRPr="005D4D4F">
        <w:t>with N</w:t>
      </w:r>
      <w:r w:rsidR="00C3289A" w:rsidRPr="005D4D4F">
        <w:rPr>
          <w:vertAlign w:val="subscript"/>
        </w:rPr>
        <w:t>2</w:t>
      </w:r>
      <w:r w:rsidR="00C3289A" w:rsidRPr="005D4D4F">
        <w:t>O</w:t>
      </w:r>
      <w:r w:rsidR="00C3289A" w:rsidRPr="005D4D4F">
        <w:rPr>
          <w:vertAlign w:val="subscript"/>
        </w:rPr>
        <w:t>5</w:t>
      </w:r>
      <w:r w:rsidR="00C3289A" w:rsidRPr="005D4D4F">
        <w:t xml:space="preserve"> and found no evidence for reaction with </w:t>
      </w:r>
      <w:proofErr w:type="spellStart"/>
      <w:r w:rsidR="00C3289A" w:rsidRPr="005D4D4F">
        <w:t>perylene</w:t>
      </w:r>
      <w:proofErr w:type="spellEnd"/>
      <w:r w:rsidR="00C3289A" w:rsidRPr="005D4D4F">
        <w:t xml:space="preserve">. </w:t>
      </w:r>
      <w:r w:rsidR="00095115" w:rsidRPr="005D4D4F">
        <w:t>Subsequent research has shown that NO</w:t>
      </w:r>
      <w:r w:rsidR="00095115" w:rsidRPr="005D4D4F">
        <w:rPr>
          <w:vertAlign w:val="subscript"/>
        </w:rPr>
        <w:t>3</w:t>
      </w:r>
      <w:r w:rsidR="00C70A21" w:rsidRPr="005D4D4F">
        <w:t xml:space="preserve"> is taken </w:t>
      </w:r>
      <w:proofErr w:type="gramStart"/>
      <w:r w:rsidR="00C70A21" w:rsidRPr="005D4D4F">
        <w:t>up  efficie</w:t>
      </w:r>
      <w:r w:rsidR="00095115" w:rsidRPr="005D4D4F">
        <w:t>nt</w:t>
      </w:r>
      <w:r w:rsidR="00C70A21" w:rsidRPr="005D4D4F">
        <w:t>l</w:t>
      </w:r>
      <w:r w:rsidR="00095115" w:rsidRPr="005D4D4F">
        <w:t>y</w:t>
      </w:r>
      <w:proofErr w:type="gramEnd"/>
      <w:r w:rsidR="00095115" w:rsidRPr="005D4D4F">
        <w:t xml:space="preserve"> to several aromatics, with </w:t>
      </w:r>
      <w:r w:rsidR="00095115" w:rsidRPr="005D4D4F">
        <w:rPr>
          <w:color w:val="000000" w:themeColor="text1"/>
        </w:rPr>
        <w:sym w:font="Symbol" w:char="F067"/>
      </w:r>
      <w:r w:rsidR="00095115" w:rsidRPr="005D4D4F">
        <w:t xml:space="preserve"> generally between 0.1 and 1.</w:t>
      </w:r>
    </w:p>
    <w:p w:rsidR="005146FD" w:rsidRPr="005D4D4F" w:rsidRDefault="00AF13C5" w:rsidP="003F1DE0">
      <w:pPr>
        <w:pStyle w:val="IUPACpreferredcommentstext"/>
      </w:pPr>
      <w:r w:rsidRPr="005D4D4F">
        <w:t>I</w:t>
      </w:r>
      <w:r w:rsidR="005146FD" w:rsidRPr="005D4D4F">
        <w:t>f the reaction between NO</w:t>
      </w:r>
      <w:r w:rsidR="005146FD" w:rsidRPr="005D4D4F">
        <w:rPr>
          <w:vertAlign w:val="subscript"/>
        </w:rPr>
        <w:t>3</w:t>
      </w:r>
      <w:r w:rsidR="005146FD" w:rsidRPr="005D4D4F">
        <w:t xml:space="preserve"> and the </w:t>
      </w:r>
      <w:r w:rsidRPr="005D4D4F">
        <w:t>un</w:t>
      </w:r>
      <w:r w:rsidR="005146FD" w:rsidRPr="005D4D4F">
        <w:t xml:space="preserve">saturated </w:t>
      </w:r>
      <w:r w:rsidRPr="005D4D4F">
        <w:t xml:space="preserve">acid </w:t>
      </w:r>
      <w:r w:rsidR="005146FD" w:rsidRPr="005D4D4F">
        <w:t xml:space="preserve">(of </w:t>
      </w:r>
      <w:r w:rsidR="00541707" w:rsidRPr="005D4D4F">
        <w:t>concentration [HC], in</w:t>
      </w:r>
      <w:r w:rsidR="00304A1A" w:rsidRPr="005D4D4F">
        <w:t xml:space="preserve"> units</w:t>
      </w:r>
      <w:r w:rsidR="00541707" w:rsidRPr="005D4D4F">
        <w:t xml:space="preserve"> of </w:t>
      </w:r>
      <w:proofErr w:type="spellStart"/>
      <w:r w:rsidR="00541707" w:rsidRPr="005D4D4F">
        <w:t>mol</w:t>
      </w:r>
      <w:proofErr w:type="spellEnd"/>
      <w:r w:rsidR="00541707" w:rsidRPr="005D4D4F">
        <w:t xml:space="preserve"> L</w:t>
      </w:r>
      <w:r w:rsidR="00541707" w:rsidRPr="005D4D4F">
        <w:rPr>
          <w:vertAlign w:val="superscript"/>
        </w:rPr>
        <w:t>-1</w:t>
      </w:r>
      <w:r w:rsidR="00304A1A" w:rsidRPr="005D4D4F">
        <w:t>)</w:t>
      </w:r>
      <w:r w:rsidR="005146FD" w:rsidRPr="005D4D4F">
        <w:t xml:space="preserve"> takes place throughout the particle, the uptake coefficient can be described by </w:t>
      </w:r>
    </w:p>
    <w:p w:rsidR="005D4D4F" w:rsidRPr="00CC4D7C" w:rsidRDefault="005D4D4F" w:rsidP="005D4D4F">
      <w:pPr>
        <w:pStyle w:val="Reactions"/>
        <w:spacing w:line="360" w:lineRule="auto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γ=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4HRT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Σ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b(i)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[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HC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]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(i)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l</m:t>
                              </m:r>
                            </m:sub>
                          </m:sSub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-1</m:t>
              </m:r>
            </m:sup>
          </m:sSup>
        </m:oMath>
      </m:oMathPara>
    </w:p>
    <w:p w:rsidR="00ED1357" w:rsidRPr="005D4D4F" w:rsidRDefault="005D4D4F" w:rsidP="003F1DE0">
      <w:pPr>
        <w:pStyle w:val="IUPACpreferredcommentstext"/>
      </w:pPr>
      <w:r w:rsidRPr="005D4D4F">
        <w:t xml:space="preserve">Where </w:t>
      </w:r>
      <w:proofErr w:type="gramStart"/>
      <w:r w:rsidRPr="005D4D4F">
        <w:rPr>
          <w:i/>
        </w:rPr>
        <w:t>k</w:t>
      </w:r>
      <w:r w:rsidRPr="005D4D4F">
        <w:rPr>
          <w:vertAlign w:val="subscript"/>
        </w:rPr>
        <w:t>b(</w:t>
      </w:r>
      <w:proofErr w:type="spellStart"/>
      <w:proofErr w:type="gramEnd"/>
      <w:r w:rsidRPr="005D4D4F">
        <w:rPr>
          <w:vertAlign w:val="subscript"/>
        </w:rPr>
        <w:t>i</w:t>
      </w:r>
      <w:proofErr w:type="spellEnd"/>
      <w:r w:rsidRPr="005D4D4F">
        <w:rPr>
          <w:vertAlign w:val="subscript"/>
        </w:rPr>
        <w:t>)</w:t>
      </w:r>
      <w:r w:rsidRPr="005D4D4F">
        <w:t xml:space="preserve"> is the liquid-phase rate coefficient for reaction of NO</w:t>
      </w:r>
      <w:r w:rsidRPr="005D4D4F">
        <w:rPr>
          <w:vertAlign w:val="subscript"/>
        </w:rPr>
        <w:t>3</w:t>
      </w:r>
      <w:r w:rsidRPr="005D4D4F">
        <w:t xml:space="preserve"> with organic species (</w:t>
      </w:r>
      <w:proofErr w:type="spellStart"/>
      <w:r w:rsidRPr="005D4D4F">
        <w:t>i</w:t>
      </w:r>
      <w:proofErr w:type="spellEnd"/>
      <w:r w:rsidRPr="005D4D4F">
        <w:t>)</w:t>
      </w:r>
      <w:r w:rsidRPr="005D4D4F">
        <w:rPr>
          <w:i/>
        </w:rPr>
        <w:t xml:space="preserve"> </w:t>
      </w:r>
      <w:r w:rsidRPr="005D4D4F">
        <w:t xml:space="preserve">with concentration [HC], </w:t>
      </w:r>
      <w:r w:rsidRPr="005D4D4F">
        <w:rPr>
          <w:i/>
        </w:rPr>
        <w:t>D</w:t>
      </w:r>
      <w:r w:rsidRPr="005D4D4F">
        <w:rPr>
          <w:i/>
          <w:vertAlign w:val="subscript"/>
        </w:rPr>
        <w:t>l</w:t>
      </w:r>
      <w:r w:rsidRPr="005D4D4F">
        <w:rPr>
          <w:i/>
        </w:rPr>
        <w:t xml:space="preserve"> </w:t>
      </w:r>
      <w:r w:rsidRPr="005D4D4F">
        <w:t xml:space="preserve">its diffusion coefficient through the organic matrix and </w:t>
      </w:r>
      <w:r w:rsidRPr="005D4D4F">
        <w:rPr>
          <w:i/>
        </w:rPr>
        <w:t>H</w:t>
      </w:r>
      <w:r w:rsidRPr="005D4D4F">
        <w:t xml:space="preserve"> its solubility. </w:t>
      </w:r>
    </w:p>
    <w:p w:rsidR="00A4724E" w:rsidRDefault="00A4724E" w:rsidP="00A4724E">
      <w:pPr>
        <w:pStyle w:val="IUPACpreferredcommentstext"/>
      </w:pPr>
      <w:r w:rsidRPr="00CC4D7C">
        <w:rPr>
          <w:color w:val="000000" w:themeColor="text1"/>
        </w:rPr>
        <w:t xml:space="preserve">A rough estimate for </w:t>
      </w:r>
      <w:r>
        <w:rPr>
          <w:color w:val="000000" w:themeColor="text1"/>
        </w:rPr>
        <w:t xml:space="preserve">a generic uptake coefficient </w:t>
      </w:r>
      <w:r w:rsidRPr="00CC4D7C">
        <w:rPr>
          <w:color w:val="000000" w:themeColor="text1"/>
        </w:rPr>
        <w:t>for NO</w:t>
      </w:r>
      <w:r w:rsidRPr="00CC4D7C">
        <w:rPr>
          <w:color w:val="000000" w:themeColor="text1"/>
          <w:vertAlign w:val="subscript"/>
        </w:rPr>
        <w:t>3</w:t>
      </w:r>
      <w:r w:rsidRPr="00CC4D7C">
        <w:rPr>
          <w:color w:val="000000" w:themeColor="text1"/>
        </w:rPr>
        <w:t xml:space="preserve"> upta</w:t>
      </w:r>
      <w:r>
        <w:rPr>
          <w:color w:val="000000" w:themeColor="text1"/>
        </w:rPr>
        <w:t>ke to aromatic</w:t>
      </w:r>
      <w:r w:rsidR="00CC6D16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Pr="00CC4D7C">
        <w:rPr>
          <w:color w:val="000000" w:themeColor="text1"/>
        </w:rPr>
        <w:t>can be made using</w:t>
      </w:r>
      <w:r w:rsidR="00A0330E" w:rsidRPr="005D4D4F">
        <w:t xml:space="preserve"> </w:t>
      </w:r>
      <w:r w:rsidR="00A0330E" w:rsidRPr="005D4D4F">
        <w:rPr>
          <w:i/>
        </w:rPr>
        <w:t>k</w:t>
      </w:r>
      <w:r w:rsidR="0023650A" w:rsidRPr="005D4D4F">
        <w:rPr>
          <w:i/>
          <w:vertAlign w:val="subscript"/>
        </w:rPr>
        <w:t>b</w:t>
      </w:r>
      <w:r w:rsidR="00A0330E" w:rsidRPr="005D4D4F">
        <w:rPr>
          <w:vertAlign w:val="subscript"/>
        </w:rPr>
        <w:t xml:space="preserve"> </w:t>
      </w:r>
      <w:r w:rsidR="00A0330E" w:rsidRPr="005D4D4F">
        <w:t xml:space="preserve">= </w:t>
      </w:r>
      <w:r w:rsidR="00AF13C5" w:rsidRPr="005D4D4F">
        <w:t>3</w:t>
      </w:r>
      <w:r w:rsidR="00A0330E" w:rsidRPr="005D4D4F">
        <w:t xml:space="preserve"> </w:t>
      </w:r>
      <w:r w:rsidR="00A0330E" w:rsidRPr="005D4D4F">
        <w:sym w:font="Symbol" w:char="F0B4"/>
      </w:r>
      <w:r w:rsidR="00A0330E" w:rsidRPr="005D4D4F">
        <w:t xml:space="preserve"> 10</w:t>
      </w:r>
      <w:r w:rsidR="00AF13C5" w:rsidRPr="005D4D4F">
        <w:rPr>
          <w:vertAlign w:val="superscript"/>
        </w:rPr>
        <w:t>8</w:t>
      </w:r>
      <w:r w:rsidR="00A0330E" w:rsidRPr="005D4D4F">
        <w:t xml:space="preserve"> M</w:t>
      </w:r>
      <w:r w:rsidR="00A0330E" w:rsidRPr="005D4D4F">
        <w:rPr>
          <w:vertAlign w:val="superscript"/>
        </w:rPr>
        <w:t>-1</w:t>
      </w:r>
      <w:r w:rsidR="00A0330E" w:rsidRPr="005D4D4F">
        <w:t xml:space="preserve"> s</w:t>
      </w:r>
      <w:r w:rsidR="00A0330E" w:rsidRPr="005D4D4F">
        <w:rPr>
          <w:vertAlign w:val="superscript"/>
        </w:rPr>
        <w:t>-1</w:t>
      </w:r>
      <w:r w:rsidR="00A0330E" w:rsidRPr="005D4D4F">
        <w:t xml:space="preserve"> </w:t>
      </w:r>
      <w:r w:rsidR="0023650A" w:rsidRPr="005D4D4F">
        <w:t>(</w:t>
      </w:r>
      <w:r w:rsidR="00A0330E" w:rsidRPr="005D4D4F">
        <w:t xml:space="preserve">equivalent to a gas-phase rate constant of </w:t>
      </w:r>
      <w:r w:rsidR="00AF13C5" w:rsidRPr="005D4D4F">
        <w:t>5</w:t>
      </w:r>
      <w:r w:rsidR="00A0330E" w:rsidRPr="005D4D4F">
        <w:t xml:space="preserve"> </w:t>
      </w:r>
      <w:r w:rsidR="00A0330E" w:rsidRPr="005D4D4F">
        <w:sym w:font="Symbol" w:char="F0B4"/>
      </w:r>
      <w:r w:rsidR="00A0330E" w:rsidRPr="005D4D4F">
        <w:t xml:space="preserve"> 10</w:t>
      </w:r>
      <w:r w:rsidR="00A0330E" w:rsidRPr="005D4D4F">
        <w:rPr>
          <w:vertAlign w:val="superscript"/>
        </w:rPr>
        <w:t>-1</w:t>
      </w:r>
      <w:r w:rsidR="00AF13C5" w:rsidRPr="005D4D4F">
        <w:rPr>
          <w:vertAlign w:val="superscript"/>
        </w:rPr>
        <w:t>3</w:t>
      </w:r>
      <w:r w:rsidR="00A0330E" w:rsidRPr="005D4D4F">
        <w:t xml:space="preserve"> cm</w:t>
      </w:r>
      <w:r w:rsidR="00A0330E" w:rsidRPr="005D4D4F">
        <w:rPr>
          <w:vertAlign w:val="superscript"/>
        </w:rPr>
        <w:t>3</w:t>
      </w:r>
      <w:r w:rsidR="00A0330E" w:rsidRPr="005D4D4F">
        <w:t xml:space="preserve"> molecule</w:t>
      </w:r>
      <w:r w:rsidR="00A0330E" w:rsidRPr="005D4D4F">
        <w:rPr>
          <w:vertAlign w:val="superscript"/>
        </w:rPr>
        <w:t>-1</w:t>
      </w:r>
      <w:r w:rsidR="00A0330E" w:rsidRPr="005D4D4F">
        <w:t xml:space="preserve"> s</w:t>
      </w:r>
      <w:r w:rsidR="00A0330E" w:rsidRPr="005D4D4F">
        <w:rPr>
          <w:vertAlign w:val="superscript"/>
        </w:rPr>
        <w:noBreakHyphen/>
        <w:t>1</w:t>
      </w:r>
      <w:r w:rsidR="0023650A" w:rsidRPr="005D4D4F">
        <w:t>)</w:t>
      </w:r>
      <w:r w:rsidR="00A0330E" w:rsidRPr="005D4D4F">
        <w:t xml:space="preserve">, </w:t>
      </w:r>
      <w:r w:rsidR="005146FD" w:rsidRPr="005D4D4F">
        <w:rPr>
          <w:i/>
        </w:rPr>
        <w:t>D</w:t>
      </w:r>
      <w:r w:rsidR="005146FD" w:rsidRPr="005D4D4F">
        <w:rPr>
          <w:i/>
          <w:vertAlign w:val="subscript"/>
        </w:rPr>
        <w:t>l</w:t>
      </w:r>
      <w:r w:rsidR="005146FD" w:rsidRPr="005D4D4F">
        <w:t xml:space="preserve">, </w:t>
      </w:r>
      <w:r w:rsidR="006E7D65" w:rsidRPr="005D4D4F">
        <w:t>=</w:t>
      </w:r>
      <w:r w:rsidR="005146FD" w:rsidRPr="005D4D4F">
        <w:t xml:space="preserve"> 2 </w:t>
      </w:r>
      <w:r w:rsidR="005146FD" w:rsidRPr="005D4D4F">
        <w:sym w:font="Symbol" w:char="F0B4"/>
      </w:r>
      <w:r w:rsidR="005146FD" w:rsidRPr="005D4D4F">
        <w:t xml:space="preserve"> 10</w:t>
      </w:r>
      <w:r w:rsidR="005146FD" w:rsidRPr="005D4D4F">
        <w:rPr>
          <w:vertAlign w:val="superscript"/>
        </w:rPr>
        <w:t>-5</w:t>
      </w:r>
      <w:r w:rsidR="005146FD" w:rsidRPr="005D4D4F">
        <w:t xml:space="preserve"> cm</w:t>
      </w:r>
      <w:r w:rsidR="005146FD" w:rsidRPr="005D4D4F">
        <w:rPr>
          <w:vertAlign w:val="superscript"/>
        </w:rPr>
        <w:t>2</w:t>
      </w:r>
      <w:r w:rsidR="005146FD" w:rsidRPr="005D4D4F">
        <w:t xml:space="preserve"> s</w:t>
      </w:r>
      <w:r w:rsidR="005146FD" w:rsidRPr="005D4D4F">
        <w:rPr>
          <w:vertAlign w:val="superscript"/>
        </w:rPr>
        <w:t>-1</w:t>
      </w:r>
      <w:r w:rsidR="006E7D65" w:rsidRPr="005D4D4F">
        <w:t xml:space="preserve">, and </w:t>
      </w:r>
      <w:r w:rsidR="006E7D65" w:rsidRPr="005D4D4F">
        <w:rPr>
          <w:i/>
        </w:rPr>
        <w:t>H</w:t>
      </w:r>
      <w:r w:rsidR="006E7D65" w:rsidRPr="005D4D4F">
        <w:t xml:space="preserve"> = 0.8 Matm</w:t>
      </w:r>
      <w:r w:rsidR="006E7D65" w:rsidRPr="005D4D4F">
        <w:rPr>
          <w:vertAlign w:val="superscript"/>
        </w:rPr>
        <w:t>-1</w:t>
      </w:r>
      <w:r w:rsidR="0023650A" w:rsidRPr="005D4D4F">
        <w:t>, this expression</w:t>
      </w:r>
      <w:r w:rsidR="00A0330E" w:rsidRPr="005D4D4F">
        <w:t xml:space="preserve"> results in a value of </w:t>
      </w:r>
      <w:r w:rsidR="00A0330E" w:rsidRPr="005D4D4F">
        <w:sym w:font="Symbol" w:char="F067"/>
      </w:r>
      <w:r w:rsidR="0023650A" w:rsidRPr="005D4D4F">
        <w:t xml:space="preserve"> = </w:t>
      </w:r>
      <w:r w:rsidR="00AF13C5" w:rsidRPr="005D4D4F">
        <w:t>0.3</w:t>
      </w:r>
      <w:r w:rsidR="00A0330E" w:rsidRPr="005D4D4F">
        <w:t xml:space="preserve">, </w:t>
      </w:r>
      <w:proofErr w:type="gramStart"/>
      <w:r w:rsidR="00A0330E" w:rsidRPr="005D4D4F">
        <w:t>which  is</w:t>
      </w:r>
      <w:proofErr w:type="gramEnd"/>
      <w:r w:rsidR="00A0330E" w:rsidRPr="005D4D4F">
        <w:t xml:space="preserve"> consistent with the experimental data</w:t>
      </w:r>
      <w:r w:rsidR="00E6016C" w:rsidRPr="005D4D4F">
        <w:t xml:space="preserve"> if we assign an uncertainty of a factor 4</w:t>
      </w:r>
      <w:r w:rsidR="00A0330E" w:rsidRPr="005D4D4F">
        <w:t xml:space="preserve">. </w:t>
      </w:r>
      <w:r>
        <w:t xml:space="preserve">The large uncertainty associated with use of a generic rate constant, </w:t>
      </w:r>
      <w:r w:rsidRPr="001D5B1F">
        <w:rPr>
          <w:i/>
        </w:rPr>
        <w:t>k</w:t>
      </w:r>
      <w:r w:rsidRPr="001D5B1F">
        <w:rPr>
          <w:vertAlign w:val="subscript"/>
        </w:rPr>
        <w:t>b</w:t>
      </w:r>
      <w:r>
        <w:t xml:space="preserve">, and also use of potentially inappropriate values of </w:t>
      </w:r>
      <w:r w:rsidRPr="007C2602">
        <w:rPr>
          <w:i/>
        </w:rPr>
        <w:t>H</w:t>
      </w:r>
      <w:r>
        <w:t xml:space="preserve"> and </w:t>
      </w:r>
      <w:proofErr w:type="gramStart"/>
      <w:r w:rsidRPr="007C2602">
        <w:rPr>
          <w:i/>
        </w:rPr>
        <w:t>D</w:t>
      </w:r>
      <w:r w:rsidRPr="007C2602">
        <w:rPr>
          <w:i/>
          <w:vertAlign w:val="subscript"/>
        </w:rPr>
        <w:t>l</w:t>
      </w:r>
      <w:r>
        <w:rPr>
          <w:i/>
          <w:vertAlign w:val="subscript"/>
        </w:rPr>
        <w:t xml:space="preserve"> </w:t>
      </w:r>
      <w:r>
        <w:t xml:space="preserve"> is</w:t>
      </w:r>
      <w:proofErr w:type="gramEnd"/>
      <w:r>
        <w:t xml:space="preserve"> taken into account by assigning a large uncertainty to </w:t>
      </w:r>
      <w:r w:rsidRPr="007C2602">
        <w:rPr>
          <w:i/>
        </w:rPr>
        <w:t>k</w:t>
      </w:r>
      <w:r w:rsidRPr="007C2602">
        <w:rPr>
          <w:i/>
          <w:vertAlign w:val="subscript"/>
        </w:rPr>
        <w:t>b</w:t>
      </w:r>
      <w:r>
        <w:t>.</w:t>
      </w:r>
    </w:p>
    <w:p w:rsidR="0023650A" w:rsidRPr="003F1DE0" w:rsidRDefault="00A4724E" w:rsidP="00A4724E">
      <w:pPr>
        <w:pStyle w:val="IUPACpreferredcommentstext"/>
      </w:pPr>
      <w:r>
        <w:t xml:space="preserve">Uptake to multicomponent organic mixtures can be approximated by summing the product </w:t>
      </w:r>
      <w:proofErr w:type="gramStart"/>
      <w:r w:rsidRPr="007C2602">
        <w:rPr>
          <w:i/>
        </w:rPr>
        <w:t>k</w:t>
      </w:r>
      <w:r w:rsidRPr="007C2602">
        <w:rPr>
          <w:vertAlign w:val="subscript"/>
        </w:rPr>
        <w:t>b</w:t>
      </w:r>
      <w:r w:rsidR="00CC6D16">
        <w:rPr>
          <w:vertAlign w:val="subscript"/>
        </w:rPr>
        <w:t>(</w:t>
      </w:r>
      <w:proofErr w:type="spellStart"/>
      <w:proofErr w:type="gramEnd"/>
      <w:r w:rsidRPr="007C2602">
        <w:rPr>
          <w:vertAlign w:val="subscript"/>
        </w:rPr>
        <w:t>i</w:t>
      </w:r>
      <w:proofErr w:type="spellEnd"/>
      <w:r w:rsidR="00CC6D16">
        <w:rPr>
          <w:vertAlign w:val="subscript"/>
        </w:rPr>
        <w:t>)</w:t>
      </w:r>
      <w:r>
        <w:t>[HC]</w:t>
      </w:r>
      <w:r w:rsidRPr="00547231">
        <w:rPr>
          <w:vertAlign w:val="subscript"/>
        </w:rPr>
        <w:t>(</w:t>
      </w:r>
      <w:proofErr w:type="spellStart"/>
      <w:r w:rsidRPr="007C2602">
        <w:rPr>
          <w:vertAlign w:val="subscript"/>
        </w:rPr>
        <w:t>i</w:t>
      </w:r>
      <w:proofErr w:type="spellEnd"/>
      <w:r>
        <w:rPr>
          <w:vertAlign w:val="subscript"/>
        </w:rPr>
        <w:t xml:space="preserve">) </w:t>
      </w:r>
      <w:r>
        <w:t xml:space="preserve">and using an average value for </w:t>
      </w:r>
      <w:r w:rsidRPr="007C2602">
        <w:rPr>
          <w:i/>
        </w:rPr>
        <w:t>H</w:t>
      </w:r>
      <w:r>
        <w:t xml:space="preserve"> and </w:t>
      </w:r>
      <w:r w:rsidRPr="007C2602">
        <w:rPr>
          <w:i/>
        </w:rPr>
        <w:t>D</w:t>
      </w:r>
      <w:r w:rsidRPr="007C2602">
        <w:rPr>
          <w:i/>
          <w:vertAlign w:val="subscript"/>
        </w:rPr>
        <w:t>l</w:t>
      </w:r>
      <w:r>
        <w:t xml:space="preserve">. For unreactive or very small particles a correction for the </w:t>
      </w:r>
      <w:proofErr w:type="spellStart"/>
      <w:r>
        <w:t>diffuso</w:t>
      </w:r>
      <w:proofErr w:type="spellEnd"/>
      <w:r>
        <w:t xml:space="preserve">-reactive length may be important (see guide to datasheets), whereas for very reactive particles, the reaction </w:t>
      </w:r>
      <w:proofErr w:type="spellStart"/>
      <w:r>
        <w:t>my</w:t>
      </w:r>
      <w:proofErr w:type="spellEnd"/>
      <w:r>
        <w:t xml:space="preserve"> be </w:t>
      </w:r>
      <w:proofErr w:type="gramStart"/>
      <w:r>
        <w:t>limited  to</w:t>
      </w:r>
      <w:proofErr w:type="gramEnd"/>
      <w:r>
        <w:t xml:space="preserve"> the surface layers of the sample. This may result in uptake coefficients that decrease with exposure time if mixing in the particle is hindered by high viscosity.</w:t>
      </w:r>
      <w:r w:rsidR="0023650A" w:rsidRPr="003F1DE0">
        <w:t xml:space="preserve"> </w:t>
      </w:r>
    </w:p>
    <w:p w:rsidR="00E86209" w:rsidRPr="005D4D4F" w:rsidRDefault="00095115" w:rsidP="003F1DE0">
      <w:pPr>
        <w:pStyle w:val="IUPACpreferredcommentstext"/>
        <w:rPr>
          <w:color w:val="000000" w:themeColor="text1"/>
        </w:rPr>
      </w:pPr>
      <w:r w:rsidRPr="005D4D4F">
        <w:t>The p</w:t>
      </w:r>
      <w:r w:rsidR="00C70D09" w:rsidRPr="005D4D4F">
        <w:t xml:space="preserve">roducts </w:t>
      </w:r>
      <w:r w:rsidRPr="005D4D4F">
        <w:t>formed by reacting NO</w:t>
      </w:r>
      <w:r w:rsidRPr="005D4D4F">
        <w:rPr>
          <w:vertAlign w:val="subscript"/>
        </w:rPr>
        <w:t>3</w:t>
      </w:r>
      <w:r w:rsidRPr="005D4D4F">
        <w:t xml:space="preserve"> with ambient, particulate phase aromatics are nitropyrenes, </w:t>
      </w:r>
      <w:proofErr w:type="spellStart"/>
      <w:r w:rsidRPr="005D4D4F">
        <w:t>nitrofluoranthenes</w:t>
      </w:r>
      <w:proofErr w:type="spellEnd"/>
      <w:r w:rsidRPr="005D4D4F">
        <w:t xml:space="preserve">, anthracene, nitro-chrysene and </w:t>
      </w:r>
      <w:proofErr w:type="spellStart"/>
      <w:proofErr w:type="gramStart"/>
      <w:r w:rsidRPr="005D4D4F">
        <w:t>nitrobenzo</w:t>
      </w:r>
      <w:proofErr w:type="spellEnd"/>
      <w:r w:rsidRPr="005D4D4F">
        <w:t>(</w:t>
      </w:r>
      <w:proofErr w:type="gramEnd"/>
      <w:r w:rsidRPr="005D4D4F">
        <w:t>a)pyrene (Zimmermann et al., 2013</w:t>
      </w:r>
      <w:r w:rsidR="00D0638E" w:rsidRPr="005D4D4F">
        <w:t>)</w:t>
      </w:r>
      <w:r w:rsidRPr="005D4D4F">
        <w:t>. Laboratory studies have identified the following products from reaction of NO</w:t>
      </w:r>
      <w:r w:rsidRPr="005D4D4F">
        <w:rPr>
          <w:vertAlign w:val="subscript"/>
        </w:rPr>
        <w:t>3</w:t>
      </w:r>
      <w:r w:rsidRPr="005D4D4F">
        <w:t xml:space="preserve"> with </w:t>
      </w:r>
      <w:r w:rsidR="00BE56C0" w:rsidRPr="005D4D4F">
        <w:t>condensed</w:t>
      </w:r>
      <w:r w:rsidRPr="005D4D4F">
        <w:t xml:space="preserve"> aromatics.</w:t>
      </w:r>
      <w:r w:rsidR="00BE56C0" w:rsidRPr="005D4D4F">
        <w:t xml:space="preserve"> </w:t>
      </w:r>
      <w:r w:rsidR="00D0638E" w:rsidRPr="005D4D4F">
        <w:t xml:space="preserve"> </w:t>
      </w:r>
      <w:r w:rsidRPr="005D4D4F">
        <w:rPr>
          <w:i/>
        </w:rPr>
        <w:t>Pyrene</w:t>
      </w:r>
      <w:r w:rsidRPr="005D4D4F">
        <w:t>: mainly 1-nitro-pyrene but also 1,3-, 1,6- and 1,8-dinitropyrene in the particle phase (</w:t>
      </w:r>
      <w:proofErr w:type="spellStart"/>
      <w:r w:rsidRPr="005D4D4F">
        <w:t>Kwamena</w:t>
      </w:r>
      <w:proofErr w:type="spellEnd"/>
      <w:r w:rsidRPr="005D4D4F">
        <w:t xml:space="preserve"> and </w:t>
      </w:r>
      <w:proofErr w:type="spellStart"/>
      <w:r w:rsidRPr="005D4D4F">
        <w:t>Abbatt</w:t>
      </w:r>
      <w:proofErr w:type="spellEnd"/>
      <w:r w:rsidRPr="005D4D4F">
        <w:t xml:space="preserve"> (2008), Zhang et al., (2011), </w:t>
      </w:r>
      <w:proofErr w:type="spellStart"/>
      <w:r w:rsidRPr="005D4D4F">
        <w:t>Lui</w:t>
      </w:r>
      <w:proofErr w:type="spellEnd"/>
      <w:r w:rsidRPr="005D4D4F">
        <w:t xml:space="preserve"> et al (2012), Zhang et al., (2014</w:t>
      </w:r>
      <w:r w:rsidRPr="005D4D4F">
        <w:rPr>
          <w:color w:val="000000" w:themeColor="text1"/>
        </w:rPr>
        <w:t>)</w:t>
      </w:r>
      <w:r w:rsidR="00D0638E" w:rsidRPr="005D4D4F">
        <w:rPr>
          <w:color w:val="000000" w:themeColor="text1"/>
        </w:rPr>
        <w:t>; Cochran et al., (2016))</w:t>
      </w:r>
      <w:r w:rsidRPr="005D4D4F">
        <w:rPr>
          <w:color w:val="000000" w:themeColor="text1"/>
        </w:rPr>
        <w:t xml:space="preserve"> with HNO</w:t>
      </w:r>
      <w:r w:rsidRPr="005D4D4F">
        <w:rPr>
          <w:color w:val="000000" w:themeColor="text1"/>
          <w:vertAlign w:val="subscript"/>
        </w:rPr>
        <w:t>3</w:t>
      </w:r>
      <w:r w:rsidRPr="005D4D4F">
        <w:rPr>
          <w:color w:val="000000" w:themeColor="text1"/>
        </w:rPr>
        <w:t xml:space="preserve"> and NO</w:t>
      </w:r>
      <w:r w:rsidRPr="005D4D4F">
        <w:rPr>
          <w:color w:val="000000" w:themeColor="text1"/>
          <w:vertAlign w:val="subscript"/>
        </w:rPr>
        <w:t>2</w:t>
      </w:r>
      <w:r w:rsidRPr="005D4D4F">
        <w:rPr>
          <w:color w:val="000000" w:themeColor="text1"/>
        </w:rPr>
        <w:t xml:space="preserve"> released into the gas-phase (Gross and Bertram, 2008). </w:t>
      </w:r>
      <w:r w:rsidR="00C92401" w:rsidRPr="005D4D4F">
        <w:rPr>
          <w:i/>
          <w:color w:val="000000" w:themeColor="text1"/>
        </w:rPr>
        <w:t>B</w:t>
      </w:r>
      <w:r w:rsidR="002309F0" w:rsidRPr="005D4D4F">
        <w:rPr>
          <w:i/>
          <w:color w:val="000000" w:themeColor="text1"/>
        </w:rPr>
        <w:t>enzo[a]anthracene</w:t>
      </w:r>
      <w:r w:rsidRPr="005D4D4F">
        <w:rPr>
          <w:color w:val="000000" w:themeColor="text1"/>
        </w:rPr>
        <w:t>:</w:t>
      </w:r>
      <w:r w:rsidR="002309F0" w:rsidRPr="005D4D4F">
        <w:rPr>
          <w:color w:val="000000" w:themeColor="text1"/>
        </w:rPr>
        <w:t xml:space="preserve"> </w:t>
      </w:r>
      <w:r w:rsidRPr="005D4D4F">
        <w:rPr>
          <w:color w:val="000000" w:themeColor="text1"/>
        </w:rPr>
        <w:t xml:space="preserve">7-nitrobenzo[a]anthracene, benzo[a]anthracene-7,12-dione </w:t>
      </w:r>
      <w:r w:rsidR="003D3093" w:rsidRPr="005D4D4F">
        <w:rPr>
          <w:color w:val="000000" w:themeColor="text1"/>
        </w:rPr>
        <w:t xml:space="preserve">(Zhang et al., 2011; </w:t>
      </w:r>
      <w:proofErr w:type="spellStart"/>
      <w:r w:rsidR="003D3093" w:rsidRPr="005D4D4F">
        <w:rPr>
          <w:color w:val="000000" w:themeColor="text1"/>
        </w:rPr>
        <w:t>Lui</w:t>
      </w:r>
      <w:proofErr w:type="spellEnd"/>
      <w:r w:rsidR="003D3093" w:rsidRPr="005D4D4F">
        <w:rPr>
          <w:color w:val="000000" w:themeColor="text1"/>
        </w:rPr>
        <w:t xml:space="preserve"> et al., </w:t>
      </w:r>
      <w:r w:rsidR="00916B79" w:rsidRPr="005D4D4F">
        <w:rPr>
          <w:color w:val="000000" w:themeColor="text1"/>
        </w:rPr>
        <w:t>2012)</w:t>
      </w:r>
      <w:r w:rsidRPr="005D4D4F">
        <w:rPr>
          <w:color w:val="000000" w:themeColor="text1"/>
        </w:rPr>
        <w:t xml:space="preserve">. </w:t>
      </w:r>
      <w:proofErr w:type="spellStart"/>
      <w:r w:rsidR="00D97997" w:rsidRPr="005D4D4F">
        <w:rPr>
          <w:i/>
          <w:color w:val="000000" w:themeColor="text1"/>
        </w:rPr>
        <w:t>Fluoranthene</w:t>
      </w:r>
      <w:proofErr w:type="spellEnd"/>
      <w:r w:rsidRPr="005D4D4F">
        <w:rPr>
          <w:color w:val="000000" w:themeColor="text1"/>
        </w:rPr>
        <w:t>:</w:t>
      </w:r>
      <w:r w:rsidR="00D97997" w:rsidRPr="005D4D4F">
        <w:rPr>
          <w:color w:val="000000" w:themeColor="text1"/>
        </w:rPr>
        <w:t xml:space="preserve"> </w:t>
      </w:r>
      <w:r w:rsidRPr="005D4D4F">
        <w:rPr>
          <w:color w:val="000000" w:themeColor="text1"/>
        </w:rPr>
        <w:t xml:space="preserve"> </w:t>
      </w:r>
      <w:r w:rsidR="00667DEF" w:rsidRPr="005D4D4F">
        <w:rPr>
          <w:color w:val="000000" w:themeColor="text1"/>
        </w:rPr>
        <w:t xml:space="preserve">2-nitro-fluoranthene </w:t>
      </w:r>
      <w:r w:rsidRPr="005D4D4F">
        <w:rPr>
          <w:color w:val="000000" w:themeColor="text1"/>
        </w:rPr>
        <w:t xml:space="preserve">Zhang et al., (2014). </w:t>
      </w:r>
      <w:r w:rsidR="00793351" w:rsidRPr="005D4D4F">
        <w:rPr>
          <w:i/>
          <w:color w:val="000000" w:themeColor="text1"/>
        </w:rPr>
        <w:t>Chrysene</w:t>
      </w:r>
      <w:r w:rsidRPr="005D4D4F">
        <w:rPr>
          <w:color w:val="000000" w:themeColor="text1"/>
        </w:rPr>
        <w:t xml:space="preserve">: 6-nitrochrysene and </w:t>
      </w:r>
      <w:proofErr w:type="spellStart"/>
      <w:r w:rsidRPr="005D4D4F">
        <w:rPr>
          <w:color w:val="000000" w:themeColor="text1"/>
        </w:rPr>
        <w:t>dinitrochyrsene</w:t>
      </w:r>
      <w:proofErr w:type="spellEnd"/>
      <w:r w:rsidRPr="005D4D4F">
        <w:rPr>
          <w:color w:val="000000" w:themeColor="text1"/>
        </w:rPr>
        <w:t xml:space="preserve"> (</w:t>
      </w:r>
      <w:proofErr w:type="spellStart"/>
      <w:r w:rsidR="00C3667F" w:rsidRPr="005D4D4F">
        <w:rPr>
          <w:color w:val="000000" w:themeColor="text1"/>
        </w:rPr>
        <w:t>Lui</w:t>
      </w:r>
      <w:proofErr w:type="spellEnd"/>
      <w:r w:rsidR="00C3667F" w:rsidRPr="005D4D4F">
        <w:rPr>
          <w:color w:val="000000" w:themeColor="text1"/>
        </w:rPr>
        <w:t xml:space="preserve"> et al</w:t>
      </w:r>
      <w:r w:rsidRPr="005D4D4F">
        <w:rPr>
          <w:color w:val="000000" w:themeColor="text1"/>
        </w:rPr>
        <w:t xml:space="preserve">., 2012). </w:t>
      </w:r>
      <w:r w:rsidR="00C3667F" w:rsidRPr="005D4D4F">
        <w:rPr>
          <w:i/>
          <w:color w:val="000000" w:themeColor="text1"/>
        </w:rPr>
        <w:t>Benz[a]</w:t>
      </w:r>
      <w:r w:rsidRPr="005D4D4F">
        <w:rPr>
          <w:i/>
          <w:color w:val="000000" w:themeColor="text1"/>
        </w:rPr>
        <w:t>pyrene</w:t>
      </w:r>
      <w:r w:rsidR="00C3667F" w:rsidRPr="005D4D4F">
        <w:rPr>
          <w:color w:val="000000" w:themeColor="text1"/>
        </w:rPr>
        <w:t xml:space="preserve">: </w:t>
      </w:r>
      <w:r w:rsidR="00936637" w:rsidRPr="005D4D4F">
        <w:rPr>
          <w:color w:val="000000" w:themeColor="text1"/>
        </w:rPr>
        <w:t>n</w:t>
      </w:r>
      <w:r w:rsidR="00C3667F" w:rsidRPr="005D4D4F">
        <w:rPr>
          <w:color w:val="000000" w:themeColor="text1"/>
        </w:rPr>
        <w:t xml:space="preserve">itrated </w:t>
      </w:r>
      <w:proofErr w:type="spellStart"/>
      <w:proofErr w:type="gramStart"/>
      <w:r w:rsidR="00C3667F" w:rsidRPr="005D4D4F">
        <w:rPr>
          <w:color w:val="000000" w:themeColor="text1"/>
        </w:rPr>
        <w:t>benz</w:t>
      </w:r>
      <w:proofErr w:type="spellEnd"/>
      <w:r w:rsidR="00C3667F" w:rsidRPr="005D4D4F">
        <w:rPr>
          <w:color w:val="000000" w:themeColor="text1"/>
        </w:rPr>
        <w:t>[</w:t>
      </w:r>
      <w:proofErr w:type="gramEnd"/>
      <w:r w:rsidR="00C3667F" w:rsidRPr="005D4D4F">
        <w:rPr>
          <w:color w:val="000000" w:themeColor="text1"/>
        </w:rPr>
        <w:t>a]pyrene</w:t>
      </w:r>
      <w:r w:rsidR="00936637" w:rsidRPr="005D4D4F">
        <w:rPr>
          <w:color w:val="000000" w:themeColor="text1"/>
        </w:rPr>
        <w:t xml:space="preserve"> (Lu et al., 2011). </w:t>
      </w:r>
      <w:r w:rsidR="00310AD6" w:rsidRPr="005D4D4F">
        <w:rPr>
          <w:i/>
          <w:color w:val="000000" w:themeColor="text1"/>
        </w:rPr>
        <w:t>Anthracene</w:t>
      </w:r>
      <w:r w:rsidR="00936637" w:rsidRPr="005D4D4F">
        <w:rPr>
          <w:color w:val="000000" w:themeColor="text1"/>
        </w:rPr>
        <w:t xml:space="preserve">: </w:t>
      </w:r>
      <w:r w:rsidR="00310AD6" w:rsidRPr="005D4D4F">
        <w:rPr>
          <w:color w:val="000000" w:themeColor="text1"/>
        </w:rPr>
        <w:t xml:space="preserve">9-Nitro-anthracene (Zhang et al., 2011; </w:t>
      </w:r>
      <w:proofErr w:type="spellStart"/>
      <w:r w:rsidR="00310AD6" w:rsidRPr="005D4D4F">
        <w:rPr>
          <w:color w:val="000000" w:themeColor="text1"/>
        </w:rPr>
        <w:t>Kwamena</w:t>
      </w:r>
      <w:proofErr w:type="spellEnd"/>
      <w:r w:rsidR="00310AD6" w:rsidRPr="005D4D4F">
        <w:rPr>
          <w:color w:val="000000" w:themeColor="text1"/>
        </w:rPr>
        <w:t xml:space="preserve"> and </w:t>
      </w:r>
      <w:proofErr w:type="spellStart"/>
      <w:r w:rsidR="00310AD6" w:rsidRPr="005D4D4F">
        <w:rPr>
          <w:color w:val="000000" w:themeColor="text1"/>
        </w:rPr>
        <w:t>Abbatt</w:t>
      </w:r>
      <w:proofErr w:type="spellEnd"/>
      <w:r w:rsidR="00310AD6" w:rsidRPr="005D4D4F">
        <w:rPr>
          <w:color w:val="000000" w:themeColor="text1"/>
        </w:rPr>
        <w:t>, 2008</w:t>
      </w:r>
      <w:r w:rsidR="00BE56C0" w:rsidRPr="005D4D4F">
        <w:rPr>
          <w:color w:val="000000" w:themeColor="text1"/>
        </w:rPr>
        <w:t>; Cochran et al., 2016</w:t>
      </w:r>
      <w:r w:rsidR="00310AD6" w:rsidRPr="005D4D4F">
        <w:rPr>
          <w:color w:val="000000" w:themeColor="text1"/>
        </w:rPr>
        <w:t xml:space="preserve">). </w:t>
      </w:r>
      <w:proofErr w:type="spellStart"/>
      <w:r w:rsidR="00936637" w:rsidRPr="005D4D4F">
        <w:rPr>
          <w:i/>
          <w:color w:val="000000" w:themeColor="text1"/>
        </w:rPr>
        <w:t>Phananthrene</w:t>
      </w:r>
      <w:proofErr w:type="spellEnd"/>
      <w:r w:rsidR="00086FD8" w:rsidRPr="005D4D4F">
        <w:rPr>
          <w:color w:val="000000" w:themeColor="text1"/>
        </w:rPr>
        <w:t>:</w:t>
      </w:r>
      <w:r w:rsidR="00936637" w:rsidRPr="005D4D4F">
        <w:rPr>
          <w:color w:val="000000" w:themeColor="text1"/>
        </w:rPr>
        <w:t xml:space="preserve"> mono-</w:t>
      </w:r>
      <w:proofErr w:type="spellStart"/>
      <w:r w:rsidR="00936637" w:rsidRPr="005D4D4F">
        <w:rPr>
          <w:color w:val="000000" w:themeColor="text1"/>
        </w:rPr>
        <w:t>nitrophenanthracenes</w:t>
      </w:r>
      <w:proofErr w:type="spellEnd"/>
      <w:r w:rsidR="00936637" w:rsidRPr="005D4D4F">
        <w:rPr>
          <w:color w:val="000000" w:themeColor="text1"/>
        </w:rPr>
        <w:t xml:space="preserve"> and </w:t>
      </w:r>
      <w:proofErr w:type="spellStart"/>
      <w:r w:rsidR="00936637" w:rsidRPr="005D4D4F">
        <w:rPr>
          <w:color w:val="000000" w:themeColor="text1"/>
        </w:rPr>
        <w:t>hydroxynitrates</w:t>
      </w:r>
      <w:proofErr w:type="spellEnd"/>
      <w:r w:rsidR="00936637" w:rsidRPr="005D4D4F">
        <w:rPr>
          <w:color w:val="000000" w:themeColor="text1"/>
        </w:rPr>
        <w:t xml:space="preserve"> of </w:t>
      </w:r>
      <w:proofErr w:type="spellStart"/>
      <w:r w:rsidR="00936637" w:rsidRPr="005D4D4F">
        <w:rPr>
          <w:color w:val="000000" w:themeColor="text1"/>
        </w:rPr>
        <w:t>phenanthrene</w:t>
      </w:r>
      <w:proofErr w:type="spellEnd"/>
      <w:r w:rsidR="00936637" w:rsidRPr="005D4D4F">
        <w:rPr>
          <w:color w:val="000000" w:themeColor="text1"/>
        </w:rPr>
        <w:t xml:space="preserve"> (</w:t>
      </w:r>
      <w:r w:rsidR="00086FD8" w:rsidRPr="005D4D4F">
        <w:rPr>
          <w:color w:val="000000" w:themeColor="text1"/>
        </w:rPr>
        <w:t>Zhang et al., 2011)</w:t>
      </w:r>
      <w:r w:rsidR="00936637" w:rsidRPr="005D4D4F">
        <w:rPr>
          <w:color w:val="000000" w:themeColor="text1"/>
        </w:rPr>
        <w:t xml:space="preserve">.  </w:t>
      </w:r>
      <w:proofErr w:type="spellStart"/>
      <w:r w:rsidR="00086FD8" w:rsidRPr="005D4D4F">
        <w:rPr>
          <w:i/>
          <w:color w:val="000000" w:themeColor="text1"/>
        </w:rPr>
        <w:t>Carbaryl</w:t>
      </w:r>
      <w:proofErr w:type="spellEnd"/>
      <w:r w:rsidR="00936637" w:rsidRPr="005D4D4F">
        <w:rPr>
          <w:color w:val="000000" w:themeColor="text1"/>
        </w:rPr>
        <w:t xml:space="preserve">: </w:t>
      </w:r>
      <w:r w:rsidR="00F562DC" w:rsidRPr="005D4D4F">
        <w:rPr>
          <w:color w:val="000000" w:themeColor="text1"/>
        </w:rPr>
        <w:t>Initial product is (nitro-1-naphthyl) M-methylcarbamate with dinitro-1-naphthyl</w:t>
      </w:r>
      <w:proofErr w:type="gramStart"/>
      <w:r w:rsidR="00F562DC" w:rsidRPr="005D4D4F">
        <w:rPr>
          <w:color w:val="000000" w:themeColor="text1"/>
        </w:rPr>
        <w:t>)N</w:t>
      </w:r>
      <w:proofErr w:type="gramEnd"/>
      <w:r w:rsidR="00F562DC" w:rsidRPr="005D4D4F">
        <w:rPr>
          <w:color w:val="000000" w:themeColor="text1"/>
        </w:rPr>
        <w:t xml:space="preserve">-methylcarbamate, (hydroxy-1-naphthyl)N-methylcarbamate and (hydroxy-nitro-1-naphthyl)N-methylcarbamate </w:t>
      </w:r>
      <w:r w:rsidR="00936637" w:rsidRPr="005D4D4F">
        <w:rPr>
          <w:color w:val="000000" w:themeColor="text1"/>
        </w:rPr>
        <w:t xml:space="preserve">formed in secondary steps (Yang et al., 2011). </w:t>
      </w:r>
      <w:proofErr w:type="spellStart"/>
      <w:r w:rsidR="00A86760" w:rsidRPr="005D4D4F">
        <w:rPr>
          <w:i/>
          <w:color w:val="000000" w:themeColor="text1"/>
        </w:rPr>
        <w:t>Triphenylene</w:t>
      </w:r>
      <w:proofErr w:type="spellEnd"/>
      <w:r w:rsidR="00A86760" w:rsidRPr="005D4D4F">
        <w:rPr>
          <w:color w:val="000000" w:themeColor="text1"/>
        </w:rPr>
        <w:t>:</w:t>
      </w:r>
      <w:r w:rsidR="00936637" w:rsidRPr="005D4D4F">
        <w:rPr>
          <w:color w:val="000000" w:themeColor="text1"/>
        </w:rPr>
        <w:t xml:space="preserve"> 1-nitroreiphenylene (major) and 2-nitrotriphenylene, (</w:t>
      </w:r>
      <w:r w:rsidR="00A86760" w:rsidRPr="005D4D4F">
        <w:rPr>
          <w:color w:val="000000" w:themeColor="text1"/>
        </w:rPr>
        <w:t>Zhang et al., 2011)</w:t>
      </w:r>
      <w:r w:rsidR="00936637" w:rsidRPr="005D4D4F">
        <w:rPr>
          <w:color w:val="000000" w:themeColor="text1"/>
        </w:rPr>
        <w:t xml:space="preserve">. </w:t>
      </w:r>
    </w:p>
    <w:p w:rsidR="009B20A1" w:rsidRPr="00936637" w:rsidRDefault="009B20A1" w:rsidP="003F1DE0">
      <w:pPr>
        <w:pStyle w:val="IUPACpreferredcommentstext"/>
      </w:pPr>
    </w:p>
    <w:p w:rsidR="002F5C5A" w:rsidRDefault="002F5C5A" w:rsidP="00D764C1">
      <w:pPr>
        <w:pStyle w:val="IUPACTitle"/>
      </w:pPr>
      <w:r>
        <w:lastRenderedPageBreak/>
        <w:t>References</w:t>
      </w:r>
    </w:p>
    <w:p w:rsidR="00A81E2D" w:rsidRPr="00A81E2D" w:rsidRDefault="00A81E2D" w:rsidP="00A81E2D">
      <w:pPr>
        <w:rPr>
          <w:lang w:val="en-AU"/>
        </w:rPr>
      </w:pPr>
    </w:p>
    <w:p w:rsidR="00C70D09" w:rsidRPr="00275BB1" w:rsidRDefault="00C70D09" w:rsidP="00A4579D">
      <w:pPr>
        <w:pStyle w:val="IUPACreference"/>
        <w:rPr>
          <w:rFonts w:cs="Times New Roman"/>
          <w:color w:val="FF0000"/>
          <w:lang w:val="en-GB"/>
        </w:rPr>
      </w:pPr>
    </w:p>
    <w:p w:rsidR="00D0638E" w:rsidRPr="00D0638E" w:rsidRDefault="00D0638E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r w:rsidRPr="00D0638E">
        <w:rPr>
          <w:rFonts w:eastAsia="Times New Roman"/>
          <w:szCs w:val="24"/>
          <w:lang w:eastAsia="en-GB"/>
        </w:rPr>
        <w:t xml:space="preserve">Cochran, R. E., </w:t>
      </w:r>
      <w:proofErr w:type="spellStart"/>
      <w:r w:rsidRPr="00D0638E">
        <w:rPr>
          <w:rFonts w:eastAsia="Times New Roman"/>
          <w:szCs w:val="24"/>
          <w:lang w:eastAsia="en-GB"/>
        </w:rPr>
        <w:t>Jeong</w:t>
      </w:r>
      <w:proofErr w:type="spellEnd"/>
      <w:r w:rsidRPr="00D0638E">
        <w:rPr>
          <w:rFonts w:eastAsia="Times New Roman"/>
          <w:szCs w:val="24"/>
          <w:lang w:eastAsia="en-GB"/>
        </w:rPr>
        <w:t xml:space="preserve">, H., Haddadi, S., </w:t>
      </w:r>
      <w:proofErr w:type="spellStart"/>
      <w:r w:rsidRPr="00D0638E">
        <w:rPr>
          <w:rFonts w:eastAsia="Times New Roman"/>
          <w:szCs w:val="24"/>
          <w:lang w:eastAsia="en-GB"/>
        </w:rPr>
        <w:t>Derseh</w:t>
      </w:r>
      <w:proofErr w:type="spellEnd"/>
      <w:r w:rsidRPr="00D0638E">
        <w:rPr>
          <w:rFonts w:eastAsia="Times New Roman"/>
          <w:szCs w:val="24"/>
          <w:lang w:eastAsia="en-GB"/>
        </w:rPr>
        <w:t xml:space="preserve">, R. F., </w:t>
      </w:r>
      <w:proofErr w:type="spellStart"/>
      <w:r w:rsidRPr="00D0638E">
        <w:rPr>
          <w:rFonts w:eastAsia="Times New Roman"/>
          <w:szCs w:val="24"/>
          <w:lang w:eastAsia="en-GB"/>
        </w:rPr>
        <w:t>Gowan</w:t>
      </w:r>
      <w:proofErr w:type="spellEnd"/>
      <w:r w:rsidRPr="00D0638E">
        <w:rPr>
          <w:rFonts w:eastAsia="Times New Roman"/>
          <w:szCs w:val="24"/>
          <w:lang w:eastAsia="en-GB"/>
        </w:rPr>
        <w:t xml:space="preserve">, A., </w:t>
      </w:r>
      <w:proofErr w:type="spellStart"/>
      <w:r w:rsidRPr="00D0638E">
        <w:rPr>
          <w:rFonts w:eastAsia="Times New Roman"/>
          <w:szCs w:val="24"/>
          <w:lang w:eastAsia="en-GB"/>
        </w:rPr>
        <w:t>Beranek</w:t>
      </w:r>
      <w:proofErr w:type="spellEnd"/>
      <w:r w:rsidRPr="00D0638E">
        <w:rPr>
          <w:rFonts w:eastAsia="Times New Roman"/>
          <w:szCs w:val="24"/>
          <w:lang w:eastAsia="en-GB"/>
        </w:rPr>
        <w:t xml:space="preserve">, J., and </w:t>
      </w:r>
      <w:proofErr w:type="spellStart"/>
      <w:r w:rsidRPr="00D0638E">
        <w:rPr>
          <w:rFonts w:eastAsia="Times New Roman"/>
          <w:szCs w:val="24"/>
          <w:lang w:eastAsia="en-GB"/>
        </w:rPr>
        <w:t>Kubatova</w:t>
      </w:r>
      <w:proofErr w:type="spellEnd"/>
      <w:r w:rsidRPr="00D0638E">
        <w:rPr>
          <w:rFonts w:eastAsia="Times New Roman"/>
          <w:szCs w:val="24"/>
          <w:lang w:eastAsia="en-GB"/>
        </w:rPr>
        <w:t xml:space="preserve">, A., Atmos. </w:t>
      </w:r>
      <w:proofErr w:type="spellStart"/>
      <w:r w:rsidRPr="00D0638E">
        <w:rPr>
          <w:rFonts w:eastAsia="Times New Roman"/>
          <w:szCs w:val="24"/>
          <w:lang w:eastAsia="en-GB"/>
        </w:rPr>
        <w:t>Env</w:t>
      </w:r>
      <w:proofErr w:type="spellEnd"/>
      <w:r w:rsidRPr="00D0638E">
        <w:rPr>
          <w:rFonts w:eastAsia="Times New Roman"/>
          <w:szCs w:val="24"/>
          <w:lang w:eastAsia="en-GB"/>
        </w:rPr>
        <w:t>., 128, 92-103</w:t>
      </w:r>
      <w:proofErr w:type="gramStart"/>
      <w:r w:rsidRPr="00D0638E">
        <w:rPr>
          <w:rFonts w:eastAsia="Times New Roman"/>
          <w:szCs w:val="24"/>
          <w:lang w:eastAsia="en-GB"/>
        </w:rPr>
        <w:t>,  2016</w:t>
      </w:r>
      <w:proofErr w:type="gramEnd"/>
      <w:r w:rsidRPr="00D0638E">
        <w:rPr>
          <w:rFonts w:eastAsia="Times New Roman"/>
          <w:szCs w:val="24"/>
          <w:lang w:eastAsia="en-GB"/>
        </w:rPr>
        <w:t>.</w:t>
      </w:r>
    </w:p>
    <w:p w:rsidR="00C3289A" w:rsidRPr="00936637" w:rsidRDefault="00C3289A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r w:rsidRPr="00936637">
        <w:rPr>
          <w:rFonts w:eastAsia="Times New Roman"/>
          <w:szCs w:val="24"/>
          <w:lang w:eastAsia="en-GB"/>
        </w:rPr>
        <w:t>Gross, S., and Bertram, A. K., J. Phys. Chem. A, 112, 3104-3113</w:t>
      </w:r>
      <w:proofErr w:type="gramStart"/>
      <w:r w:rsidRPr="00936637">
        <w:rPr>
          <w:rFonts w:eastAsia="Times New Roman"/>
          <w:szCs w:val="24"/>
          <w:lang w:eastAsia="en-GB"/>
        </w:rPr>
        <w:t>,  2008</w:t>
      </w:r>
      <w:proofErr w:type="gramEnd"/>
      <w:r w:rsidRPr="00936637">
        <w:rPr>
          <w:rFonts w:eastAsia="Times New Roman"/>
          <w:szCs w:val="24"/>
          <w:lang w:eastAsia="en-GB"/>
        </w:rPr>
        <w:t>.</w:t>
      </w:r>
    </w:p>
    <w:p w:rsidR="00C3289A" w:rsidRPr="00936637" w:rsidRDefault="00C3289A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proofErr w:type="spellStart"/>
      <w:r w:rsidRPr="00936637">
        <w:rPr>
          <w:rFonts w:eastAsia="Times New Roman"/>
          <w:szCs w:val="24"/>
          <w:lang w:eastAsia="en-GB"/>
        </w:rPr>
        <w:t>Kwamena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N. O. A., and </w:t>
      </w:r>
      <w:proofErr w:type="spellStart"/>
      <w:r w:rsidRPr="00936637">
        <w:rPr>
          <w:rFonts w:eastAsia="Times New Roman"/>
          <w:szCs w:val="24"/>
          <w:lang w:eastAsia="en-GB"/>
        </w:rPr>
        <w:t>Abbatt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J. P. D., Atmos. </w:t>
      </w:r>
      <w:proofErr w:type="spellStart"/>
      <w:r w:rsidRPr="00936637">
        <w:rPr>
          <w:rFonts w:eastAsia="Times New Roman"/>
          <w:szCs w:val="24"/>
          <w:lang w:eastAsia="en-GB"/>
        </w:rPr>
        <w:t>Env</w:t>
      </w:r>
      <w:proofErr w:type="spellEnd"/>
      <w:r w:rsidRPr="00936637">
        <w:rPr>
          <w:rFonts w:eastAsia="Times New Roman"/>
          <w:szCs w:val="24"/>
          <w:lang w:eastAsia="en-GB"/>
        </w:rPr>
        <w:t>., 42, 8309-8314,  2008.</w:t>
      </w:r>
    </w:p>
    <w:p w:rsidR="00C906AC" w:rsidRPr="00936637" w:rsidRDefault="00C906AC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proofErr w:type="gramStart"/>
      <w:r w:rsidRPr="00936637">
        <w:rPr>
          <w:rFonts w:eastAsia="Times New Roman"/>
          <w:szCs w:val="24"/>
          <w:lang w:eastAsia="en-GB"/>
        </w:rPr>
        <w:t xml:space="preserve">Liu, C. G., Zhang, P., Yang, B., Wang, Y. F., and Shu, J. N., </w:t>
      </w:r>
      <w:proofErr w:type="spellStart"/>
      <w:r w:rsidRPr="00936637">
        <w:rPr>
          <w:rFonts w:eastAsia="Times New Roman"/>
          <w:szCs w:val="24"/>
          <w:lang w:eastAsia="en-GB"/>
        </w:rPr>
        <w:t>Env</w:t>
      </w:r>
      <w:proofErr w:type="spellEnd"/>
      <w:r w:rsidRPr="00936637">
        <w:rPr>
          <w:rFonts w:eastAsia="Times New Roman"/>
          <w:szCs w:val="24"/>
          <w:lang w:eastAsia="en-GB"/>
        </w:rPr>
        <w:t>.</w:t>
      </w:r>
      <w:proofErr w:type="gramEnd"/>
      <w:r w:rsidRPr="00936637">
        <w:rPr>
          <w:rFonts w:eastAsia="Times New Roman"/>
          <w:szCs w:val="24"/>
          <w:lang w:eastAsia="en-GB"/>
        </w:rPr>
        <w:t xml:space="preserve"> Sci. Tech., 46, 7575-7580</w:t>
      </w:r>
      <w:proofErr w:type="gramStart"/>
      <w:r w:rsidRPr="00936637">
        <w:rPr>
          <w:rFonts w:eastAsia="Times New Roman"/>
          <w:szCs w:val="24"/>
          <w:lang w:eastAsia="en-GB"/>
        </w:rPr>
        <w:t>,  2012</w:t>
      </w:r>
      <w:proofErr w:type="gramEnd"/>
      <w:r w:rsidRPr="00936637">
        <w:rPr>
          <w:rFonts w:eastAsia="Times New Roman"/>
          <w:szCs w:val="24"/>
          <w:lang w:eastAsia="en-GB"/>
        </w:rPr>
        <w:t>.</w:t>
      </w:r>
    </w:p>
    <w:p w:rsidR="00061E5E" w:rsidRPr="00936637" w:rsidRDefault="00061E5E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r w:rsidRPr="00936637">
        <w:rPr>
          <w:rFonts w:eastAsia="Times New Roman"/>
          <w:szCs w:val="24"/>
          <w:lang w:eastAsia="en-GB"/>
        </w:rPr>
        <w:t xml:space="preserve">Lu, J. W., Flores, J. M., </w:t>
      </w:r>
      <w:proofErr w:type="spellStart"/>
      <w:r w:rsidRPr="00936637">
        <w:rPr>
          <w:rFonts w:eastAsia="Times New Roman"/>
          <w:szCs w:val="24"/>
          <w:lang w:eastAsia="en-GB"/>
        </w:rPr>
        <w:t>Lavi</w:t>
      </w:r>
      <w:proofErr w:type="spellEnd"/>
      <w:r w:rsidRPr="00936637">
        <w:rPr>
          <w:rFonts w:eastAsia="Times New Roman"/>
          <w:szCs w:val="24"/>
          <w:lang w:eastAsia="en-GB"/>
        </w:rPr>
        <w:t>, A., Abo-</w:t>
      </w:r>
      <w:proofErr w:type="spellStart"/>
      <w:r w:rsidRPr="00936637">
        <w:rPr>
          <w:rFonts w:eastAsia="Times New Roman"/>
          <w:szCs w:val="24"/>
          <w:lang w:eastAsia="en-GB"/>
        </w:rPr>
        <w:t>Riziq</w:t>
      </w:r>
      <w:proofErr w:type="spellEnd"/>
      <w:r w:rsidRPr="00936637">
        <w:rPr>
          <w:rFonts w:eastAsia="Times New Roman"/>
          <w:szCs w:val="24"/>
          <w:lang w:eastAsia="en-GB"/>
        </w:rPr>
        <w:t>, A., and Rudich, Y., Phys. Chem. Chem. Phys., 13, 6484-6492,  2011.</w:t>
      </w:r>
    </w:p>
    <w:p w:rsidR="00C3289A" w:rsidRPr="00936637" w:rsidRDefault="00C3289A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proofErr w:type="spellStart"/>
      <w:r w:rsidRPr="00936637">
        <w:rPr>
          <w:rFonts w:eastAsia="Times New Roman"/>
          <w:szCs w:val="24"/>
          <w:lang w:eastAsia="en-GB"/>
        </w:rPr>
        <w:t>Mak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J., Gross, S., and Bertram, A. K., </w:t>
      </w:r>
      <w:proofErr w:type="spellStart"/>
      <w:r w:rsidRPr="00936637">
        <w:rPr>
          <w:rFonts w:eastAsia="Times New Roman"/>
          <w:szCs w:val="24"/>
          <w:lang w:eastAsia="en-GB"/>
        </w:rPr>
        <w:t>Geophys</w:t>
      </w:r>
      <w:proofErr w:type="spellEnd"/>
      <w:r w:rsidRPr="00936637">
        <w:rPr>
          <w:rFonts w:eastAsia="Times New Roman"/>
          <w:szCs w:val="24"/>
          <w:lang w:eastAsia="en-GB"/>
        </w:rPr>
        <w:t>. Res. Lett., 34</w:t>
      </w:r>
      <w:proofErr w:type="gramStart"/>
      <w:r w:rsidRPr="00936637">
        <w:rPr>
          <w:rFonts w:eastAsia="Times New Roman"/>
          <w:szCs w:val="24"/>
          <w:lang w:eastAsia="en-GB"/>
        </w:rPr>
        <w:t>,  2007</w:t>
      </w:r>
      <w:proofErr w:type="gramEnd"/>
      <w:r w:rsidRPr="00936637">
        <w:rPr>
          <w:rFonts w:eastAsia="Times New Roman"/>
          <w:szCs w:val="24"/>
          <w:lang w:eastAsia="en-GB"/>
        </w:rPr>
        <w:t>.</w:t>
      </w:r>
    </w:p>
    <w:p w:rsidR="00A4579D" w:rsidRPr="00936637" w:rsidRDefault="00C3289A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r w:rsidRPr="00936637">
        <w:rPr>
          <w:rFonts w:eastAsia="Times New Roman"/>
          <w:szCs w:val="24"/>
          <w:lang w:eastAsia="en-GB"/>
        </w:rPr>
        <w:t xml:space="preserve">Pitts, J. N., </w:t>
      </w:r>
      <w:proofErr w:type="spellStart"/>
      <w:r w:rsidRPr="00936637">
        <w:rPr>
          <w:rFonts w:eastAsia="Times New Roman"/>
          <w:szCs w:val="24"/>
          <w:lang w:eastAsia="en-GB"/>
        </w:rPr>
        <w:t>Zielinska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B., </w:t>
      </w:r>
      <w:proofErr w:type="spellStart"/>
      <w:r w:rsidRPr="00936637">
        <w:rPr>
          <w:rFonts w:eastAsia="Times New Roman"/>
          <w:szCs w:val="24"/>
          <w:lang w:eastAsia="en-GB"/>
        </w:rPr>
        <w:t>Sweetman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J. A., Atkinson, R., and Winer, A. M., Atmos. </w:t>
      </w:r>
      <w:proofErr w:type="spellStart"/>
      <w:r w:rsidRPr="00936637">
        <w:rPr>
          <w:rFonts w:eastAsia="Times New Roman"/>
          <w:szCs w:val="24"/>
          <w:lang w:eastAsia="en-GB"/>
        </w:rPr>
        <w:t>Env</w:t>
      </w:r>
      <w:proofErr w:type="spellEnd"/>
      <w:r w:rsidRPr="00936637">
        <w:rPr>
          <w:rFonts w:eastAsia="Times New Roman"/>
          <w:szCs w:val="24"/>
          <w:lang w:eastAsia="en-GB"/>
        </w:rPr>
        <w:t>., 19, 911-915,  1985.</w:t>
      </w:r>
    </w:p>
    <w:p w:rsidR="00D764C1" w:rsidRPr="00936637" w:rsidRDefault="00D764C1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r w:rsidRPr="00936637">
        <w:rPr>
          <w:rFonts w:eastAsia="Times New Roman"/>
          <w:szCs w:val="24"/>
          <w:lang w:eastAsia="en-GB"/>
        </w:rPr>
        <w:t xml:space="preserve">Yang, B., </w:t>
      </w:r>
      <w:proofErr w:type="spellStart"/>
      <w:r w:rsidRPr="00936637">
        <w:rPr>
          <w:rFonts w:eastAsia="Times New Roman"/>
          <w:szCs w:val="24"/>
          <w:lang w:eastAsia="en-GB"/>
        </w:rPr>
        <w:t>Meng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J. W., Zhang, Y., Liu, C. G., </w:t>
      </w:r>
      <w:proofErr w:type="spellStart"/>
      <w:r w:rsidRPr="00936637">
        <w:rPr>
          <w:rFonts w:eastAsia="Times New Roman"/>
          <w:szCs w:val="24"/>
          <w:lang w:eastAsia="en-GB"/>
        </w:rPr>
        <w:t>Gan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J., and Shu, J. N., Atmos. </w:t>
      </w:r>
      <w:proofErr w:type="spellStart"/>
      <w:r w:rsidRPr="00936637">
        <w:rPr>
          <w:rFonts w:eastAsia="Times New Roman"/>
          <w:szCs w:val="24"/>
          <w:lang w:eastAsia="en-GB"/>
        </w:rPr>
        <w:t>Env</w:t>
      </w:r>
      <w:proofErr w:type="spellEnd"/>
      <w:r w:rsidRPr="00936637">
        <w:rPr>
          <w:rFonts w:eastAsia="Times New Roman"/>
          <w:szCs w:val="24"/>
          <w:lang w:eastAsia="en-GB"/>
        </w:rPr>
        <w:t>., 45, 2074-2079,  2011.</w:t>
      </w:r>
    </w:p>
    <w:p w:rsidR="00C3289A" w:rsidRPr="00936637" w:rsidRDefault="00C3289A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r w:rsidRPr="00936637">
        <w:rPr>
          <w:rFonts w:eastAsia="Times New Roman"/>
          <w:szCs w:val="24"/>
          <w:lang w:eastAsia="en-GB"/>
        </w:rPr>
        <w:t xml:space="preserve">Zhang, Y., Yang, B., </w:t>
      </w:r>
      <w:proofErr w:type="spellStart"/>
      <w:r w:rsidRPr="00936637">
        <w:rPr>
          <w:rFonts w:eastAsia="Times New Roman"/>
          <w:szCs w:val="24"/>
          <w:lang w:eastAsia="en-GB"/>
        </w:rPr>
        <w:t>Gan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J., Liu, C. G., Shu, X., and Shu, J. N., Atmos. </w:t>
      </w:r>
      <w:proofErr w:type="spellStart"/>
      <w:proofErr w:type="gramStart"/>
      <w:r w:rsidRPr="00936637">
        <w:rPr>
          <w:rFonts w:eastAsia="Times New Roman"/>
          <w:szCs w:val="24"/>
          <w:lang w:eastAsia="en-GB"/>
        </w:rPr>
        <w:t>Env</w:t>
      </w:r>
      <w:proofErr w:type="spellEnd"/>
      <w:r w:rsidRPr="00936637">
        <w:rPr>
          <w:rFonts w:eastAsia="Times New Roman"/>
          <w:szCs w:val="24"/>
          <w:lang w:eastAsia="en-GB"/>
        </w:rPr>
        <w:t>.,</w:t>
      </w:r>
      <w:proofErr w:type="gramEnd"/>
      <w:r w:rsidRPr="00936637">
        <w:rPr>
          <w:rFonts w:eastAsia="Times New Roman"/>
          <w:szCs w:val="24"/>
          <w:lang w:eastAsia="en-GB"/>
        </w:rPr>
        <w:t xml:space="preserve"> 45, 2515-2521,  2011.</w:t>
      </w:r>
    </w:p>
    <w:p w:rsidR="00D764C1" w:rsidRPr="00936637" w:rsidRDefault="00D764C1" w:rsidP="00A4579D">
      <w:pPr>
        <w:pStyle w:val="Justified"/>
        <w:spacing w:after="0" w:line="240" w:lineRule="auto"/>
        <w:ind w:hanging="170"/>
        <w:rPr>
          <w:rFonts w:eastAsia="Times New Roman"/>
          <w:szCs w:val="24"/>
          <w:lang w:eastAsia="en-GB"/>
        </w:rPr>
      </w:pPr>
      <w:proofErr w:type="gramStart"/>
      <w:r w:rsidRPr="00936637">
        <w:rPr>
          <w:rFonts w:eastAsia="Times New Roman"/>
          <w:szCs w:val="24"/>
          <w:lang w:eastAsia="en-GB"/>
        </w:rPr>
        <w:t xml:space="preserve">Zimmermann, K., </w:t>
      </w:r>
      <w:proofErr w:type="spellStart"/>
      <w:r w:rsidRPr="00936637">
        <w:rPr>
          <w:rFonts w:eastAsia="Times New Roman"/>
          <w:szCs w:val="24"/>
          <w:lang w:eastAsia="en-GB"/>
        </w:rPr>
        <w:t>Jariyasopit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N., </w:t>
      </w:r>
      <w:proofErr w:type="spellStart"/>
      <w:r w:rsidRPr="00936637">
        <w:rPr>
          <w:rFonts w:eastAsia="Times New Roman"/>
          <w:szCs w:val="24"/>
          <w:lang w:eastAsia="en-GB"/>
        </w:rPr>
        <w:t>Simonich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S. L. M., Tao, S., Atkinson, R., and </w:t>
      </w:r>
      <w:proofErr w:type="spellStart"/>
      <w:r w:rsidRPr="00936637">
        <w:rPr>
          <w:rFonts w:eastAsia="Times New Roman"/>
          <w:szCs w:val="24"/>
          <w:lang w:eastAsia="en-GB"/>
        </w:rPr>
        <w:t>Arey</w:t>
      </w:r>
      <w:proofErr w:type="spellEnd"/>
      <w:r w:rsidRPr="00936637">
        <w:rPr>
          <w:rFonts w:eastAsia="Times New Roman"/>
          <w:szCs w:val="24"/>
          <w:lang w:eastAsia="en-GB"/>
        </w:rPr>
        <w:t xml:space="preserve">, J., </w:t>
      </w:r>
      <w:proofErr w:type="spellStart"/>
      <w:r w:rsidRPr="00936637">
        <w:rPr>
          <w:rFonts w:eastAsia="Times New Roman"/>
          <w:szCs w:val="24"/>
          <w:lang w:eastAsia="en-GB"/>
        </w:rPr>
        <w:t>Env</w:t>
      </w:r>
      <w:proofErr w:type="spellEnd"/>
      <w:r w:rsidRPr="00936637">
        <w:rPr>
          <w:rFonts w:eastAsia="Times New Roman"/>
          <w:szCs w:val="24"/>
          <w:lang w:eastAsia="en-GB"/>
        </w:rPr>
        <w:t>.</w:t>
      </w:r>
      <w:proofErr w:type="gramEnd"/>
      <w:r w:rsidRPr="00936637">
        <w:rPr>
          <w:rFonts w:eastAsia="Times New Roman"/>
          <w:szCs w:val="24"/>
          <w:lang w:eastAsia="en-GB"/>
        </w:rPr>
        <w:t xml:space="preserve"> Sci. Tech., 47, 8434-8442</w:t>
      </w:r>
      <w:proofErr w:type="gramStart"/>
      <w:r w:rsidRPr="00936637">
        <w:rPr>
          <w:rFonts w:eastAsia="Times New Roman"/>
          <w:szCs w:val="24"/>
          <w:lang w:eastAsia="en-GB"/>
        </w:rPr>
        <w:t>,  2013</w:t>
      </w:r>
      <w:proofErr w:type="gramEnd"/>
      <w:r w:rsidRPr="00936637">
        <w:rPr>
          <w:rFonts w:eastAsia="Times New Roman"/>
          <w:szCs w:val="24"/>
          <w:lang w:eastAsia="en-GB"/>
        </w:rPr>
        <w:t>.</w:t>
      </w:r>
    </w:p>
    <w:p w:rsidR="000A606E" w:rsidRPr="00275BB1" w:rsidRDefault="000A606E" w:rsidP="00A4579D">
      <w:pPr>
        <w:pStyle w:val="Justified"/>
        <w:spacing w:after="0" w:line="240" w:lineRule="auto"/>
        <w:ind w:hanging="170"/>
        <w:rPr>
          <w:lang w:val="en-GB"/>
        </w:rPr>
      </w:pPr>
    </w:p>
    <w:p w:rsidR="002F5C5A" w:rsidRDefault="002F5C5A">
      <w:pPr>
        <w:tabs>
          <w:tab w:val="left" w:pos="5265"/>
        </w:tabs>
      </w:pPr>
    </w:p>
    <w:sectPr w:rsidR="002F5C5A" w:rsidSect="00E22243">
      <w:pgSz w:w="11907" w:h="16840" w:code="9"/>
      <w:pgMar w:top="1134" w:right="1021" w:bottom="1134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1A7494"/>
    <w:lvl w:ilvl="0">
      <w:start w:val="1"/>
      <w:numFmt w:val="decimal"/>
      <w:pStyle w:val="JGR-HEAD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JGR-HEAD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9D30D74"/>
    <w:multiLevelType w:val="hybridMultilevel"/>
    <w:tmpl w:val="C032FA0E"/>
    <w:lvl w:ilvl="0" w:tplc="5BBEF09C">
      <w:start w:val="1"/>
      <w:numFmt w:val="decimal"/>
      <w:lvlText w:val="%1"/>
      <w:lvlJc w:val="left"/>
      <w:pPr>
        <w:tabs>
          <w:tab w:val="num" w:pos="360"/>
        </w:tabs>
        <w:ind w:left="301" w:hanging="301"/>
      </w:pPr>
      <w:rPr>
        <w:rFonts w:hint="default"/>
        <w:strike w:val="0"/>
        <w:dstrike w:val="0"/>
        <w:vertAlign w:val="superscript"/>
      </w:rPr>
    </w:lvl>
    <w:lvl w:ilvl="1" w:tplc="59DEF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EC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0E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F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0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E1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E8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2B8"/>
    <w:multiLevelType w:val="singleLevel"/>
    <w:tmpl w:val="E308647A"/>
    <w:lvl w:ilvl="0">
      <w:start w:val="4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1084542C"/>
    <w:multiLevelType w:val="singleLevel"/>
    <w:tmpl w:val="E640D6B6"/>
    <w:lvl w:ilvl="0">
      <w:start w:val="2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63F18AF"/>
    <w:multiLevelType w:val="singleLevel"/>
    <w:tmpl w:val="70003EA2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3193107F"/>
    <w:multiLevelType w:val="singleLevel"/>
    <w:tmpl w:val="07A45824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42435994"/>
    <w:multiLevelType w:val="singleLevel"/>
    <w:tmpl w:val="92D21FFA"/>
    <w:lvl w:ilvl="0">
      <w:start w:val="1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475F4D89"/>
    <w:multiLevelType w:val="singleLevel"/>
    <w:tmpl w:val="8ED0690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88D085E"/>
    <w:multiLevelType w:val="singleLevel"/>
    <w:tmpl w:val="6FCC7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7730E1"/>
    <w:multiLevelType w:val="singleLevel"/>
    <w:tmpl w:val="BA68E03C"/>
    <w:lvl w:ilvl="0">
      <w:start w:val="1993"/>
      <w:numFmt w:val="decimal"/>
      <w:lvlText w:val="%1"/>
      <w:lvlJc w:val="left"/>
      <w:pPr>
        <w:tabs>
          <w:tab w:val="num" w:pos="7974"/>
        </w:tabs>
        <w:ind w:left="7974" w:hanging="3120"/>
      </w:pPr>
      <w:rPr>
        <w:rFonts w:hint="default"/>
      </w:rPr>
    </w:lvl>
  </w:abstractNum>
  <w:abstractNum w:abstractNumId="11">
    <w:nsid w:val="4EF018B0"/>
    <w:multiLevelType w:val="hybridMultilevel"/>
    <w:tmpl w:val="A1421160"/>
    <w:lvl w:ilvl="0" w:tplc="5590E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C2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48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0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6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C4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89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0B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5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B245A"/>
    <w:multiLevelType w:val="singleLevel"/>
    <w:tmpl w:val="97C60158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3FE01AB"/>
    <w:multiLevelType w:val="hybridMultilevel"/>
    <w:tmpl w:val="8334F2CC"/>
    <w:lvl w:ilvl="0" w:tplc="3FC6DCCA">
      <w:start w:val="1"/>
      <w:numFmt w:val="lowerLetter"/>
      <w:pStyle w:val="IUPACexpcommenttext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7C2F"/>
    <w:multiLevelType w:val="singleLevel"/>
    <w:tmpl w:val="D57C9A3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F52DBF"/>
    <w:multiLevelType w:val="singleLevel"/>
    <w:tmpl w:val="45786BBC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76415AF1"/>
    <w:multiLevelType w:val="singleLevel"/>
    <w:tmpl w:val="1C4E2B06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76DE055D"/>
    <w:multiLevelType w:val="singleLevel"/>
    <w:tmpl w:val="D3E2242E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pernicus_Publica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2tse2s5ewzp0uewz5e59efcztw0w9pw2eev&quot;&gt;AG Crowley&lt;record-ids&gt;&lt;item&gt;3314&lt;/item&gt;&lt;item&gt;3547&lt;/item&gt;&lt;item&gt;4353&lt;/item&gt;&lt;/record-ids&gt;&lt;/item&gt;&lt;/Libraries&gt;"/>
    <w:docVar w:name="EN_Doc_Font_List_Name" w:val="_x0001__x0001__x000f_Times New Roman"/>
    <w:docVar w:name="EN_Lib_Name_List_Name" w:val="1220_12_05.enl"/>
    <w:docVar w:name="EN_Main_Body_Style_Name" w:val="IUPAC"/>
  </w:docVars>
  <w:rsids>
    <w:rsidRoot w:val="007B4013"/>
    <w:rsid w:val="00061E5E"/>
    <w:rsid w:val="00064504"/>
    <w:rsid w:val="00086FD8"/>
    <w:rsid w:val="00095115"/>
    <w:rsid w:val="000A606E"/>
    <w:rsid w:val="000A6EBE"/>
    <w:rsid w:val="00122D9B"/>
    <w:rsid w:val="0016717C"/>
    <w:rsid w:val="001767BE"/>
    <w:rsid w:val="0018370C"/>
    <w:rsid w:val="001A28F0"/>
    <w:rsid w:val="001B1479"/>
    <w:rsid w:val="001D6205"/>
    <w:rsid w:val="001E2BCA"/>
    <w:rsid w:val="001F3E0E"/>
    <w:rsid w:val="00222EE9"/>
    <w:rsid w:val="002309F0"/>
    <w:rsid w:val="0023650A"/>
    <w:rsid w:val="002536C1"/>
    <w:rsid w:val="0026161B"/>
    <w:rsid w:val="00275BB1"/>
    <w:rsid w:val="002774F3"/>
    <w:rsid w:val="002D48CD"/>
    <w:rsid w:val="002D6B80"/>
    <w:rsid w:val="002E652C"/>
    <w:rsid w:val="002F5C5A"/>
    <w:rsid w:val="00304A1A"/>
    <w:rsid w:val="00310AD6"/>
    <w:rsid w:val="003912D9"/>
    <w:rsid w:val="00395672"/>
    <w:rsid w:val="003D3093"/>
    <w:rsid w:val="003D376A"/>
    <w:rsid w:val="003F1DE0"/>
    <w:rsid w:val="00430BD2"/>
    <w:rsid w:val="00465779"/>
    <w:rsid w:val="004A7EDE"/>
    <w:rsid w:val="004B6229"/>
    <w:rsid w:val="004E4292"/>
    <w:rsid w:val="004E4FF9"/>
    <w:rsid w:val="005146FD"/>
    <w:rsid w:val="00522117"/>
    <w:rsid w:val="0052356A"/>
    <w:rsid w:val="00525EC6"/>
    <w:rsid w:val="00527269"/>
    <w:rsid w:val="00536594"/>
    <w:rsid w:val="00541707"/>
    <w:rsid w:val="0058261C"/>
    <w:rsid w:val="005A45AD"/>
    <w:rsid w:val="005C1E07"/>
    <w:rsid w:val="005C36F3"/>
    <w:rsid w:val="005C5201"/>
    <w:rsid w:val="005D1BDC"/>
    <w:rsid w:val="005D4D4F"/>
    <w:rsid w:val="005F66B0"/>
    <w:rsid w:val="0065682C"/>
    <w:rsid w:val="006655EC"/>
    <w:rsid w:val="00667DEF"/>
    <w:rsid w:val="006E7C85"/>
    <w:rsid w:val="006E7D65"/>
    <w:rsid w:val="006F4761"/>
    <w:rsid w:val="0070324E"/>
    <w:rsid w:val="007446F7"/>
    <w:rsid w:val="007768B0"/>
    <w:rsid w:val="00793351"/>
    <w:rsid w:val="00793989"/>
    <w:rsid w:val="007B4013"/>
    <w:rsid w:val="007C2602"/>
    <w:rsid w:val="007F51EA"/>
    <w:rsid w:val="008102B6"/>
    <w:rsid w:val="00812E83"/>
    <w:rsid w:val="00836397"/>
    <w:rsid w:val="00876A5B"/>
    <w:rsid w:val="0087704C"/>
    <w:rsid w:val="008E7338"/>
    <w:rsid w:val="00911F24"/>
    <w:rsid w:val="00916B79"/>
    <w:rsid w:val="00930305"/>
    <w:rsid w:val="00936637"/>
    <w:rsid w:val="009679A7"/>
    <w:rsid w:val="00967E21"/>
    <w:rsid w:val="009739AF"/>
    <w:rsid w:val="00995C18"/>
    <w:rsid w:val="009B20A1"/>
    <w:rsid w:val="009D34C5"/>
    <w:rsid w:val="00A0330E"/>
    <w:rsid w:val="00A42734"/>
    <w:rsid w:val="00A4399E"/>
    <w:rsid w:val="00A45389"/>
    <w:rsid w:val="00A4579D"/>
    <w:rsid w:val="00A4724E"/>
    <w:rsid w:val="00A61F8D"/>
    <w:rsid w:val="00A81E2D"/>
    <w:rsid w:val="00A86760"/>
    <w:rsid w:val="00AB0DE6"/>
    <w:rsid w:val="00AE1A5D"/>
    <w:rsid w:val="00AE2342"/>
    <w:rsid w:val="00AF13C5"/>
    <w:rsid w:val="00B017DC"/>
    <w:rsid w:val="00B40272"/>
    <w:rsid w:val="00B840D0"/>
    <w:rsid w:val="00BC0A62"/>
    <w:rsid w:val="00BE56C0"/>
    <w:rsid w:val="00C015E9"/>
    <w:rsid w:val="00C02919"/>
    <w:rsid w:val="00C05E1E"/>
    <w:rsid w:val="00C30251"/>
    <w:rsid w:val="00C3289A"/>
    <w:rsid w:val="00C35E43"/>
    <w:rsid w:val="00C3667F"/>
    <w:rsid w:val="00C55F01"/>
    <w:rsid w:val="00C70A21"/>
    <w:rsid w:val="00C70D09"/>
    <w:rsid w:val="00C906AC"/>
    <w:rsid w:val="00C92401"/>
    <w:rsid w:val="00CA6636"/>
    <w:rsid w:val="00CB3305"/>
    <w:rsid w:val="00CC6D16"/>
    <w:rsid w:val="00D0638E"/>
    <w:rsid w:val="00D0689A"/>
    <w:rsid w:val="00D169BC"/>
    <w:rsid w:val="00D503B0"/>
    <w:rsid w:val="00D764C1"/>
    <w:rsid w:val="00D84FEE"/>
    <w:rsid w:val="00D97997"/>
    <w:rsid w:val="00DC7D11"/>
    <w:rsid w:val="00DD7C30"/>
    <w:rsid w:val="00E22243"/>
    <w:rsid w:val="00E262BA"/>
    <w:rsid w:val="00E6016C"/>
    <w:rsid w:val="00E86209"/>
    <w:rsid w:val="00E96C50"/>
    <w:rsid w:val="00ED096D"/>
    <w:rsid w:val="00ED1357"/>
    <w:rsid w:val="00ED3391"/>
    <w:rsid w:val="00EF5B3C"/>
    <w:rsid w:val="00F0399B"/>
    <w:rsid w:val="00F064C0"/>
    <w:rsid w:val="00F302DC"/>
    <w:rsid w:val="00F562DC"/>
    <w:rsid w:val="00F612A2"/>
    <w:rsid w:val="00F6793B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D764C1"/>
    <w:pPr>
      <w:keepNext/>
      <w:jc w:val="center"/>
    </w:pPr>
    <w:rPr>
      <w:rFonts w:cs="Times"/>
      <w:b/>
      <w:sz w:val="22"/>
      <w:szCs w:val="22"/>
      <w:lang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C906AC"/>
    <w:pPr>
      <w:numPr>
        <w:numId w:val="23"/>
      </w:numPr>
      <w:spacing w:after="120"/>
      <w:jc w:val="both"/>
    </w:pPr>
    <w:rPr>
      <w:rFonts w:cs="Times"/>
      <w:sz w:val="24"/>
      <w:szCs w:val="24"/>
      <w:lang w:eastAsia="en-US"/>
    </w:rPr>
  </w:style>
  <w:style w:type="paragraph" w:customStyle="1" w:styleId="IUPACpreferredcommentstext">
    <w:name w:val="IUPAC preferred comments text"/>
    <w:basedOn w:val="Normal"/>
    <w:autoRedefine/>
    <w:rsid w:val="003F1DE0"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D764C1"/>
    <w:pPr>
      <w:keepNext/>
      <w:jc w:val="center"/>
    </w:pPr>
    <w:rPr>
      <w:rFonts w:cs="Times"/>
      <w:b/>
      <w:sz w:val="22"/>
      <w:szCs w:val="22"/>
      <w:lang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C906AC"/>
    <w:pPr>
      <w:numPr>
        <w:numId w:val="23"/>
      </w:numPr>
      <w:spacing w:after="120"/>
      <w:jc w:val="both"/>
    </w:pPr>
    <w:rPr>
      <w:rFonts w:cs="Times"/>
      <w:sz w:val="24"/>
      <w:szCs w:val="24"/>
      <w:lang w:eastAsia="en-US"/>
    </w:rPr>
  </w:style>
  <w:style w:type="paragraph" w:customStyle="1" w:styleId="IUPACpreferredcommentstext">
    <w:name w:val="IUPAC preferred comments text"/>
    <w:basedOn w:val="Normal"/>
    <w:autoRedefine/>
    <w:rsid w:val="003F1DE0"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pac.pole-ether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9C25C5-1614-40E9-96DE-46607C7B5B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 + CH3OH  HCl + CH2OH</vt:lpstr>
    </vt:vector>
  </TitlesOfParts>
  <Company>MPI-Chemie</Company>
  <LinksUpToDate>false</LinksUpToDate>
  <CharactersWithSpaces>10160</CharactersWithSpaces>
  <SharedDoc>false</SharedDoc>
  <HLinks>
    <vt:vector size="12" baseType="variant">
      <vt:variant>
        <vt:i4>4390923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+ CH3OH  HCl + CH2OH</dc:title>
  <dc:creator>John Crowley</dc:creator>
  <cp:lastModifiedBy>Crowley</cp:lastModifiedBy>
  <cp:revision>67</cp:revision>
  <cp:lastPrinted>2009-06-10T10:59:00Z</cp:lastPrinted>
  <dcterms:created xsi:type="dcterms:W3CDTF">2016-05-31T07:39:00Z</dcterms:created>
  <dcterms:modified xsi:type="dcterms:W3CDTF">2016-12-01T07:58:00Z</dcterms:modified>
</cp:coreProperties>
</file>