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85" w:rsidRPr="00CA6636" w:rsidRDefault="006E7C85" w:rsidP="00CA6636">
      <w:pPr>
        <w:pStyle w:val="IUPACheadline"/>
      </w:pPr>
      <w:r w:rsidRPr="00CA6636">
        <w:t>IUPAC Task Group on Atmospheric Chemical Kinetic Data Evaluation</w:t>
      </w:r>
      <w:r w:rsidR="00CA6636">
        <w:t xml:space="preserve"> - </w:t>
      </w:r>
      <w:r w:rsidR="002F5C5A" w:rsidRPr="00CA6636">
        <w:t xml:space="preserve">Data Sheet </w:t>
      </w:r>
      <w:r w:rsidR="00CA6636" w:rsidRPr="00CA6636">
        <w:t>Het_Org</w:t>
      </w:r>
      <w:r w:rsidR="00096C65">
        <w:t>4</w:t>
      </w:r>
    </w:p>
    <w:p w:rsidR="00BF3262" w:rsidRPr="00BF3262" w:rsidRDefault="00BF3262" w:rsidP="00BF3262">
      <w:pPr>
        <w:suppressAutoHyphens/>
        <w:spacing w:after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BF3262">
        <w:rPr>
          <w:rFonts w:ascii="Times New Roman" w:eastAsia="Times New Roman" w:hAnsi="Times New Roman"/>
          <w:sz w:val="24"/>
          <w:szCs w:val="20"/>
          <w:lang w:eastAsia="zh-CN"/>
        </w:rPr>
        <w:t>Data sheets can be downloaded for personal use only and must not be retransmitted or disseminated either electronically or in hard copy without explicit written permission.</w:t>
      </w:r>
    </w:p>
    <w:p w:rsidR="00BF3262" w:rsidRPr="00BF3262" w:rsidRDefault="00BF3262" w:rsidP="00BF3262">
      <w:pPr>
        <w:suppressAutoHyphens/>
        <w:spacing w:after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BF3262">
        <w:rPr>
          <w:rFonts w:ascii="Times New Roman" w:eastAsia="Times New Roman" w:hAnsi="Times New Roman"/>
          <w:sz w:val="24"/>
          <w:szCs w:val="20"/>
          <w:lang w:eastAsia="zh-CN"/>
        </w:rPr>
        <w:t xml:space="preserve">The citation for this data sheet is: </w:t>
      </w:r>
      <w:r w:rsidRPr="00BF3262">
        <w:rPr>
          <w:rFonts w:ascii="Times New Roman" w:eastAsia="Times New Roman" w:hAnsi="Times New Roman"/>
          <w:sz w:val="24"/>
          <w:szCs w:val="20"/>
          <w:lang w:val="en-US" w:eastAsia="zh-CN"/>
        </w:rPr>
        <w:t xml:space="preserve">IUPAC Task Group on Atmospheric chemical Kinetic Data Evaluation, </w:t>
      </w:r>
      <w:hyperlink r:id="rId7" w:history="1">
        <w:r w:rsidRPr="00BF3262">
          <w:rPr>
            <w:rStyle w:val="Hyperlink"/>
            <w:rFonts w:ascii="Times New Roman" w:eastAsia="Times New Roman" w:hAnsi="Times New Roman"/>
            <w:sz w:val="24"/>
            <w:szCs w:val="20"/>
            <w:lang w:eastAsia="zh-CN"/>
          </w:rPr>
          <w:t>http://iupac.pole-ether.fr</w:t>
        </w:r>
      </w:hyperlink>
      <w:r w:rsidRPr="00BF3262">
        <w:rPr>
          <w:rFonts w:ascii="Times New Roman" w:eastAsia="Times New Roman" w:hAnsi="Times New Roman"/>
          <w:sz w:val="24"/>
          <w:szCs w:val="20"/>
          <w:u w:val="single"/>
          <w:lang w:val="en-US" w:eastAsia="zh-CN"/>
        </w:rPr>
        <w:t>.</w:t>
      </w:r>
    </w:p>
    <w:p w:rsidR="006E7C85" w:rsidRPr="006E7C85" w:rsidRDefault="006E7C85" w:rsidP="006E7C85">
      <w:pPr>
        <w:suppressAutoHyphens/>
        <w:spacing w:after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6E7C85">
        <w:rPr>
          <w:rFonts w:ascii="Times New Roman" w:eastAsia="Times New Roman" w:hAnsi="Times New Roman"/>
          <w:sz w:val="24"/>
          <w:szCs w:val="20"/>
          <w:lang w:eastAsia="zh-CN"/>
        </w:rPr>
        <w:t xml:space="preserve">This data sheet evaluated: 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June 2016</w:t>
      </w:r>
      <w:r w:rsidRPr="006E7C85">
        <w:rPr>
          <w:rFonts w:ascii="Times New Roman" w:eastAsia="Times New Roman" w:hAnsi="Times New Roman"/>
          <w:sz w:val="24"/>
          <w:szCs w:val="20"/>
          <w:lang w:eastAsia="zh-CN"/>
        </w:rPr>
        <w:t xml:space="preserve">; last change in preferred values: 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June 2016</w:t>
      </w:r>
      <w:r w:rsidRPr="006E7C85">
        <w:rPr>
          <w:rFonts w:ascii="Times New Roman" w:eastAsia="Times New Roman" w:hAnsi="Times New Roman"/>
          <w:sz w:val="24"/>
          <w:szCs w:val="20"/>
          <w:lang w:eastAsia="zh-CN"/>
        </w:rPr>
        <w:t>.</w:t>
      </w:r>
    </w:p>
    <w:p w:rsidR="006E7C85" w:rsidRPr="006E7C85" w:rsidRDefault="005A45AD" w:rsidP="006E7C85">
      <w:pPr>
        <w:suppressAutoHyphens/>
        <w:spacing w:after="0"/>
        <w:ind w:left="346" w:right="470"/>
        <w:jc w:val="left"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-667385</wp:posOffset>
                </wp:positionH>
                <wp:positionV relativeFrom="paragraph">
                  <wp:posOffset>173355</wp:posOffset>
                </wp:positionV>
                <wp:extent cx="755967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5pt,13.65pt" to="542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" strokeweight=".26mm">
                <v:stroke joinstyle="miter" endcap="square"/>
              </v:line>
            </w:pict>
          </mc:Fallback>
        </mc:AlternateContent>
      </w:r>
    </w:p>
    <w:p w:rsidR="006E7C85" w:rsidRPr="006E7C85" w:rsidRDefault="006E7C85" w:rsidP="006E7C85">
      <w:pPr>
        <w:tabs>
          <w:tab w:val="center" w:pos="4680"/>
        </w:tabs>
        <w:suppressAutoHyphens/>
        <w:spacing w:after="0"/>
        <w:jc w:val="left"/>
        <w:rPr>
          <w:rFonts w:ascii="Times New Roman" w:eastAsia="Times New Roman" w:hAnsi="Times New Roman"/>
          <w:b/>
          <w:sz w:val="24"/>
          <w:szCs w:val="20"/>
          <w:lang w:eastAsia="zh-CN"/>
        </w:rPr>
      </w:pPr>
    </w:p>
    <w:p w:rsidR="006E7C85" w:rsidRPr="006E7C85" w:rsidRDefault="006E7C85" w:rsidP="006E7C85">
      <w:pPr>
        <w:tabs>
          <w:tab w:val="center" w:pos="4680"/>
        </w:tabs>
        <w:suppressAutoHyphens/>
        <w:spacing w:after="0"/>
        <w:ind w:left="113" w:right="113"/>
        <w:jc w:val="center"/>
        <w:rPr>
          <w:rFonts w:ascii="Times New Roman" w:eastAsia="Times New Roman" w:hAnsi="Times New Roman"/>
          <w:sz w:val="24"/>
          <w:szCs w:val="20"/>
          <w:lang w:eastAsia="zh-CN"/>
        </w:rPr>
      </w:pPr>
      <w:r w:rsidRPr="006E7C85"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 NO</w:t>
      </w:r>
      <w:r>
        <w:rPr>
          <w:rFonts w:ascii="Times New Roman" w:eastAsia="Times New Roman" w:hAnsi="Times New Roman"/>
          <w:b/>
          <w:sz w:val="24"/>
          <w:szCs w:val="20"/>
          <w:vertAlign w:val="subscript"/>
          <w:lang w:eastAsia="zh-CN"/>
        </w:rPr>
        <w:t>3</w:t>
      </w:r>
      <w:r w:rsidRPr="006E7C85"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+ </w:t>
      </w:r>
      <w:r w:rsidR="00A4579D">
        <w:rPr>
          <w:rFonts w:ascii="Times New Roman" w:eastAsia="Times New Roman" w:hAnsi="Times New Roman"/>
          <w:b/>
          <w:sz w:val="24"/>
          <w:szCs w:val="20"/>
          <w:lang w:eastAsia="zh-CN"/>
        </w:rPr>
        <w:t>un</w:t>
      </w:r>
      <w:r w:rsidR="00A4399E">
        <w:rPr>
          <w:rFonts w:ascii="Times New Roman" w:eastAsia="Times New Roman" w:hAnsi="Times New Roman"/>
          <w:b/>
          <w:sz w:val="24"/>
          <w:szCs w:val="20"/>
          <w:lang w:eastAsia="zh-CN"/>
        </w:rPr>
        <w:t>saturated a</w:t>
      </w:r>
      <w:r w:rsidR="00A4579D">
        <w:rPr>
          <w:rFonts w:ascii="Times New Roman" w:eastAsia="Times New Roman" w:hAnsi="Times New Roman"/>
          <w:b/>
          <w:sz w:val="24"/>
          <w:szCs w:val="20"/>
          <w:lang w:eastAsia="zh-CN"/>
        </w:rPr>
        <w:t>cids</w:t>
      </w:r>
    </w:p>
    <w:p w:rsidR="006E7C85" w:rsidRPr="006E7C85" w:rsidRDefault="006E7C85" w:rsidP="006E7C85">
      <w:pPr>
        <w:keepNext/>
        <w:suppressAutoHyphens/>
        <w:spacing w:before="240" w:after="60" w:line="360" w:lineRule="auto"/>
        <w:ind w:left="113" w:right="113"/>
        <w:jc w:val="center"/>
        <w:outlineLvl w:val="0"/>
        <w:rPr>
          <w:rFonts w:ascii="Times New Roman" w:eastAsia="Times New Roman" w:hAnsi="Times New Roman"/>
          <w:b/>
          <w:i/>
          <w:spacing w:val="-2"/>
          <w:kern w:val="1"/>
          <w:sz w:val="20"/>
          <w:szCs w:val="20"/>
          <w:lang w:eastAsia="zh-CN"/>
        </w:rPr>
      </w:pPr>
      <w:r w:rsidRPr="006E7C85">
        <w:rPr>
          <w:rFonts w:ascii="Times New Roman" w:eastAsia="Times New Roman" w:hAnsi="Times New Roman"/>
          <w:b/>
          <w:kern w:val="1"/>
          <w:sz w:val="24"/>
          <w:szCs w:val="20"/>
          <w:lang w:eastAsia="zh-CN"/>
        </w:rPr>
        <w:t>Experimental data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134"/>
        <w:gridCol w:w="2552"/>
        <w:gridCol w:w="1984"/>
      </w:tblGrid>
      <w:tr w:rsidR="002F5C5A" w:rsidRPr="00A61F8D" w:rsidTr="0026161B">
        <w:tc>
          <w:tcPr>
            <w:tcW w:w="3652" w:type="dxa"/>
            <w:tcBorders>
              <w:top w:val="double" w:sz="4" w:space="0" w:color="auto"/>
              <w:bottom w:val="single" w:sz="4" w:space="0" w:color="auto"/>
            </w:tcBorders>
          </w:tcPr>
          <w:p w:rsidR="002F5C5A" w:rsidRPr="00A61F8D" w:rsidRDefault="002F5C5A" w:rsidP="006E7C85">
            <w:pPr>
              <w:suppressAutoHyphens/>
              <w:spacing w:before="120" w:after="120" w:line="264" w:lineRule="auto"/>
              <w:ind w:left="113" w:right="113"/>
              <w:rPr>
                <w:spacing w:val="-2"/>
                <w:sz w:val="20"/>
              </w:rPr>
            </w:pPr>
            <w:r w:rsidRPr="00A61F8D">
              <w:rPr>
                <w:i/>
                <w:spacing w:val="-2"/>
                <w:sz w:val="20"/>
              </w:rPr>
              <w:t>Parameter</w:t>
            </w:r>
            <w:r w:rsidRPr="00A61F8D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2F5C5A" w:rsidRPr="00A61F8D" w:rsidRDefault="002F5C5A" w:rsidP="006E7C85">
            <w:pPr>
              <w:suppressAutoHyphens/>
              <w:spacing w:before="120" w:after="120" w:line="264" w:lineRule="auto"/>
              <w:ind w:left="113" w:right="113"/>
              <w:rPr>
                <w:spacing w:val="-2"/>
                <w:sz w:val="20"/>
              </w:rPr>
            </w:pPr>
            <w:r w:rsidRPr="00A61F8D">
              <w:rPr>
                <w:spacing w:val="-2"/>
                <w:sz w:val="20"/>
              </w:rPr>
              <w:t>Temp./K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:rsidR="002F5C5A" w:rsidRPr="00A61F8D" w:rsidRDefault="002F5C5A" w:rsidP="006E7C85">
            <w:pPr>
              <w:pStyle w:val="Heading2"/>
              <w:spacing w:before="120" w:after="120"/>
              <w:ind w:left="113" w:right="113"/>
              <w:rPr>
                <w:b w:val="0"/>
                <w:i w:val="0"/>
                <w:sz w:val="20"/>
              </w:rPr>
            </w:pPr>
            <w:r w:rsidRPr="00A61F8D">
              <w:rPr>
                <w:b w:val="0"/>
                <w:i w:val="0"/>
                <w:sz w:val="20"/>
              </w:rPr>
              <w:t>Reference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2F5C5A" w:rsidRPr="00A61F8D" w:rsidRDefault="002F5C5A" w:rsidP="006E7C85">
            <w:pPr>
              <w:suppressAutoHyphens/>
              <w:spacing w:before="120" w:after="120" w:line="264" w:lineRule="auto"/>
              <w:ind w:left="113" w:right="113"/>
              <w:rPr>
                <w:spacing w:val="-2"/>
                <w:sz w:val="20"/>
              </w:rPr>
            </w:pPr>
            <w:r w:rsidRPr="00A61F8D">
              <w:rPr>
                <w:spacing w:val="-2"/>
                <w:sz w:val="20"/>
              </w:rPr>
              <w:t>Technique/ Comments</w:t>
            </w:r>
          </w:p>
        </w:tc>
      </w:tr>
      <w:tr w:rsidR="002F5C5A" w:rsidRPr="00A61F8D" w:rsidTr="0026161B">
        <w:tc>
          <w:tcPr>
            <w:tcW w:w="3652" w:type="dxa"/>
          </w:tcPr>
          <w:p w:rsidR="002F5C5A" w:rsidRPr="00A61F8D" w:rsidRDefault="002F5C5A" w:rsidP="006E7C85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line="264" w:lineRule="auto"/>
              <w:ind w:left="113" w:right="113"/>
              <w:rPr>
                <w:caps w:val="0"/>
                <w:noProof w:val="0"/>
                <w:spacing w:val="-2"/>
              </w:rPr>
            </w:pPr>
            <w:r w:rsidRPr="00A61F8D">
              <w:rPr>
                <w:spacing w:val="-2"/>
              </w:rPr>
              <w:sym w:font="Symbol" w:char="F067"/>
            </w:r>
            <w:r w:rsidR="0070324E" w:rsidRPr="0070324E">
              <w:rPr>
                <w:spacing w:val="-2"/>
                <w:vertAlign w:val="subscript"/>
              </w:rPr>
              <w:t>0</w:t>
            </w:r>
            <w:r w:rsidRPr="00A61F8D">
              <w:rPr>
                <w:spacing w:val="-2"/>
              </w:rPr>
              <w:t xml:space="preserve"> </w:t>
            </w:r>
          </w:p>
        </w:tc>
        <w:tc>
          <w:tcPr>
            <w:tcW w:w="1134" w:type="dxa"/>
          </w:tcPr>
          <w:p w:rsidR="002F5C5A" w:rsidRPr="00A61F8D" w:rsidRDefault="002F5C5A" w:rsidP="006E7C85">
            <w:pPr>
              <w:spacing w:line="264" w:lineRule="auto"/>
              <w:ind w:left="113" w:right="113"/>
              <w:rPr>
                <w:sz w:val="20"/>
              </w:rPr>
            </w:pPr>
          </w:p>
        </w:tc>
        <w:tc>
          <w:tcPr>
            <w:tcW w:w="2552" w:type="dxa"/>
          </w:tcPr>
          <w:p w:rsidR="002F5C5A" w:rsidRPr="00A61F8D" w:rsidRDefault="002F5C5A" w:rsidP="006E7C85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line="264" w:lineRule="auto"/>
              <w:ind w:left="113" w:right="113"/>
              <w:rPr>
                <w:caps w:val="0"/>
              </w:rPr>
            </w:pPr>
          </w:p>
        </w:tc>
        <w:tc>
          <w:tcPr>
            <w:tcW w:w="1984" w:type="dxa"/>
          </w:tcPr>
          <w:p w:rsidR="002F5C5A" w:rsidRPr="00A61F8D" w:rsidRDefault="002F5C5A" w:rsidP="006E7C85">
            <w:pPr>
              <w:spacing w:line="264" w:lineRule="auto"/>
              <w:ind w:left="113" w:right="113"/>
              <w:rPr>
                <w:sz w:val="20"/>
              </w:rPr>
            </w:pPr>
          </w:p>
        </w:tc>
      </w:tr>
      <w:tr w:rsidR="002F5C5A" w:rsidRPr="00A61F8D" w:rsidTr="0026161B">
        <w:tc>
          <w:tcPr>
            <w:tcW w:w="3652" w:type="dxa"/>
          </w:tcPr>
          <w:p w:rsidR="002F5C5A" w:rsidRPr="002D48CD" w:rsidRDefault="002F5C5A" w:rsidP="002D48CD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ind w:right="113"/>
              <w:rPr>
                <w:caps w:val="0"/>
                <w:noProof w:val="0"/>
                <w:color w:val="000000" w:themeColor="text1"/>
                <w:spacing w:val="-2"/>
              </w:rPr>
            </w:pPr>
            <w:r w:rsidRPr="002D48CD">
              <w:rPr>
                <w:caps w:val="0"/>
                <w:noProof w:val="0"/>
                <w:color w:val="000000" w:themeColor="text1"/>
                <w:spacing w:val="-2"/>
              </w:rPr>
              <w:t>(</w:t>
            </w:r>
            <w:r w:rsidR="002D48CD" w:rsidRPr="002D48CD">
              <w:rPr>
                <w:caps w:val="0"/>
                <w:noProof w:val="0"/>
                <w:color w:val="000000" w:themeColor="text1"/>
                <w:spacing w:val="-2"/>
              </w:rPr>
              <w:t>7.9</w:t>
            </w:r>
            <w:r w:rsidRPr="002D48CD">
              <w:rPr>
                <w:caps w:val="0"/>
                <w:noProof w:val="0"/>
                <w:color w:val="000000" w:themeColor="text1"/>
                <w:spacing w:val="-2"/>
              </w:rPr>
              <w:t xml:space="preserve"> </w:t>
            </w:r>
            <w:r w:rsidRPr="002D48CD">
              <w:rPr>
                <w:caps w:val="0"/>
                <w:noProof w:val="0"/>
                <w:color w:val="000000" w:themeColor="text1"/>
                <w:spacing w:val="-2"/>
              </w:rPr>
              <w:sym w:font="Symbol" w:char="F0B1"/>
            </w:r>
            <w:r w:rsidRPr="002D48CD">
              <w:rPr>
                <w:caps w:val="0"/>
                <w:noProof w:val="0"/>
                <w:color w:val="000000" w:themeColor="text1"/>
                <w:spacing w:val="-2"/>
              </w:rPr>
              <w:t xml:space="preserve"> </w:t>
            </w:r>
            <w:r w:rsidR="002D48CD" w:rsidRPr="002D48CD">
              <w:rPr>
                <w:caps w:val="0"/>
                <w:noProof w:val="0"/>
                <w:color w:val="000000" w:themeColor="text1"/>
                <w:spacing w:val="-2"/>
              </w:rPr>
              <w:t>1.2</w:t>
            </w:r>
            <w:r w:rsidRPr="002D48CD">
              <w:rPr>
                <w:caps w:val="0"/>
                <w:noProof w:val="0"/>
                <w:color w:val="000000" w:themeColor="text1"/>
                <w:spacing w:val="-2"/>
              </w:rPr>
              <w:t xml:space="preserve">) </w:t>
            </w:r>
            <w:r w:rsidRPr="002D48CD">
              <w:rPr>
                <w:caps w:val="0"/>
                <w:noProof w:val="0"/>
                <w:color w:val="000000" w:themeColor="text1"/>
                <w:spacing w:val="-2"/>
              </w:rPr>
              <w:sym w:font="Symbol" w:char="F0B4"/>
            </w:r>
            <w:r w:rsidRPr="002D48CD">
              <w:rPr>
                <w:caps w:val="0"/>
                <w:noProof w:val="0"/>
                <w:color w:val="000000" w:themeColor="text1"/>
                <w:spacing w:val="-2"/>
              </w:rPr>
              <w:t xml:space="preserve"> 10</w:t>
            </w:r>
            <w:r w:rsidRPr="002D48CD">
              <w:rPr>
                <w:caps w:val="0"/>
                <w:noProof w:val="0"/>
                <w:color w:val="000000" w:themeColor="text1"/>
                <w:spacing w:val="-2"/>
                <w:vertAlign w:val="superscript"/>
              </w:rPr>
              <w:t>-3</w:t>
            </w:r>
            <w:r w:rsidRPr="002D48CD">
              <w:rPr>
                <w:caps w:val="0"/>
                <w:noProof w:val="0"/>
                <w:color w:val="000000" w:themeColor="text1"/>
                <w:spacing w:val="-2"/>
              </w:rPr>
              <w:t xml:space="preserve"> (</w:t>
            </w:r>
            <w:r w:rsidR="002D48CD" w:rsidRPr="002D48CD">
              <w:rPr>
                <w:caps w:val="0"/>
                <w:noProof w:val="0"/>
                <w:color w:val="000000" w:themeColor="text1"/>
                <w:spacing w:val="-2"/>
              </w:rPr>
              <w:t>linoleic</w:t>
            </w:r>
            <w:r w:rsidR="002E652C" w:rsidRPr="002D48CD">
              <w:rPr>
                <w:caps w:val="0"/>
                <w:noProof w:val="0"/>
                <w:color w:val="000000" w:themeColor="text1"/>
                <w:spacing w:val="-2"/>
              </w:rPr>
              <w:t xml:space="preserve"> acid</w:t>
            </w:r>
            <w:r w:rsidR="00967E21">
              <w:rPr>
                <w:caps w:val="0"/>
                <w:noProof w:val="0"/>
                <w:color w:val="000000" w:themeColor="text1"/>
                <w:spacing w:val="-2"/>
              </w:rPr>
              <w:t>, conj.</w:t>
            </w:r>
            <w:r w:rsidRPr="002D48CD">
              <w:rPr>
                <w:caps w:val="0"/>
                <w:noProof w:val="0"/>
                <w:color w:val="000000" w:themeColor="text1"/>
                <w:spacing w:val="-2"/>
              </w:rPr>
              <w:t>)</w:t>
            </w:r>
          </w:p>
        </w:tc>
        <w:tc>
          <w:tcPr>
            <w:tcW w:w="1134" w:type="dxa"/>
          </w:tcPr>
          <w:p w:rsidR="002F5C5A" w:rsidRPr="002D48CD" w:rsidRDefault="00967E21" w:rsidP="00A4399E">
            <w:pPr>
              <w:spacing w:after="0"/>
              <w:ind w:left="-108" w:right="-108" w:firstLine="2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273</w:t>
            </w:r>
          </w:p>
        </w:tc>
        <w:tc>
          <w:tcPr>
            <w:tcW w:w="2552" w:type="dxa"/>
          </w:tcPr>
          <w:p w:rsidR="002F5C5A" w:rsidRPr="002D48CD" w:rsidRDefault="002F5C5A" w:rsidP="004A7EDE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  <w:color w:val="000000" w:themeColor="text1"/>
              </w:rPr>
            </w:pPr>
            <w:r w:rsidRPr="002D48CD">
              <w:rPr>
                <w:caps w:val="0"/>
                <w:color w:val="000000" w:themeColor="text1"/>
              </w:rPr>
              <w:t>Moise et al., 2002</w:t>
            </w:r>
          </w:p>
        </w:tc>
        <w:tc>
          <w:tcPr>
            <w:tcW w:w="1984" w:type="dxa"/>
          </w:tcPr>
          <w:p w:rsidR="002F5C5A" w:rsidRPr="002D48CD" w:rsidRDefault="002F5C5A" w:rsidP="006E7C85">
            <w:pPr>
              <w:spacing w:after="0"/>
              <w:ind w:left="113" w:right="113"/>
              <w:rPr>
                <w:color w:val="000000" w:themeColor="text1"/>
                <w:sz w:val="20"/>
              </w:rPr>
            </w:pPr>
            <w:r w:rsidRPr="002D48CD">
              <w:rPr>
                <w:color w:val="000000" w:themeColor="text1"/>
                <w:sz w:val="20"/>
              </w:rPr>
              <w:t>CWFT-AS (a)</w:t>
            </w:r>
          </w:p>
        </w:tc>
      </w:tr>
      <w:tr w:rsidR="00967E21" w:rsidRPr="00A61F8D" w:rsidTr="0026161B">
        <w:tc>
          <w:tcPr>
            <w:tcW w:w="3652" w:type="dxa"/>
          </w:tcPr>
          <w:p w:rsidR="00967E21" w:rsidRPr="002D48CD" w:rsidRDefault="00967E21" w:rsidP="002D48CD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ind w:right="113"/>
              <w:rPr>
                <w:caps w:val="0"/>
                <w:noProof w:val="0"/>
                <w:color w:val="000000" w:themeColor="text1"/>
                <w:spacing w:val="-2"/>
              </w:rPr>
            </w:pPr>
            <w:r w:rsidRPr="002D48CD">
              <w:rPr>
                <w:caps w:val="0"/>
                <w:noProof w:val="0"/>
                <w:color w:val="000000" w:themeColor="text1"/>
                <w:spacing w:val="-2"/>
              </w:rPr>
              <w:t>(</w:t>
            </w:r>
            <w:r>
              <w:rPr>
                <w:caps w:val="0"/>
                <w:noProof w:val="0"/>
                <w:color w:val="000000" w:themeColor="text1"/>
                <w:spacing w:val="-2"/>
              </w:rPr>
              <w:t>15.0</w:t>
            </w:r>
            <w:r w:rsidRPr="002D48CD">
              <w:rPr>
                <w:caps w:val="0"/>
                <w:noProof w:val="0"/>
                <w:color w:val="000000" w:themeColor="text1"/>
                <w:spacing w:val="-2"/>
              </w:rPr>
              <w:t xml:space="preserve"> </w:t>
            </w:r>
            <w:r w:rsidRPr="002D48CD">
              <w:rPr>
                <w:caps w:val="0"/>
                <w:noProof w:val="0"/>
                <w:color w:val="000000" w:themeColor="text1"/>
                <w:spacing w:val="-2"/>
              </w:rPr>
              <w:sym w:font="Symbol" w:char="F0B1"/>
            </w:r>
            <w:r w:rsidRPr="002D48CD">
              <w:rPr>
                <w:caps w:val="0"/>
                <w:noProof w:val="0"/>
                <w:color w:val="000000" w:themeColor="text1"/>
                <w:spacing w:val="-2"/>
              </w:rPr>
              <w:t xml:space="preserve"> 2</w:t>
            </w:r>
            <w:r>
              <w:rPr>
                <w:caps w:val="0"/>
                <w:noProof w:val="0"/>
                <w:color w:val="000000" w:themeColor="text1"/>
                <w:spacing w:val="-2"/>
              </w:rPr>
              <w:t>.0</w:t>
            </w:r>
            <w:r w:rsidRPr="002D48CD">
              <w:rPr>
                <w:caps w:val="0"/>
                <w:noProof w:val="0"/>
                <w:color w:val="000000" w:themeColor="text1"/>
                <w:spacing w:val="-2"/>
              </w:rPr>
              <w:t xml:space="preserve">) </w:t>
            </w:r>
            <w:r w:rsidRPr="002D48CD">
              <w:rPr>
                <w:caps w:val="0"/>
                <w:noProof w:val="0"/>
                <w:color w:val="000000" w:themeColor="text1"/>
                <w:spacing w:val="-2"/>
              </w:rPr>
              <w:sym w:font="Symbol" w:char="F0B4"/>
            </w:r>
            <w:r w:rsidRPr="002D48CD">
              <w:rPr>
                <w:caps w:val="0"/>
                <w:noProof w:val="0"/>
                <w:color w:val="000000" w:themeColor="text1"/>
                <w:spacing w:val="-2"/>
              </w:rPr>
              <w:t xml:space="preserve"> 10</w:t>
            </w:r>
            <w:r w:rsidRPr="002D48CD">
              <w:rPr>
                <w:caps w:val="0"/>
                <w:noProof w:val="0"/>
                <w:color w:val="000000" w:themeColor="text1"/>
                <w:spacing w:val="-2"/>
                <w:vertAlign w:val="superscript"/>
              </w:rPr>
              <w:t>-3</w:t>
            </w:r>
            <w:r w:rsidRPr="002D48CD">
              <w:rPr>
                <w:caps w:val="0"/>
                <w:noProof w:val="0"/>
                <w:color w:val="000000" w:themeColor="text1"/>
                <w:spacing w:val="-2"/>
              </w:rPr>
              <w:t xml:space="preserve"> (linoleic acid</w:t>
            </w:r>
            <w:r>
              <w:rPr>
                <w:caps w:val="0"/>
                <w:noProof w:val="0"/>
                <w:color w:val="000000" w:themeColor="text1"/>
                <w:spacing w:val="-2"/>
              </w:rPr>
              <w:t xml:space="preserve">, </w:t>
            </w:r>
            <w:proofErr w:type="spellStart"/>
            <w:r>
              <w:rPr>
                <w:caps w:val="0"/>
                <w:noProof w:val="0"/>
                <w:color w:val="000000" w:themeColor="text1"/>
                <w:spacing w:val="-2"/>
              </w:rPr>
              <w:t>unconj</w:t>
            </w:r>
            <w:proofErr w:type="spellEnd"/>
            <w:r>
              <w:rPr>
                <w:caps w:val="0"/>
                <w:noProof w:val="0"/>
                <w:color w:val="000000" w:themeColor="text1"/>
                <w:spacing w:val="-2"/>
              </w:rPr>
              <w:t>.</w:t>
            </w:r>
            <w:r w:rsidRPr="002D48CD">
              <w:rPr>
                <w:caps w:val="0"/>
                <w:noProof w:val="0"/>
                <w:color w:val="000000" w:themeColor="text1"/>
                <w:spacing w:val="-2"/>
              </w:rPr>
              <w:t>)</w:t>
            </w:r>
          </w:p>
        </w:tc>
        <w:tc>
          <w:tcPr>
            <w:tcW w:w="1134" w:type="dxa"/>
          </w:tcPr>
          <w:p w:rsidR="00967E21" w:rsidRDefault="00967E21" w:rsidP="00A4399E">
            <w:pPr>
              <w:spacing w:after="0"/>
              <w:ind w:left="-108" w:right="-108" w:firstLine="2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288</w:t>
            </w:r>
          </w:p>
        </w:tc>
        <w:tc>
          <w:tcPr>
            <w:tcW w:w="2552" w:type="dxa"/>
          </w:tcPr>
          <w:p w:rsidR="00967E21" w:rsidRPr="002D48CD" w:rsidRDefault="00967E21" w:rsidP="004A7EDE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  <w:color w:val="000000" w:themeColor="text1"/>
              </w:rPr>
            </w:pPr>
          </w:p>
        </w:tc>
        <w:tc>
          <w:tcPr>
            <w:tcW w:w="1984" w:type="dxa"/>
          </w:tcPr>
          <w:p w:rsidR="00967E21" w:rsidRPr="002D48CD" w:rsidRDefault="00967E21" w:rsidP="006E7C85">
            <w:pPr>
              <w:spacing w:after="0"/>
              <w:ind w:left="113" w:right="113"/>
              <w:rPr>
                <w:color w:val="000000" w:themeColor="text1"/>
                <w:sz w:val="20"/>
              </w:rPr>
            </w:pPr>
          </w:p>
        </w:tc>
      </w:tr>
      <w:tr w:rsidR="00CB3305" w:rsidRPr="00A61F8D" w:rsidTr="0026161B">
        <w:tc>
          <w:tcPr>
            <w:tcW w:w="3652" w:type="dxa"/>
          </w:tcPr>
          <w:p w:rsidR="00CB3305" w:rsidRPr="00A4579D" w:rsidRDefault="00CB3305" w:rsidP="00CB3305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ind w:right="113"/>
              <w:rPr>
                <w:caps w:val="0"/>
                <w:noProof w:val="0"/>
                <w:color w:val="FF0000"/>
                <w:spacing w:val="-2"/>
              </w:rPr>
            </w:pPr>
            <w:r>
              <w:rPr>
                <w:color w:val="000000" w:themeColor="text1"/>
              </w:rPr>
              <w:t>&gt; 0.12</w:t>
            </w:r>
            <w:r w:rsidRPr="00CB3305">
              <w:rPr>
                <w:color w:val="000000" w:themeColor="text1"/>
                <w:vertAlign w:val="superscript"/>
              </w:rPr>
              <w:t xml:space="preserve"> </w:t>
            </w:r>
            <w:r w:rsidRPr="00CB3305">
              <w:rPr>
                <w:caps w:val="0"/>
                <w:color w:val="000000" w:themeColor="text1"/>
              </w:rPr>
              <w:t>(</w:t>
            </w:r>
            <w:r w:rsidRPr="00CB3305">
              <w:rPr>
                <w:caps w:val="0"/>
                <w:noProof w:val="0"/>
                <w:color w:val="000000" w:themeColor="text1"/>
                <w:spacing w:val="-2"/>
              </w:rPr>
              <w:t>linoleic acid, conj.</w:t>
            </w:r>
            <w:r w:rsidRPr="00CB3305">
              <w:rPr>
                <w:caps w:val="0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CB3305" w:rsidRPr="00CB3305" w:rsidRDefault="00CB3305" w:rsidP="003379EB">
            <w:pPr>
              <w:spacing w:after="0"/>
              <w:ind w:left="113" w:right="113"/>
              <w:rPr>
                <w:color w:val="000000" w:themeColor="text1"/>
                <w:sz w:val="20"/>
              </w:rPr>
            </w:pPr>
            <w:r w:rsidRPr="00CB3305">
              <w:rPr>
                <w:color w:val="000000" w:themeColor="text1"/>
                <w:sz w:val="20"/>
              </w:rPr>
              <w:t>278-298</w:t>
            </w:r>
          </w:p>
        </w:tc>
        <w:tc>
          <w:tcPr>
            <w:tcW w:w="2552" w:type="dxa"/>
          </w:tcPr>
          <w:p w:rsidR="00CB3305" w:rsidRPr="00CB3305" w:rsidRDefault="00CB3305" w:rsidP="003379EB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  <w:color w:val="000000" w:themeColor="text1"/>
              </w:rPr>
            </w:pPr>
            <w:r w:rsidRPr="00CB3305">
              <w:rPr>
                <w:caps w:val="0"/>
                <w:color w:val="000000" w:themeColor="text1"/>
              </w:rPr>
              <w:t>Gross et al., 2009</w:t>
            </w:r>
          </w:p>
        </w:tc>
        <w:tc>
          <w:tcPr>
            <w:tcW w:w="1984" w:type="dxa"/>
          </w:tcPr>
          <w:p w:rsidR="00CB3305" w:rsidRPr="00CB3305" w:rsidRDefault="00CB3305" w:rsidP="003379EB">
            <w:pPr>
              <w:spacing w:after="0"/>
              <w:ind w:left="113" w:right="113"/>
              <w:rPr>
                <w:color w:val="000000" w:themeColor="text1"/>
                <w:sz w:val="20"/>
              </w:rPr>
            </w:pPr>
            <w:r w:rsidRPr="00CB3305">
              <w:rPr>
                <w:color w:val="000000" w:themeColor="text1"/>
                <w:sz w:val="20"/>
              </w:rPr>
              <w:t>CWFT-CIMS (b)</w:t>
            </w:r>
          </w:p>
        </w:tc>
      </w:tr>
      <w:tr w:rsidR="00CB3305" w:rsidRPr="00A61F8D" w:rsidTr="0026161B">
        <w:tc>
          <w:tcPr>
            <w:tcW w:w="3652" w:type="dxa"/>
          </w:tcPr>
          <w:p w:rsidR="00CB3305" w:rsidRPr="00CB3305" w:rsidRDefault="00CB3305" w:rsidP="00CB3305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ind w:right="113"/>
              <w:rPr>
                <w:caps w:val="0"/>
                <w:noProof w:val="0"/>
                <w:color w:val="000000" w:themeColor="text1"/>
                <w:spacing w:val="-2"/>
              </w:rPr>
            </w:pPr>
            <w:r>
              <w:rPr>
                <w:color w:val="000000" w:themeColor="text1"/>
              </w:rPr>
              <w:t>&gt; 0.13</w:t>
            </w:r>
            <w:r w:rsidRPr="00CB3305">
              <w:rPr>
                <w:color w:val="000000" w:themeColor="text1"/>
                <w:vertAlign w:val="superscript"/>
              </w:rPr>
              <w:t xml:space="preserve"> </w:t>
            </w:r>
            <w:r w:rsidRPr="00CB3305">
              <w:rPr>
                <w:caps w:val="0"/>
                <w:color w:val="000000" w:themeColor="text1"/>
              </w:rPr>
              <w:t>(</w:t>
            </w:r>
            <w:r w:rsidRPr="00CB3305">
              <w:rPr>
                <w:caps w:val="0"/>
                <w:noProof w:val="0"/>
                <w:color w:val="000000" w:themeColor="text1"/>
                <w:spacing w:val="-2"/>
              </w:rPr>
              <w:t xml:space="preserve">linoleic acid, </w:t>
            </w:r>
            <w:proofErr w:type="spellStart"/>
            <w:r>
              <w:rPr>
                <w:caps w:val="0"/>
                <w:noProof w:val="0"/>
                <w:color w:val="000000" w:themeColor="text1"/>
                <w:spacing w:val="-2"/>
              </w:rPr>
              <w:t>un</w:t>
            </w:r>
            <w:r w:rsidRPr="00CB3305">
              <w:rPr>
                <w:caps w:val="0"/>
                <w:noProof w:val="0"/>
                <w:color w:val="000000" w:themeColor="text1"/>
                <w:spacing w:val="-2"/>
              </w:rPr>
              <w:t>conj</w:t>
            </w:r>
            <w:proofErr w:type="spellEnd"/>
            <w:r w:rsidRPr="00CB3305">
              <w:rPr>
                <w:caps w:val="0"/>
                <w:noProof w:val="0"/>
                <w:color w:val="000000" w:themeColor="text1"/>
                <w:spacing w:val="-2"/>
              </w:rPr>
              <w:t>.</w:t>
            </w:r>
            <w:r w:rsidRPr="00CB3305">
              <w:rPr>
                <w:caps w:val="0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CB3305" w:rsidRPr="00CB3305" w:rsidRDefault="00CB3305" w:rsidP="00A4399E">
            <w:pPr>
              <w:spacing w:after="0"/>
              <w:ind w:left="113" w:righ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288</w:t>
            </w:r>
          </w:p>
        </w:tc>
        <w:tc>
          <w:tcPr>
            <w:tcW w:w="2552" w:type="dxa"/>
          </w:tcPr>
          <w:p w:rsidR="00CB3305" w:rsidRPr="00967E21" w:rsidRDefault="00CB3305" w:rsidP="00C02919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  <w:color w:val="000000" w:themeColor="text1"/>
              </w:rPr>
            </w:pPr>
          </w:p>
        </w:tc>
        <w:tc>
          <w:tcPr>
            <w:tcW w:w="1984" w:type="dxa"/>
          </w:tcPr>
          <w:p w:rsidR="00CB3305" w:rsidRDefault="00CB3305" w:rsidP="006E7C85">
            <w:pPr>
              <w:spacing w:after="0"/>
              <w:ind w:left="113" w:right="113"/>
              <w:rPr>
                <w:color w:val="000000" w:themeColor="text1"/>
                <w:sz w:val="20"/>
              </w:rPr>
            </w:pPr>
          </w:p>
        </w:tc>
      </w:tr>
      <w:tr w:rsidR="00876A5B" w:rsidRPr="00A61F8D" w:rsidTr="0026161B">
        <w:tc>
          <w:tcPr>
            <w:tcW w:w="3652" w:type="dxa"/>
          </w:tcPr>
          <w:p w:rsidR="00876A5B" w:rsidRDefault="00876A5B" w:rsidP="00876A5B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ind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&gt; 0.07</w:t>
            </w:r>
            <w:r w:rsidRPr="00CB3305">
              <w:rPr>
                <w:color w:val="000000" w:themeColor="text1"/>
                <w:vertAlign w:val="superscript"/>
              </w:rPr>
              <w:t xml:space="preserve"> </w:t>
            </w:r>
            <w:r w:rsidRPr="00CB3305">
              <w:rPr>
                <w:caps w:val="0"/>
                <w:color w:val="000000" w:themeColor="text1"/>
              </w:rPr>
              <w:t>(</w:t>
            </w:r>
            <w:r w:rsidRPr="00CB3305">
              <w:rPr>
                <w:caps w:val="0"/>
                <w:noProof w:val="0"/>
                <w:color w:val="000000" w:themeColor="text1"/>
                <w:spacing w:val="-2"/>
              </w:rPr>
              <w:t>oleic acid</w:t>
            </w:r>
            <w:r w:rsidRPr="00CB3305">
              <w:rPr>
                <w:caps w:val="0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876A5B" w:rsidRDefault="00876A5B" w:rsidP="00A4399E">
            <w:pPr>
              <w:spacing w:after="0"/>
              <w:ind w:left="113" w:righ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285-302</w:t>
            </w:r>
          </w:p>
        </w:tc>
        <w:tc>
          <w:tcPr>
            <w:tcW w:w="2552" w:type="dxa"/>
          </w:tcPr>
          <w:p w:rsidR="00876A5B" w:rsidRPr="00967E21" w:rsidRDefault="00876A5B" w:rsidP="00C02919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  <w:color w:val="000000" w:themeColor="text1"/>
              </w:rPr>
            </w:pPr>
          </w:p>
        </w:tc>
        <w:tc>
          <w:tcPr>
            <w:tcW w:w="1984" w:type="dxa"/>
          </w:tcPr>
          <w:p w:rsidR="00876A5B" w:rsidRDefault="00876A5B" w:rsidP="006E7C85">
            <w:pPr>
              <w:spacing w:after="0"/>
              <w:ind w:left="113" w:right="113"/>
              <w:rPr>
                <w:color w:val="000000" w:themeColor="text1"/>
                <w:sz w:val="20"/>
              </w:rPr>
            </w:pPr>
          </w:p>
        </w:tc>
      </w:tr>
      <w:tr w:rsidR="00CB3305" w:rsidRPr="00A61F8D" w:rsidTr="0026161B">
        <w:tc>
          <w:tcPr>
            <w:tcW w:w="3652" w:type="dxa"/>
          </w:tcPr>
          <w:p w:rsidR="00CB3305" w:rsidRPr="00CB3305" w:rsidRDefault="00CB3305" w:rsidP="00CB3305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ind w:right="113"/>
              <w:rPr>
                <w:caps w:val="0"/>
                <w:noProof w:val="0"/>
                <w:color w:val="000000" w:themeColor="text1"/>
                <w:spacing w:val="-2"/>
              </w:rPr>
            </w:pPr>
            <w:r w:rsidRPr="00CB3305">
              <w:rPr>
                <w:color w:val="000000" w:themeColor="text1"/>
              </w:rPr>
              <w:t xml:space="preserve">1.01 </w:t>
            </w:r>
            <w:r w:rsidRPr="00CB3305">
              <w:rPr>
                <w:color w:val="000000" w:themeColor="text1"/>
              </w:rPr>
              <w:sym w:font="Symbol" w:char="F0B1"/>
            </w:r>
            <w:r w:rsidRPr="00CB3305">
              <w:rPr>
                <w:color w:val="000000" w:themeColor="text1"/>
              </w:rPr>
              <w:t xml:space="preserve"> 0.18 </w:t>
            </w:r>
            <w:r w:rsidRPr="00CB3305">
              <w:rPr>
                <w:caps w:val="0"/>
                <w:noProof w:val="0"/>
                <w:color w:val="000000" w:themeColor="text1"/>
                <w:spacing w:val="-2"/>
              </w:rPr>
              <w:t>(linoleic acid, conj.)</w:t>
            </w:r>
          </w:p>
        </w:tc>
        <w:tc>
          <w:tcPr>
            <w:tcW w:w="1134" w:type="dxa"/>
          </w:tcPr>
          <w:p w:rsidR="00CB3305" w:rsidRPr="00CB3305" w:rsidRDefault="00CB3305" w:rsidP="00A4399E">
            <w:pPr>
              <w:spacing w:after="0"/>
              <w:ind w:left="113" w:right="113"/>
              <w:rPr>
                <w:color w:val="000000" w:themeColor="text1"/>
                <w:sz w:val="20"/>
              </w:rPr>
            </w:pPr>
            <w:r w:rsidRPr="00CB3305">
              <w:rPr>
                <w:color w:val="000000" w:themeColor="text1"/>
                <w:sz w:val="20"/>
              </w:rPr>
              <w:t>295</w:t>
            </w:r>
          </w:p>
        </w:tc>
        <w:tc>
          <w:tcPr>
            <w:tcW w:w="2552" w:type="dxa"/>
          </w:tcPr>
          <w:p w:rsidR="00CB3305" w:rsidRPr="00967E21" w:rsidRDefault="00CB3305" w:rsidP="00C02919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  <w:color w:val="000000" w:themeColor="text1"/>
              </w:rPr>
            </w:pPr>
            <w:r w:rsidRPr="00967E21">
              <w:rPr>
                <w:caps w:val="0"/>
                <w:color w:val="000000" w:themeColor="text1"/>
              </w:rPr>
              <w:t>Zhao et al., 2011</w:t>
            </w:r>
          </w:p>
        </w:tc>
        <w:tc>
          <w:tcPr>
            <w:tcW w:w="1984" w:type="dxa"/>
          </w:tcPr>
          <w:p w:rsidR="00CB3305" w:rsidRPr="00967E21" w:rsidRDefault="00CB3305" w:rsidP="006E7C85">
            <w:pPr>
              <w:spacing w:after="0"/>
              <w:ind w:left="113" w:righ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AFT</w:t>
            </w:r>
            <w:r w:rsidR="005C5201">
              <w:rPr>
                <w:color w:val="000000" w:themeColor="text1"/>
                <w:sz w:val="20"/>
              </w:rPr>
              <w:t xml:space="preserve"> (c)</w:t>
            </w:r>
          </w:p>
        </w:tc>
      </w:tr>
      <w:tr w:rsidR="00CB3305" w:rsidRPr="00A61F8D" w:rsidTr="0026161B">
        <w:tc>
          <w:tcPr>
            <w:tcW w:w="3652" w:type="dxa"/>
          </w:tcPr>
          <w:p w:rsidR="00CB3305" w:rsidRPr="00CB3305" w:rsidRDefault="00CB3305" w:rsidP="00CB3305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ind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0.53</w:t>
            </w:r>
            <w:r w:rsidRPr="00CB3305">
              <w:rPr>
                <w:color w:val="000000" w:themeColor="text1"/>
              </w:rPr>
              <w:t xml:space="preserve"> </w:t>
            </w:r>
            <w:r w:rsidRPr="00CB3305">
              <w:rPr>
                <w:color w:val="000000" w:themeColor="text1"/>
              </w:rPr>
              <w:sym w:font="Symbol" w:char="F0B1"/>
            </w:r>
            <w:r w:rsidRPr="00CB330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0.12</w:t>
            </w:r>
            <w:r w:rsidRPr="00CB3305">
              <w:rPr>
                <w:color w:val="000000" w:themeColor="text1"/>
              </w:rPr>
              <w:t xml:space="preserve"> </w:t>
            </w:r>
            <w:r w:rsidRPr="00CB3305">
              <w:rPr>
                <w:caps w:val="0"/>
                <w:noProof w:val="0"/>
                <w:color w:val="000000" w:themeColor="text1"/>
                <w:spacing w:val="-2"/>
              </w:rPr>
              <w:t xml:space="preserve">(linoleic acid, </w:t>
            </w:r>
            <w:proofErr w:type="spellStart"/>
            <w:r w:rsidRPr="00CB3305">
              <w:rPr>
                <w:caps w:val="0"/>
                <w:noProof w:val="0"/>
                <w:color w:val="000000" w:themeColor="text1"/>
                <w:spacing w:val="-2"/>
              </w:rPr>
              <w:t>unconj</w:t>
            </w:r>
            <w:proofErr w:type="spellEnd"/>
            <w:r w:rsidRPr="00CB3305">
              <w:rPr>
                <w:caps w:val="0"/>
                <w:noProof w:val="0"/>
                <w:color w:val="000000" w:themeColor="text1"/>
                <w:spacing w:val="-2"/>
              </w:rPr>
              <w:t>.)</w:t>
            </w:r>
          </w:p>
        </w:tc>
        <w:tc>
          <w:tcPr>
            <w:tcW w:w="1134" w:type="dxa"/>
          </w:tcPr>
          <w:p w:rsidR="00CB3305" w:rsidRPr="00CB3305" w:rsidRDefault="00CB3305" w:rsidP="006E7C85">
            <w:pPr>
              <w:spacing w:after="0"/>
              <w:ind w:left="113" w:right="113"/>
              <w:rPr>
                <w:color w:val="000000" w:themeColor="text1"/>
                <w:sz w:val="20"/>
              </w:rPr>
            </w:pPr>
            <w:r w:rsidRPr="00CB3305">
              <w:rPr>
                <w:color w:val="000000" w:themeColor="text1"/>
                <w:sz w:val="20"/>
              </w:rPr>
              <w:t>295</w:t>
            </w:r>
          </w:p>
        </w:tc>
        <w:tc>
          <w:tcPr>
            <w:tcW w:w="2552" w:type="dxa"/>
          </w:tcPr>
          <w:p w:rsidR="00CB3305" w:rsidRPr="00A4579D" w:rsidRDefault="00CB3305" w:rsidP="004A7EDE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  <w:color w:val="FF0000"/>
              </w:rPr>
            </w:pPr>
          </w:p>
        </w:tc>
        <w:tc>
          <w:tcPr>
            <w:tcW w:w="1984" w:type="dxa"/>
          </w:tcPr>
          <w:p w:rsidR="00CB3305" w:rsidRPr="00A4579D" w:rsidRDefault="00CB3305" w:rsidP="006E7C85">
            <w:pPr>
              <w:spacing w:after="0"/>
              <w:ind w:left="113" w:right="113"/>
              <w:rPr>
                <w:color w:val="FF0000"/>
                <w:sz w:val="20"/>
              </w:rPr>
            </w:pPr>
          </w:p>
        </w:tc>
      </w:tr>
      <w:tr w:rsidR="00CB3305" w:rsidRPr="00A61F8D" w:rsidTr="0026161B">
        <w:tc>
          <w:tcPr>
            <w:tcW w:w="3652" w:type="dxa"/>
          </w:tcPr>
          <w:p w:rsidR="00CB3305" w:rsidRPr="00A4579D" w:rsidRDefault="00876A5B" w:rsidP="00876A5B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ind w:right="113"/>
              <w:rPr>
                <w:caps w:val="0"/>
                <w:noProof w:val="0"/>
                <w:color w:val="FF0000"/>
                <w:spacing w:val="-2"/>
              </w:rPr>
            </w:pPr>
            <w:r>
              <w:rPr>
                <w:color w:val="000000" w:themeColor="text1"/>
              </w:rPr>
              <w:t>0.27</w:t>
            </w:r>
            <w:r w:rsidRPr="00CB3305">
              <w:rPr>
                <w:color w:val="000000" w:themeColor="text1"/>
              </w:rPr>
              <w:t xml:space="preserve"> </w:t>
            </w:r>
            <w:r w:rsidRPr="00CB3305">
              <w:rPr>
                <w:color w:val="000000" w:themeColor="text1"/>
              </w:rPr>
              <w:sym w:font="Symbol" w:char="F0B1"/>
            </w:r>
            <w:r w:rsidRPr="00CB3305">
              <w:rPr>
                <w:color w:val="000000" w:themeColor="text1"/>
              </w:rPr>
              <w:t xml:space="preserve"> 0.</w:t>
            </w:r>
            <w:r>
              <w:rPr>
                <w:color w:val="000000" w:themeColor="text1"/>
              </w:rPr>
              <w:t>06</w:t>
            </w:r>
            <w:r w:rsidRPr="00CB3305">
              <w:rPr>
                <w:color w:val="000000" w:themeColor="text1"/>
              </w:rPr>
              <w:t xml:space="preserve"> </w:t>
            </w:r>
            <w:r w:rsidRPr="00CB3305">
              <w:rPr>
                <w:caps w:val="0"/>
                <w:noProof w:val="0"/>
                <w:color w:val="000000" w:themeColor="text1"/>
                <w:spacing w:val="-2"/>
              </w:rPr>
              <w:t>(oleic acid, conj.)</w:t>
            </w:r>
          </w:p>
        </w:tc>
        <w:tc>
          <w:tcPr>
            <w:tcW w:w="1134" w:type="dxa"/>
          </w:tcPr>
          <w:p w:rsidR="00CB3305" w:rsidRPr="00A4579D" w:rsidRDefault="00876A5B" w:rsidP="006E7C85">
            <w:pPr>
              <w:spacing w:after="0"/>
              <w:ind w:left="113" w:right="113"/>
              <w:rPr>
                <w:color w:val="FF0000"/>
                <w:sz w:val="20"/>
              </w:rPr>
            </w:pPr>
            <w:r w:rsidRPr="00876A5B">
              <w:rPr>
                <w:color w:val="000000" w:themeColor="text1"/>
                <w:sz w:val="20"/>
              </w:rPr>
              <w:t>295</w:t>
            </w:r>
          </w:p>
        </w:tc>
        <w:tc>
          <w:tcPr>
            <w:tcW w:w="2552" w:type="dxa"/>
          </w:tcPr>
          <w:p w:rsidR="00CB3305" w:rsidRPr="00A4579D" w:rsidRDefault="00CB3305" w:rsidP="004A7EDE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  <w:color w:val="FF0000"/>
              </w:rPr>
            </w:pPr>
          </w:p>
        </w:tc>
        <w:tc>
          <w:tcPr>
            <w:tcW w:w="1984" w:type="dxa"/>
          </w:tcPr>
          <w:p w:rsidR="00CB3305" w:rsidRPr="00A4579D" w:rsidRDefault="00CB3305" w:rsidP="006E7C85">
            <w:pPr>
              <w:spacing w:after="0"/>
              <w:ind w:left="113" w:right="113"/>
              <w:rPr>
                <w:color w:val="FF0000"/>
                <w:sz w:val="20"/>
              </w:rPr>
            </w:pPr>
          </w:p>
        </w:tc>
      </w:tr>
      <w:tr w:rsidR="00CB3305" w:rsidRPr="00A61F8D" w:rsidTr="0026161B">
        <w:tc>
          <w:tcPr>
            <w:tcW w:w="3652" w:type="dxa"/>
          </w:tcPr>
          <w:p w:rsidR="00CB3305" w:rsidRPr="00A4579D" w:rsidRDefault="00930305" w:rsidP="00930305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ind w:right="113"/>
              <w:rPr>
                <w:caps w:val="0"/>
                <w:noProof w:val="0"/>
                <w:color w:val="FF0000"/>
                <w:spacing w:val="-2"/>
              </w:rPr>
            </w:pPr>
            <w:r>
              <w:rPr>
                <w:color w:val="000000" w:themeColor="text1"/>
              </w:rPr>
              <w:t>0.72</w:t>
            </w:r>
            <w:r w:rsidRPr="00CB3305">
              <w:rPr>
                <w:color w:val="000000" w:themeColor="text1"/>
              </w:rPr>
              <w:t xml:space="preserve"> </w:t>
            </w:r>
            <w:r w:rsidRPr="00CB3305">
              <w:rPr>
                <w:color w:val="000000" w:themeColor="text1"/>
              </w:rPr>
              <w:sym w:font="Symbol" w:char="F0B1"/>
            </w:r>
            <w:r w:rsidRPr="00CB3305">
              <w:rPr>
                <w:color w:val="000000" w:themeColor="text1"/>
              </w:rPr>
              <w:t xml:space="preserve"> 0.</w:t>
            </w:r>
            <w:r>
              <w:rPr>
                <w:color w:val="000000" w:themeColor="text1"/>
              </w:rPr>
              <w:t>17</w:t>
            </w:r>
            <w:r w:rsidRPr="00CB3305">
              <w:rPr>
                <w:color w:val="000000" w:themeColor="text1"/>
              </w:rPr>
              <w:t xml:space="preserve"> </w:t>
            </w:r>
            <w:r w:rsidRPr="00CB3305">
              <w:rPr>
                <w:caps w:val="0"/>
                <w:noProof w:val="0"/>
                <w:color w:val="000000" w:themeColor="text1"/>
                <w:spacing w:val="-2"/>
              </w:rPr>
              <w:t>(linole</w:t>
            </w:r>
            <w:r>
              <w:rPr>
                <w:caps w:val="0"/>
                <w:noProof w:val="0"/>
                <w:color w:val="000000" w:themeColor="text1"/>
                <w:spacing w:val="-2"/>
              </w:rPr>
              <w:t>n</w:t>
            </w:r>
            <w:r w:rsidRPr="00CB3305">
              <w:rPr>
                <w:caps w:val="0"/>
                <w:noProof w:val="0"/>
                <w:color w:val="000000" w:themeColor="text1"/>
                <w:spacing w:val="-2"/>
              </w:rPr>
              <w:t>ic acid, conj.)</w:t>
            </w:r>
          </w:p>
        </w:tc>
        <w:tc>
          <w:tcPr>
            <w:tcW w:w="1134" w:type="dxa"/>
          </w:tcPr>
          <w:p w:rsidR="00CB3305" w:rsidRPr="00A4579D" w:rsidRDefault="00930305" w:rsidP="006E7C85">
            <w:pPr>
              <w:spacing w:after="0"/>
              <w:ind w:left="113" w:right="113"/>
              <w:rPr>
                <w:color w:val="FF0000"/>
                <w:sz w:val="20"/>
              </w:rPr>
            </w:pPr>
            <w:r w:rsidRPr="00930305">
              <w:rPr>
                <w:color w:val="000000" w:themeColor="text1"/>
                <w:sz w:val="20"/>
              </w:rPr>
              <w:t>295</w:t>
            </w:r>
          </w:p>
        </w:tc>
        <w:tc>
          <w:tcPr>
            <w:tcW w:w="2552" w:type="dxa"/>
          </w:tcPr>
          <w:p w:rsidR="00CB3305" w:rsidRPr="00A4579D" w:rsidRDefault="00CB3305" w:rsidP="004A7EDE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  <w:color w:val="FF0000"/>
              </w:rPr>
            </w:pPr>
          </w:p>
        </w:tc>
        <w:tc>
          <w:tcPr>
            <w:tcW w:w="1984" w:type="dxa"/>
          </w:tcPr>
          <w:p w:rsidR="00CB3305" w:rsidRPr="00A4579D" w:rsidRDefault="00CB3305" w:rsidP="006E7C85">
            <w:pPr>
              <w:spacing w:after="0"/>
              <w:ind w:left="113" w:right="113"/>
              <w:rPr>
                <w:color w:val="FF0000"/>
                <w:sz w:val="20"/>
              </w:rPr>
            </w:pPr>
          </w:p>
        </w:tc>
      </w:tr>
      <w:tr w:rsidR="00930305" w:rsidRPr="00A61F8D" w:rsidTr="0026161B">
        <w:tc>
          <w:tcPr>
            <w:tcW w:w="3652" w:type="dxa"/>
          </w:tcPr>
          <w:p w:rsidR="00930305" w:rsidRPr="00A4579D" w:rsidRDefault="00930305" w:rsidP="003379EB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ind w:right="113"/>
              <w:rPr>
                <w:caps w:val="0"/>
                <w:noProof w:val="0"/>
                <w:color w:val="FF0000"/>
                <w:spacing w:val="-2"/>
              </w:rPr>
            </w:pPr>
            <w:r w:rsidRPr="00A4579D">
              <w:rPr>
                <w:caps w:val="0"/>
                <w:noProof w:val="0"/>
                <w:spacing w:val="-2"/>
              </w:rPr>
              <w:t>(</w:t>
            </w:r>
            <w:r>
              <w:rPr>
                <w:caps w:val="0"/>
                <w:noProof w:val="0"/>
                <w:spacing w:val="-2"/>
              </w:rPr>
              <w:t>2-6</w:t>
            </w:r>
            <w:r w:rsidRPr="00A4579D">
              <w:rPr>
                <w:caps w:val="0"/>
                <w:noProof w:val="0"/>
                <w:spacing w:val="-2"/>
              </w:rPr>
              <w:t xml:space="preserve">) </w:t>
            </w:r>
            <w:r w:rsidRPr="00A4579D">
              <w:rPr>
                <w:caps w:val="0"/>
                <w:noProof w:val="0"/>
                <w:spacing w:val="-2"/>
              </w:rPr>
              <w:sym w:font="Symbol" w:char="F0B4"/>
            </w:r>
            <w:r w:rsidRPr="00A4579D">
              <w:rPr>
                <w:caps w:val="0"/>
                <w:noProof w:val="0"/>
                <w:spacing w:val="-2"/>
              </w:rPr>
              <w:t xml:space="preserve"> 10</w:t>
            </w:r>
            <w:r w:rsidRPr="00A4579D">
              <w:rPr>
                <w:caps w:val="0"/>
                <w:noProof w:val="0"/>
                <w:spacing w:val="-2"/>
                <w:vertAlign w:val="superscript"/>
              </w:rPr>
              <w:t>-3</w:t>
            </w:r>
            <w:r w:rsidRPr="00A4579D">
              <w:rPr>
                <w:caps w:val="0"/>
                <w:noProof w:val="0"/>
                <w:spacing w:val="-2"/>
              </w:rPr>
              <w:t xml:space="preserve"> (</w:t>
            </w:r>
            <w:proofErr w:type="spellStart"/>
            <w:r w:rsidRPr="00A4579D">
              <w:rPr>
                <w:caps w:val="0"/>
                <w:noProof w:val="0"/>
                <w:spacing w:val="-2"/>
              </w:rPr>
              <w:t>ab</w:t>
            </w:r>
            <w:r w:rsidR="00BF3262">
              <w:rPr>
                <w:caps w:val="0"/>
                <w:noProof w:val="0"/>
                <w:spacing w:val="-2"/>
              </w:rPr>
              <w:t>ie</w:t>
            </w:r>
            <w:r w:rsidRPr="00A4579D">
              <w:rPr>
                <w:caps w:val="0"/>
                <w:noProof w:val="0"/>
                <w:spacing w:val="-2"/>
              </w:rPr>
              <w:t>tic</w:t>
            </w:r>
            <w:proofErr w:type="spellEnd"/>
            <w:r w:rsidRPr="00A4579D">
              <w:rPr>
                <w:caps w:val="0"/>
                <w:noProof w:val="0"/>
                <w:spacing w:val="-2"/>
              </w:rPr>
              <w:t>)</w:t>
            </w:r>
          </w:p>
        </w:tc>
        <w:tc>
          <w:tcPr>
            <w:tcW w:w="1134" w:type="dxa"/>
          </w:tcPr>
          <w:p w:rsidR="00930305" w:rsidRPr="00A4579D" w:rsidRDefault="00930305" w:rsidP="003379EB">
            <w:pPr>
              <w:spacing w:after="0"/>
              <w:ind w:left="113" w:right="113"/>
              <w:rPr>
                <w:color w:val="FF0000"/>
                <w:sz w:val="20"/>
              </w:rPr>
            </w:pPr>
            <w:r w:rsidRPr="009B20A1">
              <w:rPr>
                <w:color w:val="000000" w:themeColor="text1"/>
                <w:sz w:val="20"/>
              </w:rPr>
              <w:t>298</w:t>
            </w:r>
          </w:p>
        </w:tc>
        <w:tc>
          <w:tcPr>
            <w:tcW w:w="2552" w:type="dxa"/>
          </w:tcPr>
          <w:p w:rsidR="00930305" w:rsidRPr="00A4579D" w:rsidRDefault="00930305" w:rsidP="003379EB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</w:rPr>
            </w:pPr>
            <w:r w:rsidRPr="00A4579D">
              <w:rPr>
                <w:caps w:val="0"/>
              </w:rPr>
              <w:t>Knopf et al., 2011</w:t>
            </w:r>
          </w:p>
        </w:tc>
        <w:tc>
          <w:tcPr>
            <w:tcW w:w="1984" w:type="dxa"/>
          </w:tcPr>
          <w:p w:rsidR="00930305" w:rsidRPr="00A4579D" w:rsidRDefault="00930305" w:rsidP="003379EB">
            <w:pPr>
              <w:spacing w:after="0"/>
              <w:ind w:left="113" w:right="113"/>
              <w:rPr>
                <w:sz w:val="20"/>
              </w:rPr>
            </w:pPr>
            <w:r w:rsidRPr="00A4579D">
              <w:rPr>
                <w:sz w:val="20"/>
              </w:rPr>
              <w:t>CWFT-CIMS (d)</w:t>
            </w:r>
          </w:p>
        </w:tc>
      </w:tr>
      <w:tr w:rsidR="00930305" w:rsidRPr="00A61F8D" w:rsidTr="0026161B">
        <w:tc>
          <w:tcPr>
            <w:tcW w:w="3652" w:type="dxa"/>
          </w:tcPr>
          <w:p w:rsidR="00930305" w:rsidRPr="00876A5B" w:rsidRDefault="00A3301D" w:rsidP="003379EB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 w:line="280" w:lineRule="exact"/>
              <w:ind w:right="113"/>
              <w:rPr>
                <w:caps w:val="0"/>
                <w:noProof w:val="0"/>
                <w:spacing w:val="-2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aps w:val="0"/>
                      <w:noProof w:val="0"/>
                      <w:spacing w:val="-2"/>
                    </w:rPr>
                  </m:ctrlPr>
                </m:sSubSupPr>
                <m:e>
                  <m:r>
                    <w:rPr>
                      <w:rFonts w:ascii="Cambria Math" w:hAnsi="Cambria Math"/>
                      <w:caps w:val="0"/>
                      <w:noProof w:val="0"/>
                      <w:spacing w:val="-2"/>
                    </w:rPr>
                    <m:t>0.4</m:t>
                  </m:r>
                </m:e>
                <m:sub>
                  <m:r>
                    <w:rPr>
                      <w:rFonts w:ascii="Cambria Math" w:hAnsi="Cambria Math"/>
                      <w:caps w:val="0"/>
                      <w:noProof w:val="0"/>
                      <w:spacing w:val="-2"/>
                    </w:rPr>
                    <m:t>-0.31</m:t>
                  </m:r>
                </m:sub>
                <m:sup>
                  <m:r>
                    <w:rPr>
                      <w:rFonts w:ascii="Cambria Math" w:hAnsi="Cambria Math"/>
                      <w:caps w:val="0"/>
                      <w:noProof w:val="0"/>
                      <w:spacing w:val="-2"/>
                    </w:rPr>
                    <m:t>+0.45</m:t>
                  </m:r>
                </m:sup>
              </m:sSubSup>
            </m:oMath>
            <w:r w:rsidR="00930305">
              <w:rPr>
                <w:caps w:val="0"/>
                <w:noProof w:val="0"/>
                <w:spacing w:val="-2"/>
              </w:rPr>
              <w:t xml:space="preserve"> (linoleic)</w:t>
            </w:r>
          </w:p>
        </w:tc>
        <w:tc>
          <w:tcPr>
            <w:tcW w:w="1134" w:type="dxa"/>
          </w:tcPr>
          <w:p w:rsidR="00930305" w:rsidRPr="009B20A1" w:rsidRDefault="00930305" w:rsidP="003379EB">
            <w:pPr>
              <w:spacing w:after="0"/>
              <w:ind w:left="113" w:righ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298</w:t>
            </w:r>
          </w:p>
        </w:tc>
        <w:tc>
          <w:tcPr>
            <w:tcW w:w="2552" w:type="dxa"/>
          </w:tcPr>
          <w:p w:rsidR="00930305" w:rsidRPr="00A4579D" w:rsidRDefault="00930305" w:rsidP="003379EB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</w:rPr>
            </w:pPr>
          </w:p>
        </w:tc>
        <w:tc>
          <w:tcPr>
            <w:tcW w:w="1984" w:type="dxa"/>
          </w:tcPr>
          <w:p w:rsidR="00930305" w:rsidRPr="00A4579D" w:rsidRDefault="00930305" w:rsidP="003379EB">
            <w:pPr>
              <w:spacing w:after="0"/>
              <w:ind w:left="113" w:right="113"/>
              <w:rPr>
                <w:sz w:val="20"/>
              </w:rPr>
            </w:pPr>
          </w:p>
        </w:tc>
      </w:tr>
      <w:tr w:rsidR="00930305" w:rsidRPr="00A61F8D" w:rsidTr="0026161B">
        <w:tc>
          <w:tcPr>
            <w:tcW w:w="3652" w:type="dxa"/>
          </w:tcPr>
          <w:p w:rsidR="00930305" w:rsidRPr="00A4579D" w:rsidRDefault="00A3301D" w:rsidP="003379EB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 w:line="280" w:lineRule="exact"/>
              <w:ind w:right="113"/>
              <w:rPr>
                <w:caps w:val="0"/>
                <w:noProof w:val="0"/>
                <w:color w:val="FF0000"/>
                <w:spacing w:val="-2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aps w:val="0"/>
                      <w:noProof w:val="0"/>
                      <w:spacing w:val="-2"/>
                    </w:rPr>
                  </m:ctrlPr>
                </m:sSubSupPr>
                <m:e>
                  <m:r>
                    <w:rPr>
                      <w:rFonts w:ascii="Cambria Math" w:hAnsi="Cambria Math"/>
                      <w:caps w:val="0"/>
                      <w:noProof w:val="0"/>
                      <w:spacing w:val="-2"/>
                    </w:rPr>
                    <m:t>0.29</m:t>
                  </m:r>
                </m:e>
                <m:sub>
                  <m:r>
                    <w:rPr>
                      <w:rFonts w:ascii="Cambria Math" w:hAnsi="Cambria Math"/>
                      <w:caps w:val="0"/>
                      <w:noProof w:val="0"/>
                      <w:spacing w:val="-2"/>
                    </w:rPr>
                    <m:t>-0.21</m:t>
                  </m:r>
                </m:sub>
                <m:sup>
                  <m:r>
                    <w:rPr>
                      <w:rFonts w:ascii="Cambria Math" w:hAnsi="Cambria Math"/>
                      <w:caps w:val="0"/>
                      <w:noProof w:val="0"/>
                      <w:spacing w:val="-2"/>
                    </w:rPr>
                    <m:t>+0.71</m:t>
                  </m:r>
                </m:sup>
              </m:sSubSup>
            </m:oMath>
            <w:r w:rsidR="00930305">
              <w:rPr>
                <w:caps w:val="0"/>
                <w:noProof w:val="0"/>
                <w:spacing w:val="-2"/>
              </w:rPr>
              <w:t xml:space="preserve"> (oleic)</w:t>
            </w:r>
          </w:p>
        </w:tc>
        <w:tc>
          <w:tcPr>
            <w:tcW w:w="1134" w:type="dxa"/>
          </w:tcPr>
          <w:p w:rsidR="00930305" w:rsidRPr="00A4579D" w:rsidRDefault="00930305" w:rsidP="003379EB">
            <w:pPr>
              <w:spacing w:after="0"/>
              <w:ind w:left="113" w:right="113"/>
              <w:rPr>
                <w:color w:val="FF0000"/>
                <w:sz w:val="20"/>
              </w:rPr>
            </w:pPr>
            <w:r w:rsidRPr="00876A5B">
              <w:rPr>
                <w:color w:val="000000" w:themeColor="text1"/>
                <w:sz w:val="20"/>
              </w:rPr>
              <w:t>298</w:t>
            </w:r>
          </w:p>
        </w:tc>
        <w:tc>
          <w:tcPr>
            <w:tcW w:w="2552" w:type="dxa"/>
          </w:tcPr>
          <w:p w:rsidR="00930305" w:rsidRPr="00A4579D" w:rsidRDefault="00930305" w:rsidP="003379EB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  <w:color w:val="FF0000"/>
              </w:rPr>
            </w:pPr>
          </w:p>
        </w:tc>
        <w:tc>
          <w:tcPr>
            <w:tcW w:w="1984" w:type="dxa"/>
          </w:tcPr>
          <w:p w:rsidR="00930305" w:rsidRPr="00A4579D" w:rsidRDefault="00930305" w:rsidP="003379EB">
            <w:pPr>
              <w:spacing w:after="0"/>
              <w:ind w:left="113" w:right="113"/>
              <w:rPr>
                <w:color w:val="FF0000"/>
                <w:sz w:val="20"/>
              </w:rPr>
            </w:pPr>
          </w:p>
        </w:tc>
      </w:tr>
      <w:tr w:rsidR="00930305" w:rsidRPr="00A61F8D" w:rsidTr="0026161B">
        <w:tc>
          <w:tcPr>
            <w:tcW w:w="3652" w:type="dxa"/>
          </w:tcPr>
          <w:p w:rsidR="00930305" w:rsidRPr="00930305" w:rsidRDefault="00930305" w:rsidP="002E652C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ind w:right="113"/>
              <w:rPr>
                <w:caps w:val="0"/>
                <w:noProof w:val="0"/>
                <w:color w:val="000000" w:themeColor="text1"/>
                <w:spacing w:val="-2"/>
              </w:rPr>
            </w:pPr>
            <w:r>
              <w:rPr>
                <w:caps w:val="0"/>
                <w:noProof w:val="0"/>
                <w:color w:val="000000" w:themeColor="text1"/>
                <w:spacing w:val="-2"/>
              </w:rPr>
              <w:t xml:space="preserve">0.14 </w:t>
            </w:r>
            <w:r w:rsidRPr="00930305">
              <w:rPr>
                <w:caps w:val="0"/>
                <w:noProof w:val="0"/>
                <w:color w:val="000000" w:themeColor="text1"/>
                <w:spacing w:val="-2"/>
              </w:rPr>
              <w:sym w:font="Symbol" w:char="F0B1"/>
            </w:r>
            <w:r>
              <w:rPr>
                <w:caps w:val="0"/>
                <w:noProof w:val="0"/>
                <w:color w:val="000000" w:themeColor="text1"/>
                <w:spacing w:val="-2"/>
              </w:rPr>
              <w:t xml:space="preserve"> 0.03 (oleic)</w:t>
            </w:r>
          </w:p>
        </w:tc>
        <w:tc>
          <w:tcPr>
            <w:tcW w:w="1134" w:type="dxa"/>
          </w:tcPr>
          <w:p w:rsidR="00930305" w:rsidRPr="00930305" w:rsidRDefault="0016717C" w:rsidP="003379EB">
            <w:pPr>
              <w:spacing w:after="0"/>
              <w:ind w:left="113" w:right="113"/>
              <w:rPr>
                <w:color w:val="000000" w:themeColor="text1"/>
                <w:sz w:val="20"/>
              </w:rPr>
            </w:pPr>
            <w:r w:rsidRPr="0016717C">
              <w:rPr>
                <w:sz w:val="20"/>
              </w:rPr>
              <w:t>RT</w:t>
            </w:r>
          </w:p>
        </w:tc>
        <w:tc>
          <w:tcPr>
            <w:tcW w:w="2552" w:type="dxa"/>
          </w:tcPr>
          <w:p w:rsidR="00930305" w:rsidRPr="00930305" w:rsidRDefault="00930305" w:rsidP="00930305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  <w:color w:val="000000" w:themeColor="text1"/>
              </w:rPr>
            </w:pPr>
            <w:r w:rsidRPr="00930305">
              <w:rPr>
                <w:caps w:val="0"/>
                <w:color w:val="000000" w:themeColor="text1"/>
              </w:rPr>
              <w:t>Renbaum-Wolff and Smith, (2012)</w:t>
            </w:r>
          </w:p>
        </w:tc>
        <w:tc>
          <w:tcPr>
            <w:tcW w:w="1984" w:type="dxa"/>
          </w:tcPr>
          <w:p w:rsidR="00930305" w:rsidRPr="00930305" w:rsidRDefault="00930305" w:rsidP="006E7C85">
            <w:pPr>
              <w:spacing w:after="0"/>
              <w:ind w:left="113" w:right="113"/>
              <w:rPr>
                <w:color w:val="000000" w:themeColor="text1"/>
                <w:sz w:val="20"/>
              </w:rPr>
            </w:pPr>
            <w:r w:rsidRPr="00930305">
              <w:rPr>
                <w:color w:val="000000" w:themeColor="text1"/>
                <w:sz w:val="20"/>
              </w:rPr>
              <w:t>AFT</w:t>
            </w:r>
            <w:r w:rsidR="00275BB1">
              <w:rPr>
                <w:color w:val="000000" w:themeColor="text1"/>
                <w:sz w:val="20"/>
              </w:rPr>
              <w:t xml:space="preserve"> (e)</w:t>
            </w:r>
          </w:p>
        </w:tc>
      </w:tr>
      <w:tr w:rsidR="00930305" w:rsidRPr="00A61F8D" w:rsidTr="0026161B">
        <w:tc>
          <w:tcPr>
            <w:tcW w:w="3652" w:type="dxa"/>
            <w:tcBorders>
              <w:bottom w:val="single" w:sz="4" w:space="0" w:color="auto"/>
            </w:tcBorders>
          </w:tcPr>
          <w:p w:rsidR="00930305" w:rsidRPr="00A61F8D" w:rsidRDefault="00930305" w:rsidP="001D6205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  <w:noProof w:val="0"/>
                <w:spacing w:val="-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0305" w:rsidRPr="00A61F8D" w:rsidRDefault="00930305">
            <w:pPr>
              <w:spacing w:line="264" w:lineRule="auto"/>
              <w:rPr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30305" w:rsidRPr="00A61F8D" w:rsidRDefault="00930305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line="264" w:lineRule="auto"/>
              <w:rPr>
                <w:caps w:val="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0305" w:rsidRPr="00A61F8D" w:rsidRDefault="00930305">
            <w:pPr>
              <w:spacing w:line="264" w:lineRule="auto"/>
              <w:rPr>
                <w:sz w:val="20"/>
              </w:rPr>
            </w:pPr>
          </w:p>
        </w:tc>
      </w:tr>
    </w:tbl>
    <w:p w:rsidR="0016717C" w:rsidRPr="00EF5B3C" w:rsidRDefault="00BF3262" w:rsidP="00CA6636">
      <w:pPr>
        <w:rPr>
          <w:rFonts w:ascii="Times New Roman" w:hAnsi="Times New Roman"/>
          <w:lang w:val="en-AU"/>
        </w:rPr>
      </w:pPr>
      <w:proofErr w:type="spellStart"/>
      <w:r>
        <w:rPr>
          <w:rFonts w:ascii="Times New Roman" w:hAnsi="Times New Roman"/>
          <w:spacing w:val="-2"/>
        </w:rPr>
        <w:t>Ab</w:t>
      </w:r>
      <w:r w:rsidR="00430BD2"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-2"/>
        </w:rPr>
        <w:t>e</w:t>
      </w:r>
      <w:r w:rsidR="00430BD2">
        <w:rPr>
          <w:rFonts w:ascii="Times New Roman" w:hAnsi="Times New Roman"/>
          <w:spacing w:val="-2"/>
        </w:rPr>
        <w:t>tic</w:t>
      </w:r>
      <w:proofErr w:type="spellEnd"/>
      <w:r w:rsidR="00430BD2">
        <w:rPr>
          <w:rFonts w:ascii="Times New Roman" w:hAnsi="Times New Roman"/>
          <w:spacing w:val="-2"/>
        </w:rPr>
        <w:t xml:space="preserve"> acid </w:t>
      </w:r>
      <w:r w:rsidR="009B20A1" w:rsidRPr="009B20A1">
        <w:rPr>
          <w:rFonts w:ascii="Times New Roman" w:hAnsi="Times New Roman"/>
          <w:spacing w:val="-2"/>
        </w:rPr>
        <w:t>(C</w:t>
      </w:r>
      <w:r w:rsidR="009B20A1" w:rsidRPr="00430BD2">
        <w:rPr>
          <w:rFonts w:ascii="Times New Roman" w:hAnsi="Times New Roman"/>
          <w:spacing w:val="-2"/>
          <w:vertAlign w:val="subscript"/>
        </w:rPr>
        <w:t>20</w:t>
      </w:r>
      <w:r w:rsidR="009B20A1" w:rsidRPr="009B20A1">
        <w:rPr>
          <w:rFonts w:ascii="Times New Roman" w:hAnsi="Times New Roman"/>
          <w:spacing w:val="-2"/>
        </w:rPr>
        <w:t>H</w:t>
      </w:r>
      <w:r w:rsidR="009B20A1" w:rsidRPr="00430BD2">
        <w:rPr>
          <w:rFonts w:ascii="Times New Roman" w:hAnsi="Times New Roman"/>
          <w:spacing w:val="-2"/>
          <w:vertAlign w:val="subscript"/>
        </w:rPr>
        <w:t>30</w:t>
      </w:r>
      <w:r w:rsidR="009B20A1" w:rsidRPr="009B20A1">
        <w:rPr>
          <w:rFonts w:ascii="Times New Roman" w:hAnsi="Times New Roman"/>
          <w:spacing w:val="-2"/>
        </w:rPr>
        <w:t>O</w:t>
      </w:r>
      <w:r w:rsidR="009B20A1" w:rsidRPr="00430BD2">
        <w:rPr>
          <w:rFonts w:ascii="Times New Roman" w:hAnsi="Times New Roman"/>
          <w:spacing w:val="-2"/>
          <w:vertAlign w:val="subscript"/>
        </w:rPr>
        <w:t>2</w:t>
      </w:r>
      <w:r w:rsidR="009B20A1" w:rsidRPr="009B20A1">
        <w:rPr>
          <w:rFonts w:ascii="Times New Roman" w:hAnsi="Times New Roman"/>
          <w:spacing w:val="-2"/>
        </w:rPr>
        <w:t>)</w:t>
      </w:r>
      <w:r w:rsidR="00430BD2">
        <w:rPr>
          <w:rFonts w:ascii="Times New Roman" w:hAnsi="Times New Roman"/>
          <w:spacing w:val="-2"/>
        </w:rPr>
        <w:t xml:space="preserve"> </w:t>
      </w:r>
      <w:r w:rsidR="009B20A1" w:rsidRPr="009B20A1">
        <w:rPr>
          <w:rFonts w:ascii="Times New Roman" w:hAnsi="Times New Roman"/>
          <w:spacing w:val="-2"/>
        </w:rPr>
        <w:t>is Abieta-7,13-dien-18-oic acid</w:t>
      </w:r>
      <w:r w:rsidR="00430BD2">
        <w:rPr>
          <w:rFonts w:ascii="Times New Roman" w:hAnsi="Times New Roman"/>
          <w:spacing w:val="-2"/>
        </w:rPr>
        <w:t xml:space="preserve">, </w:t>
      </w:r>
      <w:r w:rsidR="00A45389" w:rsidRPr="00A45389">
        <w:rPr>
          <w:rFonts w:ascii="Times New Roman" w:hAnsi="Times New Roman"/>
          <w:spacing w:val="-2"/>
        </w:rPr>
        <w:t>Linoleic acid is C</w:t>
      </w:r>
      <w:r w:rsidR="00A45389" w:rsidRPr="00A45389">
        <w:rPr>
          <w:rFonts w:ascii="Times New Roman" w:hAnsi="Times New Roman"/>
          <w:spacing w:val="-2"/>
          <w:vertAlign w:val="subscript"/>
        </w:rPr>
        <w:t>18</w:t>
      </w:r>
      <w:r w:rsidR="00A45389" w:rsidRPr="00A45389">
        <w:rPr>
          <w:rFonts w:ascii="Times New Roman" w:hAnsi="Times New Roman"/>
          <w:spacing w:val="-2"/>
        </w:rPr>
        <w:t>H</w:t>
      </w:r>
      <w:r w:rsidR="00A45389" w:rsidRPr="00A45389">
        <w:rPr>
          <w:rFonts w:ascii="Times New Roman" w:hAnsi="Times New Roman"/>
          <w:spacing w:val="-2"/>
          <w:vertAlign w:val="subscript"/>
        </w:rPr>
        <w:t>32</w:t>
      </w:r>
      <w:r w:rsidR="00A45389" w:rsidRPr="00A45389">
        <w:rPr>
          <w:rFonts w:ascii="Times New Roman" w:hAnsi="Times New Roman"/>
          <w:spacing w:val="-2"/>
        </w:rPr>
        <w:t>O</w:t>
      </w:r>
      <w:r w:rsidR="00A45389" w:rsidRPr="00A45389">
        <w:rPr>
          <w:rFonts w:ascii="Times New Roman" w:hAnsi="Times New Roman"/>
          <w:spacing w:val="-2"/>
          <w:vertAlign w:val="subscript"/>
        </w:rPr>
        <w:t>2</w:t>
      </w:r>
      <w:r w:rsidR="00A45389" w:rsidRPr="00A45389">
        <w:rPr>
          <w:rFonts w:ascii="Times New Roman" w:hAnsi="Times New Roman"/>
          <w:spacing w:val="-2"/>
        </w:rPr>
        <w:t xml:space="preserve"> ((9</w:t>
      </w:r>
      <w:r w:rsidR="00A45389" w:rsidRPr="00A45389">
        <w:rPr>
          <w:rFonts w:ascii="Times New Roman" w:hAnsi="Times New Roman"/>
          <w:i/>
          <w:iCs/>
          <w:spacing w:val="-2"/>
        </w:rPr>
        <w:t>Z</w:t>
      </w:r>
      <w:r w:rsidR="00A45389" w:rsidRPr="00A45389">
        <w:rPr>
          <w:rFonts w:ascii="Times New Roman" w:hAnsi="Times New Roman"/>
          <w:spacing w:val="-2"/>
        </w:rPr>
        <w:t>,12</w:t>
      </w:r>
      <w:r w:rsidR="00A45389" w:rsidRPr="00A45389">
        <w:rPr>
          <w:rFonts w:ascii="Times New Roman" w:hAnsi="Times New Roman"/>
          <w:i/>
          <w:iCs/>
          <w:spacing w:val="-2"/>
        </w:rPr>
        <w:t>Z</w:t>
      </w:r>
      <w:r w:rsidR="00E262BA">
        <w:rPr>
          <w:rFonts w:ascii="Times New Roman" w:hAnsi="Times New Roman"/>
          <w:spacing w:val="-2"/>
        </w:rPr>
        <w:t>)-9,12-octadecadienoic acid),</w:t>
      </w:r>
      <w:r w:rsidR="00A45389" w:rsidRPr="00A45389">
        <w:rPr>
          <w:rFonts w:ascii="Times New Roman" w:hAnsi="Times New Roman"/>
          <w:spacing w:val="-2"/>
        </w:rPr>
        <w:t xml:space="preserve"> </w:t>
      </w:r>
      <w:r w:rsidR="00E262BA">
        <w:rPr>
          <w:rFonts w:ascii="Times New Roman" w:hAnsi="Times New Roman"/>
          <w:spacing w:val="-2"/>
        </w:rPr>
        <w:t>l</w:t>
      </w:r>
      <w:r w:rsidR="00A45389" w:rsidRPr="00A45389">
        <w:rPr>
          <w:rFonts w:ascii="Times New Roman" w:hAnsi="Times New Roman"/>
          <w:spacing w:val="-2"/>
        </w:rPr>
        <w:t xml:space="preserve">inoleic acid (conj.) is a mixture of cis- and trans-9,11 </w:t>
      </w:r>
      <w:proofErr w:type="spellStart"/>
      <w:r w:rsidR="00A45389" w:rsidRPr="00A45389">
        <w:rPr>
          <w:rFonts w:ascii="Times New Roman" w:hAnsi="Times New Roman"/>
          <w:spacing w:val="-2"/>
        </w:rPr>
        <w:t>octadecadienoic</w:t>
      </w:r>
      <w:proofErr w:type="spellEnd"/>
      <w:r w:rsidR="00A45389" w:rsidRPr="00A45389">
        <w:rPr>
          <w:rFonts w:ascii="Times New Roman" w:hAnsi="Times New Roman"/>
          <w:spacing w:val="-2"/>
        </w:rPr>
        <w:t xml:space="preserve"> acid and -10,12 </w:t>
      </w:r>
      <w:proofErr w:type="spellStart"/>
      <w:r w:rsidR="00A45389" w:rsidRPr="00A45389">
        <w:rPr>
          <w:rFonts w:ascii="Times New Roman" w:hAnsi="Times New Roman"/>
          <w:spacing w:val="-2"/>
        </w:rPr>
        <w:t>octadecadienoic</w:t>
      </w:r>
      <w:proofErr w:type="spellEnd"/>
      <w:r w:rsidR="00A45389" w:rsidRPr="00A45389">
        <w:rPr>
          <w:rFonts w:ascii="Times New Roman" w:hAnsi="Times New Roman"/>
          <w:spacing w:val="-2"/>
        </w:rPr>
        <w:t xml:space="preserve"> acid</w:t>
      </w:r>
      <w:r w:rsidR="00E262BA">
        <w:rPr>
          <w:rFonts w:ascii="Times New Roman" w:hAnsi="Times New Roman"/>
          <w:spacing w:val="-2"/>
        </w:rPr>
        <w:t>,</w:t>
      </w:r>
      <w:r w:rsidR="00A45389" w:rsidRPr="00A45389">
        <w:rPr>
          <w:rFonts w:ascii="Times New Roman" w:hAnsi="Times New Roman"/>
          <w:spacing w:val="-2"/>
        </w:rPr>
        <w:t xml:space="preserve"> </w:t>
      </w:r>
      <w:r w:rsidR="00E262BA">
        <w:rPr>
          <w:rFonts w:ascii="Times New Roman" w:hAnsi="Times New Roman"/>
          <w:spacing w:val="-2"/>
        </w:rPr>
        <w:t>l</w:t>
      </w:r>
      <w:r w:rsidR="00A45389" w:rsidRPr="00A45389">
        <w:rPr>
          <w:rFonts w:ascii="Times New Roman" w:hAnsi="Times New Roman"/>
          <w:spacing w:val="-2"/>
        </w:rPr>
        <w:t>inolenic acid is C</w:t>
      </w:r>
      <w:r w:rsidR="00A45389" w:rsidRPr="00A45389">
        <w:rPr>
          <w:rFonts w:ascii="Times New Roman" w:hAnsi="Times New Roman"/>
          <w:spacing w:val="-2"/>
          <w:vertAlign w:val="subscript"/>
        </w:rPr>
        <w:t>18</w:t>
      </w:r>
      <w:r w:rsidR="00A45389" w:rsidRPr="00A45389">
        <w:rPr>
          <w:rFonts w:ascii="Times New Roman" w:hAnsi="Times New Roman"/>
          <w:spacing w:val="-2"/>
        </w:rPr>
        <w:t>H</w:t>
      </w:r>
      <w:r w:rsidR="00A45389" w:rsidRPr="00A45389">
        <w:rPr>
          <w:rFonts w:ascii="Times New Roman" w:hAnsi="Times New Roman"/>
          <w:spacing w:val="-2"/>
          <w:vertAlign w:val="subscript"/>
        </w:rPr>
        <w:t>30</w:t>
      </w:r>
      <w:r w:rsidR="00A45389" w:rsidRPr="00A45389">
        <w:rPr>
          <w:rFonts w:ascii="Times New Roman" w:hAnsi="Times New Roman"/>
          <w:spacing w:val="-2"/>
        </w:rPr>
        <w:t>O</w:t>
      </w:r>
      <w:r w:rsidR="00A45389" w:rsidRPr="00A45389">
        <w:rPr>
          <w:rFonts w:ascii="Times New Roman" w:hAnsi="Times New Roman"/>
          <w:spacing w:val="-2"/>
          <w:vertAlign w:val="subscript"/>
        </w:rPr>
        <w:t>2</w:t>
      </w:r>
      <w:r w:rsidR="00A45389" w:rsidRPr="00A45389">
        <w:rPr>
          <w:rFonts w:ascii="Times New Roman" w:hAnsi="Times New Roman"/>
          <w:spacing w:val="-2"/>
        </w:rPr>
        <w:t xml:space="preserve"> ((9</w:t>
      </w:r>
      <w:r w:rsidR="00A45389" w:rsidRPr="00A45389">
        <w:rPr>
          <w:rFonts w:ascii="Times New Roman" w:hAnsi="Times New Roman"/>
          <w:i/>
          <w:iCs/>
          <w:spacing w:val="-2"/>
        </w:rPr>
        <w:t>Z</w:t>
      </w:r>
      <w:r w:rsidR="00A45389" w:rsidRPr="00A45389">
        <w:rPr>
          <w:rFonts w:ascii="Times New Roman" w:hAnsi="Times New Roman"/>
          <w:spacing w:val="-2"/>
        </w:rPr>
        <w:t>,12</w:t>
      </w:r>
      <w:r w:rsidR="00A45389" w:rsidRPr="00A45389">
        <w:rPr>
          <w:rFonts w:ascii="Times New Roman" w:hAnsi="Times New Roman"/>
          <w:i/>
          <w:iCs/>
          <w:spacing w:val="-2"/>
        </w:rPr>
        <w:t>Z</w:t>
      </w:r>
      <w:r w:rsidR="00A45389" w:rsidRPr="00A45389">
        <w:rPr>
          <w:rFonts w:ascii="Times New Roman" w:hAnsi="Times New Roman"/>
          <w:spacing w:val="-2"/>
        </w:rPr>
        <w:t>,15</w:t>
      </w:r>
      <w:r w:rsidR="00A45389" w:rsidRPr="00A45389">
        <w:rPr>
          <w:rFonts w:ascii="Times New Roman" w:hAnsi="Times New Roman"/>
          <w:i/>
          <w:iCs/>
          <w:spacing w:val="-2"/>
        </w:rPr>
        <w:t>Z</w:t>
      </w:r>
      <w:r w:rsidR="00A45389" w:rsidRPr="00A45389">
        <w:rPr>
          <w:rFonts w:ascii="Times New Roman" w:hAnsi="Times New Roman"/>
          <w:spacing w:val="-2"/>
        </w:rPr>
        <w:t>)-9,12,15-octadecatrienoic acid)</w:t>
      </w:r>
      <w:r w:rsidR="00E262BA">
        <w:rPr>
          <w:rFonts w:ascii="Times New Roman" w:hAnsi="Times New Roman"/>
          <w:spacing w:val="-2"/>
        </w:rPr>
        <w:t>,</w:t>
      </w:r>
      <w:r w:rsidR="00E262BA" w:rsidRPr="00E262BA">
        <w:rPr>
          <w:rFonts w:ascii="Times New Roman" w:eastAsia="Times New Roman" w:hAnsi="Times New Roman"/>
          <w:sz w:val="24"/>
          <w:szCs w:val="20"/>
          <w:lang w:eastAsia="en-GB"/>
        </w:rPr>
        <w:t xml:space="preserve"> </w:t>
      </w:r>
      <w:r w:rsidR="00E262BA">
        <w:rPr>
          <w:rFonts w:ascii="Times New Roman" w:hAnsi="Times New Roman"/>
          <w:spacing w:val="-2"/>
        </w:rPr>
        <w:t>o</w:t>
      </w:r>
      <w:r w:rsidR="00E262BA" w:rsidRPr="00E262BA">
        <w:rPr>
          <w:rFonts w:ascii="Times New Roman" w:hAnsi="Times New Roman"/>
          <w:spacing w:val="-2"/>
        </w:rPr>
        <w:t>leic acid is C</w:t>
      </w:r>
      <w:r w:rsidR="00E262BA" w:rsidRPr="00E262BA">
        <w:rPr>
          <w:rFonts w:ascii="Times New Roman" w:hAnsi="Times New Roman"/>
          <w:spacing w:val="-2"/>
          <w:vertAlign w:val="subscript"/>
        </w:rPr>
        <w:t>18</w:t>
      </w:r>
      <w:r w:rsidR="00E262BA" w:rsidRPr="00E262BA">
        <w:rPr>
          <w:rFonts w:ascii="Times New Roman" w:hAnsi="Times New Roman"/>
          <w:spacing w:val="-2"/>
        </w:rPr>
        <w:t>H</w:t>
      </w:r>
      <w:r w:rsidR="00E262BA" w:rsidRPr="00E262BA">
        <w:rPr>
          <w:rFonts w:ascii="Times New Roman" w:hAnsi="Times New Roman"/>
          <w:spacing w:val="-2"/>
          <w:vertAlign w:val="subscript"/>
        </w:rPr>
        <w:t>34</w:t>
      </w:r>
      <w:r w:rsidR="00E262BA" w:rsidRPr="00E262BA">
        <w:rPr>
          <w:rFonts w:ascii="Times New Roman" w:hAnsi="Times New Roman"/>
          <w:spacing w:val="-2"/>
        </w:rPr>
        <w:t>O</w:t>
      </w:r>
      <w:r w:rsidR="00E262BA" w:rsidRPr="00E262BA">
        <w:rPr>
          <w:rFonts w:ascii="Times New Roman" w:hAnsi="Times New Roman"/>
          <w:spacing w:val="-2"/>
          <w:vertAlign w:val="subscript"/>
        </w:rPr>
        <w:t>2</w:t>
      </w:r>
      <w:r w:rsidR="00E262BA" w:rsidRPr="00E262BA">
        <w:rPr>
          <w:rFonts w:ascii="Times New Roman" w:hAnsi="Times New Roman"/>
          <w:spacing w:val="-2"/>
        </w:rPr>
        <w:t>, ((9</w:t>
      </w:r>
      <w:r w:rsidR="00E262BA" w:rsidRPr="00E262BA">
        <w:rPr>
          <w:rFonts w:ascii="Times New Roman" w:hAnsi="Times New Roman"/>
          <w:i/>
          <w:iCs/>
          <w:spacing w:val="-2"/>
        </w:rPr>
        <w:t>Z</w:t>
      </w:r>
      <w:r w:rsidR="00E262BA" w:rsidRPr="00E262BA">
        <w:rPr>
          <w:rFonts w:ascii="Times New Roman" w:hAnsi="Times New Roman"/>
          <w:spacing w:val="-2"/>
        </w:rPr>
        <w:t>)-Octadec-9-enoic acid)</w:t>
      </w:r>
      <w:r w:rsidR="00E262BA">
        <w:rPr>
          <w:rFonts w:ascii="Times New Roman" w:hAnsi="Times New Roman"/>
          <w:spacing w:val="-2"/>
        </w:rPr>
        <w:t>,</w:t>
      </w:r>
      <w:r w:rsidR="00A45389">
        <w:rPr>
          <w:rFonts w:ascii="Times New Roman" w:hAnsi="Times New Roman"/>
          <w:spacing w:val="-2"/>
        </w:rPr>
        <w:t xml:space="preserve"> </w:t>
      </w:r>
      <w:r w:rsidR="0016717C">
        <w:rPr>
          <w:rFonts w:ascii="Times New Roman" w:hAnsi="Times New Roman"/>
          <w:spacing w:val="-2"/>
        </w:rPr>
        <w:t>RT = room temperature.</w:t>
      </w:r>
    </w:p>
    <w:p w:rsidR="00CA6636" w:rsidRDefault="002F5C5A" w:rsidP="00CA6636">
      <w:pPr>
        <w:pStyle w:val="IUPACTitle"/>
      </w:pPr>
      <w:r>
        <w:t>Comments</w:t>
      </w:r>
    </w:p>
    <w:p w:rsidR="00CA6636" w:rsidRPr="00CA6636" w:rsidRDefault="00CA6636" w:rsidP="00CA6636">
      <w:pPr>
        <w:rPr>
          <w:lang w:val="en-AU"/>
        </w:rPr>
      </w:pPr>
    </w:p>
    <w:p w:rsidR="002D6B80" w:rsidRPr="005C5201" w:rsidRDefault="002F5C5A" w:rsidP="005C5201">
      <w:pPr>
        <w:pStyle w:val="IUPACexpcommenttext"/>
      </w:pPr>
      <w:proofErr w:type="gramStart"/>
      <w:r w:rsidRPr="00793989">
        <w:t>Rotating</w:t>
      </w:r>
      <w:r w:rsidR="007F51EA" w:rsidRPr="00793989">
        <w:t>,</w:t>
      </w:r>
      <w:proofErr w:type="gramEnd"/>
      <w:r w:rsidRPr="00793989">
        <w:t xml:space="preserve"> coated wall flow tube. NO</w:t>
      </w:r>
      <w:r w:rsidRPr="00793989">
        <w:rPr>
          <w:vertAlign w:val="subscript"/>
        </w:rPr>
        <w:t>3</w:t>
      </w:r>
      <w:r w:rsidRPr="00793989">
        <w:t xml:space="preserve"> (5-50 </w:t>
      </w:r>
      <w:r w:rsidRPr="00793989">
        <w:sym w:font="Symbol" w:char="F0B4"/>
      </w:r>
      <w:r w:rsidRPr="00793989">
        <w:t xml:space="preserve"> 10</w:t>
      </w:r>
      <w:r w:rsidRPr="00793989">
        <w:rPr>
          <w:vertAlign w:val="superscript"/>
        </w:rPr>
        <w:t>11</w:t>
      </w:r>
      <w:r w:rsidRPr="00793989">
        <w:t xml:space="preserve"> molecule cm</w:t>
      </w:r>
      <w:r w:rsidRPr="00793989">
        <w:rPr>
          <w:vertAlign w:val="superscript"/>
        </w:rPr>
        <w:noBreakHyphen/>
        <w:t>3</w:t>
      </w:r>
      <w:r w:rsidRPr="00793989">
        <w:t>) was formed by the thermal dissociation of N</w:t>
      </w:r>
      <w:r w:rsidRPr="00793989">
        <w:rPr>
          <w:vertAlign w:val="subscript"/>
        </w:rPr>
        <w:t>2</w:t>
      </w:r>
      <w:r w:rsidRPr="00793989">
        <w:t>O</w:t>
      </w:r>
      <w:r w:rsidRPr="00793989">
        <w:rPr>
          <w:vertAlign w:val="subscript"/>
        </w:rPr>
        <w:t>5</w:t>
      </w:r>
      <w:r w:rsidRPr="00793989">
        <w:t xml:space="preserve"> and detected by diode laser absorption at 662 nm. </w:t>
      </w:r>
    </w:p>
    <w:p w:rsidR="00C02919" w:rsidRDefault="00122D9B" w:rsidP="005C5201">
      <w:pPr>
        <w:pStyle w:val="IUPACexpcommenttext"/>
      </w:pPr>
      <w:proofErr w:type="gramStart"/>
      <w:r w:rsidRPr="00122D9B">
        <w:t>Rotating,</w:t>
      </w:r>
      <w:proofErr w:type="gramEnd"/>
      <w:r w:rsidRPr="00122D9B">
        <w:t xml:space="preserve"> c</w:t>
      </w:r>
      <w:r w:rsidR="00C02919" w:rsidRPr="00122D9B">
        <w:t>oated wall flow tube</w:t>
      </w:r>
      <w:r w:rsidRPr="00122D9B">
        <w:t xml:space="preserve">. </w:t>
      </w:r>
      <w:r w:rsidR="00C02919" w:rsidRPr="00122D9B">
        <w:t>NO</w:t>
      </w:r>
      <w:r w:rsidR="00C02919" w:rsidRPr="00122D9B">
        <w:rPr>
          <w:vertAlign w:val="subscript"/>
        </w:rPr>
        <w:t>3</w:t>
      </w:r>
      <w:r w:rsidRPr="00122D9B">
        <w:t xml:space="preserve"> (3.5-16</w:t>
      </w:r>
      <w:r w:rsidR="00C02919" w:rsidRPr="00122D9B">
        <w:t xml:space="preserve"> </w:t>
      </w:r>
      <w:r w:rsidR="00C02919" w:rsidRPr="00122D9B">
        <w:sym w:font="Symbol" w:char="F0B4"/>
      </w:r>
      <w:r w:rsidR="00C02919" w:rsidRPr="00122D9B">
        <w:t xml:space="preserve"> 10</w:t>
      </w:r>
      <w:r w:rsidRPr="00122D9B">
        <w:rPr>
          <w:vertAlign w:val="superscript"/>
        </w:rPr>
        <w:t>10</w:t>
      </w:r>
      <w:r w:rsidR="00C02919" w:rsidRPr="00122D9B">
        <w:t xml:space="preserve"> molecule cm</w:t>
      </w:r>
      <w:r w:rsidR="00C02919" w:rsidRPr="00122D9B">
        <w:rPr>
          <w:vertAlign w:val="superscript"/>
        </w:rPr>
        <w:noBreakHyphen/>
        <w:t>3</w:t>
      </w:r>
      <w:r w:rsidR="00C02919" w:rsidRPr="00122D9B">
        <w:t>) was formed by the thermal dissociation of N</w:t>
      </w:r>
      <w:r w:rsidR="00C02919" w:rsidRPr="00122D9B">
        <w:rPr>
          <w:vertAlign w:val="subscript"/>
        </w:rPr>
        <w:t>2</w:t>
      </w:r>
      <w:r w:rsidR="00C02919" w:rsidRPr="00122D9B">
        <w:t>O</w:t>
      </w:r>
      <w:r w:rsidR="00C02919" w:rsidRPr="00122D9B">
        <w:rPr>
          <w:vertAlign w:val="subscript"/>
        </w:rPr>
        <w:t>5</w:t>
      </w:r>
      <w:r w:rsidR="00C02919" w:rsidRPr="00122D9B">
        <w:t xml:space="preserve"> and detected following ionisation by I</w:t>
      </w:r>
      <w:r w:rsidR="00C02919" w:rsidRPr="00122D9B">
        <w:rPr>
          <w:vertAlign w:val="superscript"/>
        </w:rPr>
        <w:t>-</w:t>
      </w:r>
      <w:r w:rsidR="00C02919" w:rsidRPr="00122D9B">
        <w:t>.</w:t>
      </w:r>
      <w:r w:rsidR="009D34C5" w:rsidRPr="00122D9B">
        <w:t xml:space="preserve"> </w:t>
      </w:r>
      <w:r w:rsidRPr="00122D9B">
        <w:t xml:space="preserve">The uptake coefficient for diethyl </w:t>
      </w:r>
      <w:proofErr w:type="spellStart"/>
      <w:r w:rsidRPr="00122D9B">
        <w:t>sebacate</w:t>
      </w:r>
      <w:proofErr w:type="spellEnd"/>
      <w:r w:rsidRPr="00122D9B">
        <w:t xml:space="preserve"> decreased </w:t>
      </w:r>
      <w:r w:rsidR="00536594">
        <w:t>to</w:t>
      </w:r>
      <w:r w:rsidRPr="00122D9B">
        <w:t xml:space="preserve"> ~</w:t>
      </w:r>
      <w:r w:rsidR="00536594">
        <w:t xml:space="preserve">0.06 </w:t>
      </w:r>
      <w:r w:rsidR="00536594">
        <w:sym w:font="Symbol" w:char="F0B1"/>
      </w:r>
      <w:r w:rsidR="00536594">
        <w:t xml:space="preserve"> 0.015 upon</w:t>
      </w:r>
      <w:r w:rsidRPr="00122D9B">
        <w:t xml:space="preserve"> freezing</w:t>
      </w:r>
      <w:r w:rsidR="00536594">
        <w:t xml:space="preserve"> at 268-283 K</w:t>
      </w:r>
      <w:r w:rsidRPr="00122D9B">
        <w:t>.</w:t>
      </w:r>
      <w:r w:rsidR="00B40272">
        <w:t xml:space="preserve"> </w:t>
      </w:r>
    </w:p>
    <w:p w:rsidR="005C5201" w:rsidRPr="00122D9B" w:rsidRDefault="005C5201" w:rsidP="005C5201">
      <w:pPr>
        <w:pStyle w:val="IUPACexpcommenttext"/>
      </w:pPr>
      <w:r w:rsidRPr="005C5201">
        <w:t xml:space="preserve">Mixed-phase, relative rates method. </w:t>
      </w:r>
      <w:r w:rsidR="00F612A2">
        <w:t>Loss of par</w:t>
      </w:r>
      <w:r w:rsidR="00D0689A">
        <w:t>t</w:t>
      </w:r>
      <w:r w:rsidR="00F612A2">
        <w:t>icle-phase organic monitored relative to loss of gas-phase</w:t>
      </w:r>
      <w:r w:rsidR="00536594">
        <w:t xml:space="preserve"> reference reactant (isoprene, 2</w:t>
      </w:r>
      <w:proofErr w:type="gramStart"/>
      <w:r w:rsidR="00536594">
        <w:t>,3</w:t>
      </w:r>
      <w:proofErr w:type="gramEnd"/>
      <w:r w:rsidR="00536594">
        <w:t xml:space="preserve">,-dimethyl-1,3-butadiene, </w:t>
      </w:r>
      <w:proofErr w:type="spellStart"/>
      <w:r w:rsidR="00536594">
        <w:t>cyclopentane</w:t>
      </w:r>
      <w:proofErr w:type="spellEnd"/>
      <w:r w:rsidR="00536594">
        <w:t xml:space="preserve"> and 2-methyl-2-2butene).</w:t>
      </w:r>
    </w:p>
    <w:p w:rsidR="00C35E43" w:rsidRPr="00F6793B" w:rsidRDefault="00C35E43" w:rsidP="005C5201">
      <w:pPr>
        <w:pStyle w:val="IUPACexpcommenttext"/>
      </w:pPr>
      <w:r w:rsidRPr="00D503B0">
        <w:t>NO</w:t>
      </w:r>
      <w:r w:rsidRPr="00D503B0">
        <w:rPr>
          <w:vertAlign w:val="subscript"/>
        </w:rPr>
        <w:t>3</w:t>
      </w:r>
      <w:r w:rsidRPr="00D503B0">
        <w:t xml:space="preserve"> (</w:t>
      </w:r>
      <w:r w:rsidR="007768B0">
        <w:t>4</w:t>
      </w:r>
      <w:r w:rsidR="00D503B0" w:rsidRPr="00D503B0">
        <w:t>-</w:t>
      </w:r>
      <w:r w:rsidR="007768B0">
        <w:t>300</w:t>
      </w:r>
      <w:r w:rsidRPr="00D503B0">
        <w:t xml:space="preserve"> </w:t>
      </w:r>
      <w:r w:rsidRPr="00D503B0">
        <w:sym w:font="Symbol" w:char="F0B4"/>
      </w:r>
      <w:r w:rsidRPr="00D503B0">
        <w:t xml:space="preserve"> 10</w:t>
      </w:r>
      <w:r w:rsidR="007768B0">
        <w:rPr>
          <w:vertAlign w:val="superscript"/>
        </w:rPr>
        <w:t>9</w:t>
      </w:r>
      <w:r w:rsidRPr="00D503B0">
        <w:t xml:space="preserve"> molecule cm</w:t>
      </w:r>
      <w:r w:rsidRPr="00D503B0">
        <w:rPr>
          <w:vertAlign w:val="superscript"/>
        </w:rPr>
        <w:noBreakHyphen/>
        <w:t>3</w:t>
      </w:r>
      <w:r w:rsidRPr="00D503B0">
        <w:t>) was formed by the thermal dissociation of N</w:t>
      </w:r>
      <w:r w:rsidRPr="00D503B0">
        <w:rPr>
          <w:vertAlign w:val="subscript"/>
        </w:rPr>
        <w:t>2</w:t>
      </w:r>
      <w:r w:rsidRPr="00D503B0">
        <w:t>O</w:t>
      </w:r>
      <w:r w:rsidRPr="00D503B0">
        <w:rPr>
          <w:vertAlign w:val="subscript"/>
        </w:rPr>
        <w:t>5</w:t>
      </w:r>
      <w:r w:rsidRPr="00D503B0">
        <w:t xml:space="preserve"> and detected following ionisation by I</w:t>
      </w:r>
      <w:r w:rsidRPr="00D503B0">
        <w:rPr>
          <w:vertAlign w:val="superscript"/>
        </w:rPr>
        <w:t>-</w:t>
      </w:r>
      <w:r w:rsidRPr="00D503B0">
        <w:t>.</w:t>
      </w:r>
      <w:r w:rsidR="00D503B0">
        <w:t xml:space="preserve"> </w:t>
      </w:r>
      <w:r w:rsidR="00275BB1">
        <w:t xml:space="preserve">The larger values of </w:t>
      </w:r>
      <w:r w:rsidR="00275BB1" w:rsidRPr="009B20A1">
        <w:sym w:font="Symbol" w:char="F067"/>
      </w:r>
      <w:r w:rsidR="00275BB1" w:rsidRPr="009B20A1">
        <w:rPr>
          <w:vertAlign w:val="subscript"/>
        </w:rPr>
        <w:t>0</w:t>
      </w:r>
      <w:r w:rsidR="00275BB1">
        <w:t xml:space="preserve"> were obtained when using low </w:t>
      </w:r>
      <w:r w:rsidR="00275BB1" w:rsidRPr="009B20A1">
        <w:t>NO</w:t>
      </w:r>
      <w:r w:rsidR="00275BB1" w:rsidRPr="009B20A1">
        <w:rPr>
          <w:vertAlign w:val="subscript"/>
        </w:rPr>
        <w:t>3</w:t>
      </w:r>
      <w:r w:rsidR="00275BB1">
        <w:t xml:space="preserve"> concentrations.</w:t>
      </w:r>
    </w:p>
    <w:p w:rsidR="002536C1" w:rsidRPr="00275BB1" w:rsidRDefault="005D1BDC" w:rsidP="005C5201">
      <w:pPr>
        <w:pStyle w:val="IUPACexpcommenttext"/>
        <w:rPr>
          <w:color w:val="FF0000"/>
        </w:rPr>
      </w:pPr>
      <w:r w:rsidRPr="005C5201">
        <w:lastRenderedPageBreak/>
        <w:t xml:space="preserve">Mixed-phase, relative rates </w:t>
      </w:r>
      <w:r w:rsidRPr="005D1BDC">
        <w:t xml:space="preserve">method. </w:t>
      </w:r>
      <w:r w:rsidR="001B1479" w:rsidRPr="005D1BDC">
        <w:t>NO</w:t>
      </w:r>
      <w:r w:rsidR="001B1479" w:rsidRPr="005D1BDC">
        <w:rPr>
          <w:vertAlign w:val="subscript"/>
        </w:rPr>
        <w:t>3</w:t>
      </w:r>
      <w:r w:rsidR="001B1479" w:rsidRPr="005D1BDC">
        <w:t xml:space="preserve"> generated from 355 nm photolysis of a mixture of HONO / HNO</w:t>
      </w:r>
      <w:r w:rsidR="001B1479" w:rsidRPr="005D1BDC">
        <w:rPr>
          <w:vertAlign w:val="subscript"/>
        </w:rPr>
        <w:t>3</w:t>
      </w:r>
      <w:r w:rsidR="001B1479" w:rsidRPr="005D1BDC">
        <w:t xml:space="preserve">. </w:t>
      </w:r>
      <w:r w:rsidRPr="005D1BDC">
        <w:t>P</w:t>
      </w:r>
      <w:r w:rsidR="001B1479" w:rsidRPr="005D1BDC">
        <w:t xml:space="preserve">article-phase oleic acid </w:t>
      </w:r>
      <w:r w:rsidR="00BF3262">
        <w:t>and gas-pha</w:t>
      </w:r>
      <w:r w:rsidRPr="005D1BDC">
        <w:t xml:space="preserve">se isoprene (reference reactant) </w:t>
      </w:r>
      <w:r w:rsidR="001B1479" w:rsidRPr="005D1BDC">
        <w:t xml:space="preserve">monitored by Aerosol CIMS. </w:t>
      </w:r>
    </w:p>
    <w:p w:rsidR="00E96C50" w:rsidRDefault="00E96C50" w:rsidP="00275BB1">
      <w:pPr>
        <w:pStyle w:val="IUPACexpcommenttext"/>
        <w:numPr>
          <w:ilvl w:val="0"/>
          <w:numId w:val="0"/>
        </w:numPr>
        <w:ind w:left="360"/>
      </w:pPr>
    </w:p>
    <w:p w:rsidR="00812E83" w:rsidRPr="00812E83" w:rsidRDefault="00812E83" w:rsidP="00812E83">
      <w:pPr>
        <w:keepNext/>
        <w:spacing w:before="240" w:after="120"/>
        <w:jc w:val="center"/>
        <w:rPr>
          <w:rFonts w:ascii="Times New Roman" w:eastAsia="Times New Roman" w:hAnsi="Times New Roman" w:cs="Times"/>
          <w:b/>
          <w:sz w:val="24"/>
          <w:szCs w:val="24"/>
          <w:lang w:val="en-AU"/>
        </w:rPr>
      </w:pPr>
      <w:r w:rsidRPr="00812E83">
        <w:rPr>
          <w:rFonts w:ascii="Times New Roman" w:eastAsia="Times New Roman" w:hAnsi="Times New Roman" w:cs="Times"/>
          <w:b/>
          <w:sz w:val="24"/>
          <w:szCs w:val="24"/>
          <w:lang w:val="en-AU"/>
        </w:rPr>
        <w:t>Preferred Values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5030"/>
        <w:gridCol w:w="2172"/>
      </w:tblGrid>
      <w:tr w:rsidR="00812E83" w:rsidRPr="00812E83" w:rsidTr="0036588E"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b/>
                <w:spacing w:val="-3"/>
                <w:sz w:val="24"/>
                <w:szCs w:val="24"/>
                <w:lang w:val="en-US"/>
              </w:rPr>
            </w:pPr>
            <w:r w:rsidRPr="00812E83">
              <w:rPr>
                <w:rFonts w:ascii="Times" w:eastAsia="Times New Roman" w:hAnsi="Times" w:cs="Times"/>
                <w:b/>
                <w:spacing w:val="-3"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b/>
                <w:spacing w:val="-3"/>
                <w:sz w:val="24"/>
                <w:szCs w:val="24"/>
                <w:lang w:val="en-US"/>
              </w:rPr>
            </w:pPr>
            <w:r w:rsidRPr="00812E83">
              <w:rPr>
                <w:rFonts w:ascii="Times" w:eastAsia="Times New Roman" w:hAnsi="Times" w:cs="Times"/>
                <w:b/>
                <w:spacing w:val="-3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b/>
                <w:spacing w:val="-3"/>
                <w:sz w:val="24"/>
                <w:szCs w:val="24"/>
                <w:lang w:val="en-US"/>
              </w:rPr>
            </w:pPr>
            <w:r w:rsidRPr="00812E83">
              <w:rPr>
                <w:rFonts w:ascii="Times" w:eastAsia="Times New Roman" w:hAnsi="Times" w:cs="Times"/>
                <w:b/>
                <w:spacing w:val="-3"/>
                <w:sz w:val="24"/>
                <w:szCs w:val="24"/>
                <w:lang w:val="en-US"/>
              </w:rPr>
              <w:t>T/K</w:t>
            </w:r>
          </w:p>
        </w:tc>
      </w:tr>
      <w:tr w:rsidR="00812E83" w:rsidRPr="00812E83" w:rsidTr="0036588E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812E83" w:rsidRPr="00812E83" w:rsidRDefault="00812E83" w:rsidP="00812E83">
            <w:pPr>
              <w:spacing w:after="0" w:line="264" w:lineRule="auto"/>
              <w:jc w:val="left"/>
              <w:rPr>
                <w:rFonts w:ascii="Times" w:eastAsia="Times New Roman" w:hAnsi="Times" w:cs="Times"/>
                <w:i/>
                <w:spacing w:val="-2"/>
                <w:sz w:val="24"/>
                <w:szCs w:val="24"/>
                <w:lang w:val="en-US"/>
              </w:rPr>
            </w:pPr>
            <w:r w:rsidRPr="00812E83">
              <w:rPr>
                <w:rFonts w:ascii="Times" w:eastAsia="Times New Roman" w:hAnsi="Times" w:cs="Times"/>
                <w:i/>
                <w:spacing w:val="-3"/>
                <w:sz w:val="24"/>
                <w:szCs w:val="24"/>
                <w:lang w:val="en-US"/>
              </w:rPr>
              <w:t>α</w:t>
            </w:r>
            <w:r>
              <w:rPr>
                <w:rFonts w:ascii="Times" w:eastAsia="Times New Roman" w:hAnsi="Times" w:cs="Times"/>
                <w:spacing w:val="-3"/>
                <w:sz w:val="24"/>
                <w:szCs w:val="24"/>
                <w:vertAlign w:val="subscript"/>
                <w:lang w:val="en-US"/>
              </w:rPr>
              <w:t>b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</w:p>
        </w:tc>
      </w:tr>
      <w:tr w:rsidR="007C2602" w:rsidRPr="00812E83" w:rsidTr="0036588E"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602" w:rsidRPr="00812E83" w:rsidRDefault="007C2602" w:rsidP="0036588E">
            <w:pPr>
              <w:spacing w:after="0" w:line="264" w:lineRule="auto"/>
              <w:jc w:val="left"/>
              <w:rPr>
                <w:rFonts w:ascii="Times" w:eastAsia="Times New Roman" w:hAnsi="Times" w:cs="Times"/>
                <w:spacing w:val="-2"/>
                <w:sz w:val="24"/>
                <w:szCs w:val="24"/>
                <w:lang w:val="en-US"/>
              </w:rPr>
            </w:pPr>
            <w:r w:rsidRPr="00812E83">
              <w:rPr>
                <w:rFonts w:ascii="Times" w:eastAsia="Times New Roman" w:hAnsi="Times" w:cs="Times"/>
                <w:i/>
                <w:spacing w:val="-2"/>
                <w:sz w:val="24"/>
                <w:szCs w:val="24"/>
                <w:lang w:val="en-US"/>
              </w:rPr>
              <w:t>k</w:t>
            </w:r>
            <w:r w:rsidRPr="00812E83">
              <w:rPr>
                <w:rFonts w:ascii="Times" w:eastAsia="Times New Roman" w:hAnsi="Times" w:cs="Times"/>
                <w:spacing w:val="-2"/>
                <w:sz w:val="24"/>
                <w:szCs w:val="24"/>
                <w:vertAlign w:val="subscript"/>
                <w:lang w:val="en-US"/>
              </w:rPr>
              <w:t>b</w:t>
            </w:r>
            <w:r w:rsidRPr="00812E83">
              <w:rPr>
                <w:rFonts w:ascii="Times" w:eastAsia="Times New Roman" w:hAnsi="Times" w:cs="Times"/>
                <w:spacing w:val="-2"/>
                <w:sz w:val="24"/>
                <w:szCs w:val="24"/>
                <w:lang w:val="en-US"/>
              </w:rPr>
              <w:t xml:space="preserve"> (M</w:t>
            </w:r>
            <w:r w:rsidRPr="00812E83">
              <w:rPr>
                <w:rFonts w:ascii="Times" w:eastAsia="Times New Roman" w:hAnsi="Times" w:cs="Times"/>
                <w:spacing w:val="-2"/>
                <w:sz w:val="24"/>
                <w:szCs w:val="24"/>
                <w:vertAlign w:val="superscript"/>
                <w:lang w:val="en-US"/>
              </w:rPr>
              <w:t>-1</w:t>
            </w:r>
            <w:r w:rsidRPr="00812E83">
              <w:rPr>
                <w:rFonts w:ascii="Times" w:eastAsia="Times New Roman" w:hAnsi="Times" w:cs="Times"/>
                <w:spacing w:val="-2"/>
                <w:sz w:val="24"/>
                <w:szCs w:val="24"/>
                <w:lang w:val="en-US"/>
              </w:rPr>
              <w:t xml:space="preserve"> s</w:t>
            </w:r>
            <w:r w:rsidRPr="00812E83">
              <w:rPr>
                <w:rFonts w:ascii="Times" w:eastAsia="Times New Roman" w:hAnsi="Times" w:cs="Times"/>
                <w:spacing w:val="-2"/>
                <w:sz w:val="24"/>
                <w:szCs w:val="24"/>
                <w:vertAlign w:val="superscript"/>
                <w:lang w:val="en-US"/>
              </w:rPr>
              <w:t>-1</w:t>
            </w:r>
            <w:r w:rsidRPr="00812E83">
              <w:rPr>
                <w:rFonts w:ascii="Times" w:eastAsia="Times New Roman" w:hAnsi="Times" w:cs="Times"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602" w:rsidRPr="00812E83" w:rsidRDefault="00AF13C5" w:rsidP="0036588E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>3</w:t>
            </w:r>
            <w:r w:rsidR="007C2602"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 xml:space="preserve"> </w:t>
            </w:r>
            <w:r w:rsidR="007C2602" w:rsidRPr="00812E83">
              <w:rPr>
                <w:rFonts w:ascii="Times New Roman" w:eastAsia="Times New Roman" w:hAnsi="Times New Roman" w:cs="Times"/>
                <w:spacing w:val="-3"/>
                <w:sz w:val="24"/>
                <w:szCs w:val="24"/>
              </w:rPr>
              <w:sym w:font="Symbol" w:char="F0B4"/>
            </w:r>
            <w:r w:rsidR="007C2602"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 xml:space="preserve"> 10</w:t>
            </w:r>
            <w:r>
              <w:rPr>
                <w:rFonts w:ascii="Times" w:eastAsia="Times New Roman" w:hAnsi="Times" w:cs="Times"/>
                <w:spacing w:val="-3"/>
                <w:sz w:val="24"/>
                <w:szCs w:val="24"/>
                <w:vertAlign w:val="superscript"/>
                <w:lang w:val="en-US"/>
              </w:rPr>
              <w:t>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602" w:rsidRPr="00812E83" w:rsidRDefault="00AF13C5" w:rsidP="0036588E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>280-300</w:t>
            </w:r>
          </w:p>
        </w:tc>
      </w:tr>
    </w:tbl>
    <w:p w:rsidR="00812E83" w:rsidRPr="00812E83" w:rsidRDefault="00812E83" w:rsidP="00812E83">
      <w:pPr>
        <w:keepNext/>
        <w:tabs>
          <w:tab w:val="left" w:pos="-1440"/>
          <w:tab w:val="left" w:pos="-720"/>
          <w:tab w:val="left" w:pos="444"/>
        </w:tabs>
        <w:spacing w:before="240" w:after="120"/>
        <w:rPr>
          <w:rFonts w:ascii="Times" w:eastAsia="Times New Roman" w:hAnsi="Times" w:cs="Times"/>
          <w:i/>
          <w:sz w:val="24"/>
          <w:szCs w:val="24"/>
        </w:rPr>
      </w:pPr>
      <w:r w:rsidRPr="00812E83">
        <w:rPr>
          <w:rFonts w:ascii="Times" w:eastAsia="Times New Roman" w:hAnsi="Times" w:cs="Times"/>
          <w:i/>
          <w:sz w:val="24"/>
          <w:szCs w:val="24"/>
        </w:rPr>
        <w:t>Reliability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5030"/>
        <w:gridCol w:w="2172"/>
      </w:tblGrid>
      <w:tr w:rsidR="00812E83" w:rsidRPr="00812E83" w:rsidTr="0036588E">
        <w:tc>
          <w:tcPr>
            <w:tcW w:w="2085" w:type="dxa"/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5030" w:type="dxa"/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left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</w:p>
        </w:tc>
      </w:tr>
      <w:tr w:rsidR="00812E83" w:rsidRPr="00812E83" w:rsidTr="0036588E">
        <w:tc>
          <w:tcPr>
            <w:tcW w:w="2085" w:type="dxa"/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i/>
                <w:spacing w:val="-3"/>
                <w:sz w:val="24"/>
                <w:szCs w:val="24"/>
                <w:lang w:val="en-US"/>
              </w:rPr>
            </w:pPr>
            <w:r w:rsidRPr="00812E83"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sym w:font="Symbol" w:char="F044"/>
            </w:r>
            <w:r w:rsidRPr="00812E83"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 xml:space="preserve"> log</w:t>
            </w:r>
            <w:r w:rsidRPr="00812E83">
              <w:rPr>
                <w:rFonts w:ascii="Times" w:eastAsia="Times New Roman" w:hAnsi="Times" w:cs="Times"/>
                <w:i/>
                <w:spacing w:val="-3"/>
                <w:sz w:val="24"/>
                <w:szCs w:val="24"/>
                <w:lang w:val="en-US"/>
              </w:rPr>
              <w:t xml:space="preserve"> </w:t>
            </w:r>
            <w:r w:rsidRPr="00812E83"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>(</w:t>
            </w:r>
            <w:r w:rsidRPr="00812E83">
              <w:rPr>
                <w:rFonts w:ascii="Times" w:eastAsia="Times New Roman" w:hAnsi="Times" w:cs="Times"/>
                <w:i/>
                <w:spacing w:val="-2"/>
                <w:sz w:val="24"/>
                <w:szCs w:val="24"/>
                <w:lang w:val="en-US"/>
              </w:rPr>
              <w:t>k</w:t>
            </w:r>
            <w:r w:rsidRPr="00812E83">
              <w:rPr>
                <w:rFonts w:ascii="Times" w:eastAsia="Times New Roman" w:hAnsi="Times" w:cs="Times"/>
                <w:spacing w:val="-2"/>
                <w:sz w:val="24"/>
                <w:szCs w:val="24"/>
                <w:vertAlign w:val="subscript"/>
                <w:lang w:val="en-US"/>
              </w:rPr>
              <w:t>b</w:t>
            </w:r>
            <w:r w:rsidRPr="00812E83"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>)</w:t>
            </w:r>
          </w:p>
        </w:tc>
        <w:tc>
          <w:tcPr>
            <w:tcW w:w="5030" w:type="dxa"/>
          </w:tcPr>
          <w:p w:rsidR="00812E83" w:rsidRPr="00812E83" w:rsidRDefault="00E6016C" w:rsidP="00AF13C5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left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>0.</w:t>
            </w:r>
            <w:r w:rsidR="00AF13C5"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>5</w:t>
            </w:r>
          </w:p>
        </w:tc>
        <w:tc>
          <w:tcPr>
            <w:tcW w:w="2172" w:type="dxa"/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</w:p>
        </w:tc>
      </w:tr>
      <w:tr w:rsidR="00812E83" w:rsidRPr="00812E83" w:rsidTr="0036588E">
        <w:tc>
          <w:tcPr>
            <w:tcW w:w="2085" w:type="dxa"/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5030" w:type="dxa"/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left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</w:p>
        </w:tc>
      </w:tr>
    </w:tbl>
    <w:p w:rsidR="00812E83" w:rsidRDefault="00812E83">
      <w:pPr>
        <w:keepNext/>
        <w:keepLines/>
        <w:widowControl w:val="0"/>
      </w:pPr>
    </w:p>
    <w:p w:rsidR="002F5C5A" w:rsidRDefault="002F5C5A">
      <w:pPr>
        <w:pStyle w:val="IUPACsubtitle"/>
      </w:pPr>
      <w:r>
        <w:t>Comments on Preferred Values</w:t>
      </w:r>
    </w:p>
    <w:p w:rsidR="00AF13C5" w:rsidRPr="00AF13C5" w:rsidRDefault="007446F7" w:rsidP="00AF13C5">
      <w:pPr>
        <w:pStyle w:val="IUPACpreferredcommentstext"/>
      </w:pPr>
      <w:r w:rsidRPr="00AF13C5">
        <w:t>There is considerable scatter in the u</w:t>
      </w:r>
      <w:r w:rsidR="00D169BC" w:rsidRPr="00AF13C5">
        <w:t xml:space="preserve">ptake </w:t>
      </w:r>
      <w:r w:rsidRPr="00AF13C5">
        <w:t xml:space="preserve">coefficients obtained for different </w:t>
      </w:r>
      <w:r w:rsidR="005D1BDC" w:rsidRPr="00AF13C5">
        <w:t>un</w:t>
      </w:r>
      <w:r w:rsidR="00D169BC" w:rsidRPr="00AF13C5">
        <w:t xml:space="preserve">saturated </w:t>
      </w:r>
      <w:r w:rsidR="005D1BDC" w:rsidRPr="00AF13C5">
        <w:t xml:space="preserve">acids </w:t>
      </w:r>
      <w:r w:rsidRPr="00AF13C5">
        <w:t>and also when comparing results of different groups for</w:t>
      </w:r>
      <w:r w:rsidR="001767BE" w:rsidRPr="00AF13C5">
        <w:t xml:space="preserve"> the same acid (e.g. linoleic). Good agreement between </w:t>
      </w:r>
      <w:proofErr w:type="spellStart"/>
      <w:r w:rsidR="001767BE" w:rsidRPr="00AF13C5">
        <w:t>expeirments</w:t>
      </w:r>
      <w:proofErr w:type="spellEnd"/>
      <w:r w:rsidR="001767BE" w:rsidRPr="00AF13C5">
        <w:t xml:space="preserve"> using bulk samples and </w:t>
      </w:r>
      <w:proofErr w:type="spellStart"/>
      <w:r w:rsidR="001767BE" w:rsidRPr="00AF13C5">
        <w:t>particlulate</w:t>
      </w:r>
      <w:proofErr w:type="spellEnd"/>
      <w:r w:rsidR="001767BE" w:rsidRPr="00AF13C5">
        <w:t xml:space="preserve"> linoleic and oleic acids suggest that the uptake coefficient is </w:t>
      </w:r>
      <w:r w:rsidR="00AF13C5" w:rsidRPr="00AF13C5">
        <w:t xml:space="preserve">&gt; 0.2. </w:t>
      </w:r>
    </w:p>
    <w:p w:rsidR="005146FD" w:rsidRPr="00AF13C5" w:rsidRDefault="00AF13C5" w:rsidP="00DC7D11">
      <w:pPr>
        <w:pStyle w:val="IUPACpreferredcommentstext"/>
      </w:pPr>
      <w:r w:rsidRPr="00AF13C5">
        <w:t>I</w:t>
      </w:r>
      <w:r w:rsidR="005146FD" w:rsidRPr="00AF13C5">
        <w:t>f the reaction between NO</w:t>
      </w:r>
      <w:r w:rsidR="005146FD" w:rsidRPr="00AF13C5">
        <w:rPr>
          <w:vertAlign w:val="subscript"/>
        </w:rPr>
        <w:t>3</w:t>
      </w:r>
      <w:r w:rsidR="005146FD" w:rsidRPr="00AF13C5">
        <w:t xml:space="preserve"> and the </w:t>
      </w:r>
      <w:r w:rsidRPr="00AF13C5">
        <w:t>un</w:t>
      </w:r>
      <w:r w:rsidR="005146FD" w:rsidRPr="00AF13C5">
        <w:t xml:space="preserve">saturated </w:t>
      </w:r>
      <w:r w:rsidRPr="00AF13C5">
        <w:t xml:space="preserve">acid </w:t>
      </w:r>
      <w:r w:rsidR="005146FD" w:rsidRPr="00AF13C5">
        <w:t xml:space="preserve">(of </w:t>
      </w:r>
      <w:r w:rsidR="00541707" w:rsidRPr="00AF13C5">
        <w:t>concentration [HC], in</w:t>
      </w:r>
      <w:r w:rsidR="00304A1A" w:rsidRPr="00AF13C5">
        <w:t xml:space="preserve"> units</w:t>
      </w:r>
      <w:r w:rsidR="00541707" w:rsidRPr="00AF13C5">
        <w:t xml:space="preserve"> of </w:t>
      </w:r>
      <w:proofErr w:type="spellStart"/>
      <w:r w:rsidR="00541707" w:rsidRPr="00AF13C5">
        <w:t>mol</w:t>
      </w:r>
      <w:proofErr w:type="spellEnd"/>
      <w:r w:rsidR="00541707" w:rsidRPr="00AF13C5">
        <w:t xml:space="preserve"> L</w:t>
      </w:r>
      <w:r w:rsidR="00541707" w:rsidRPr="00AF13C5">
        <w:rPr>
          <w:vertAlign w:val="superscript"/>
        </w:rPr>
        <w:t>-1</w:t>
      </w:r>
      <w:r w:rsidR="00304A1A" w:rsidRPr="00AF13C5">
        <w:t>)</w:t>
      </w:r>
      <w:r w:rsidR="005146FD" w:rsidRPr="00AF13C5">
        <w:t xml:space="preserve"> takes place throughout the particle, the uptake coefficient can be described by</w:t>
      </w:r>
      <w:r w:rsidR="00BF3262">
        <w:t>:</w:t>
      </w:r>
      <w:r w:rsidR="005146FD" w:rsidRPr="00AF13C5">
        <w:t xml:space="preserve"> </w:t>
      </w:r>
    </w:p>
    <w:p w:rsidR="000D2205" w:rsidRPr="00CC4D7C" w:rsidRDefault="000D2205" w:rsidP="000D2205">
      <w:pPr>
        <w:pStyle w:val="Reactions"/>
        <w:spacing w:line="360" w:lineRule="auto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γ=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b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color w:val="000000" w:themeColor="text1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fPr>
                    <m:num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c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4HRT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Σ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b(i)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[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HC</m:t>
                              </m:r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]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(i)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)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l</m:t>
                              </m:r>
                            </m:sub>
                          </m:sSub>
                        </m:e>
                      </m:rad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-1</m:t>
              </m:r>
            </m:sup>
          </m:sSup>
        </m:oMath>
      </m:oMathPara>
    </w:p>
    <w:p w:rsidR="00ED1357" w:rsidRPr="000D2205" w:rsidRDefault="000D2205" w:rsidP="001A28F0">
      <w:pPr>
        <w:pStyle w:val="IUPACpreferredcommentstext"/>
        <w:rPr>
          <w:color w:val="000000" w:themeColor="text1"/>
        </w:rPr>
      </w:pPr>
      <w:r w:rsidRPr="00CC4D7C">
        <w:rPr>
          <w:color w:val="000000" w:themeColor="text1"/>
        </w:rPr>
        <w:t xml:space="preserve">Where </w:t>
      </w:r>
      <w:proofErr w:type="gramStart"/>
      <w:r w:rsidRPr="00CC4D7C">
        <w:rPr>
          <w:i/>
          <w:color w:val="000000" w:themeColor="text1"/>
        </w:rPr>
        <w:t>k</w:t>
      </w:r>
      <w:r w:rsidRPr="00C3554A">
        <w:rPr>
          <w:color w:val="000000" w:themeColor="text1"/>
          <w:vertAlign w:val="subscript"/>
        </w:rPr>
        <w:t>b(</w:t>
      </w:r>
      <w:proofErr w:type="spellStart"/>
      <w:proofErr w:type="gramEnd"/>
      <w:r w:rsidRPr="00C3554A">
        <w:rPr>
          <w:color w:val="000000" w:themeColor="text1"/>
          <w:vertAlign w:val="subscript"/>
        </w:rPr>
        <w:t>i</w:t>
      </w:r>
      <w:proofErr w:type="spellEnd"/>
      <w:r w:rsidRPr="00C3554A">
        <w:rPr>
          <w:color w:val="000000" w:themeColor="text1"/>
          <w:vertAlign w:val="subscript"/>
        </w:rPr>
        <w:t>)</w:t>
      </w:r>
      <w:r w:rsidRPr="00CC4D7C">
        <w:rPr>
          <w:color w:val="000000" w:themeColor="text1"/>
        </w:rPr>
        <w:t xml:space="preserve"> is the </w:t>
      </w:r>
      <w:r>
        <w:rPr>
          <w:color w:val="000000" w:themeColor="text1"/>
        </w:rPr>
        <w:t>liquid</w:t>
      </w:r>
      <w:r w:rsidRPr="00CC4D7C">
        <w:rPr>
          <w:color w:val="000000" w:themeColor="text1"/>
        </w:rPr>
        <w:t>-phase rate coefficient for reaction of NO</w:t>
      </w:r>
      <w:r w:rsidRPr="00CC4D7C">
        <w:rPr>
          <w:color w:val="000000" w:themeColor="text1"/>
          <w:vertAlign w:val="subscript"/>
        </w:rPr>
        <w:t>3</w:t>
      </w:r>
      <w:r w:rsidRPr="00CC4D7C">
        <w:rPr>
          <w:color w:val="000000" w:themeColor="text1"/>
        </w:rPr>
        <w:t xml:space="preserve"> with organic species </w:t>
      </w:r>
      <w:r>
        <w:rPr>
          <w:color w:val="000000" w:themeColor="text1"/>
        </w:rPr>
        <w:t>(</w:t>
      </w:r>
      <w:proofErr w:type="spellStart"/>
      <w:r w:rsidRPr="00C3554A">
        <w:rPr>
          <w:color w:val="000000" w:themeColor="text1"/>
        </w:rPr>
        <w:t>i</w:t>
      </w:r>
      <w:proofErr w:type="spellEnd"/>
      <w:r>
        <w:rPr>
          <w:color w:val="000000" w:themeColor="text1"/>
        </w:rPr>
        <w:t>)</w:t>
      </w:r>
      <w:r w:rsidRPr="00CC4D7C">
        <w:rPr>
          <w:i/>
          <w:color w:val="000000" w:themeColor="text1"/>
        </w:rPr>
        <w:t xml:space="preserve"> </w:t>
      </w:r>
      <w:r w:rsidRPr="00CC4D7C">
        <w:rPr>
          <w:color w:val="000000" w:themeColor="text1"/>
        </w:rPr>
        <w:t xml:space="preserve">with concentration [HC], </w:t>
      </w:r>
      <w:r w:rsidRPr="00CC4D7C">
        <w:rPr>
          <w:i/>
          <w:color w:val="000000" w:themeColor="text1"/>
        </w:rPr>
        <w:t>D</w:t>
      </w:r>
      <w:r w:rsidRPr="00CC4D7C">
        <w:rPr>
          <w:i/>
          <w:color w:val="000000" w:themeColor="text1"/>
          <w:vertAlign w:val="subscript"/>
        </w:rPr>
        <w:t>l</w:t>
      </w:r>
      <w:r w:rsidRPr="00CC4D7C">
        <w:rPr>
          <w:i/>
          <w:color w:val="000000" w:themeColor="text1"/>
        </w:rPr>
        <w:t xml:space="preserve"> </w:t>
      </w:r>
      <w:r w:rsidRPr="00CC4D7C">
        <w:rPr>
          <w:color w:val="000000" w:themeColor="text1"/>
        </w:rPr>
        <w:t xml:space="preserve">its diffusion coefficient through the organic matrix and </w:t>
      </w:r>
      <w:r w:rsidRPr="00CC4D7C">
        <w:rPr>
          <w:i/>
          <w:color w:val="000000" w:themeColor="text1"/>
        </w:rPr>
        <w:t>H</w:t>
      </w:r>
      <w:r w:rsidRPr="00CC4D7C">
        <w:rPr>
          <w:color w:val="000000" w:themeColor="text1"/>
        </w:rPr>
        <w:t xml:space="preserve"> its solubility. </w:t>
      </w:r>
    </w:p>
    <w:p w:rsidR="0075667B" w:rsidRDefault="0075667B" w:rsidP="0075667B">
      <w:pPr>
        <w:pStyle w:val="IUPACpreferredcommentstext"/>
      </w:pPr>
      <w:r w:rsidRPr="00CC4D7C">
        <w:rPr>
          <w:color w:val="000000" w:themeColor="text1"/>
        </w:rPr>
        <w:t xml:space="preserve">A rough estimate for </w:t>
      </w:r>
      <w:r>
        <w:rPr>
          <w:color w:val="000000" w:themeColor="text1"/>
        </w:rPr>
        <w:t xml:space="preserve">a generic uptake coefficient </w:t>
      </w:r>
      <w:r w:rsidRPr="00CC4D7C">
        <w:rPr>
          <w:color w:val="000000" w:themeColor="text1"/>
        </w:rPr>
        <w:t>for NO</w:t>
      </w:r>
      <w:r w:rsidRPr="00CC4D7C">
        <w:rPr>
          <w:color w:val="000000" w:themeColor="text1"/>
          <w:vertAlign w:val="subscript"/>
        </w:rPr>
        <w:t>3</w:t>
      </w:r>
      <w:r w:rsidRPr="00CC4D7C">
        <w:rPr>
          <w:color w:val="000000" w:themeColor="text1"/>
        </w:rPr>
        <w:t xml:space="preserve"> upta</w:t>
      </w:r>
      <w:r>
        <w:rPr>
          <w:color w:val="000000" w:themeColor="text1"/>
        </w:rPr>
        <w:t xml:space="preserve">ke to unsaturated acids </w:t>
      </w:r>
      <w:r w:rsidRPr="00CC4D7C">
        <w:rPr>
          <w:color w:val="000000" w:themeColor="text1"/>
        </w:rPr>
        <w:t>can be made using</w:t>
      </w:r>
      <w:r w:rsidR="00A0330E" w:rsidRPr="00AF13C5">
        <w:t xml:space="preserve"> </w:t>
      </w:r>
      <w:r w:rsidR="00A0330E" w:rsidRPr="00AF13C5">
        <w:rPr>
          <w:i/>
        </w:rPr>
        <w:t>k</w:t>
      </w:r>
      <w:r w:rsidR="0023650A" w:rsidRPr="00AF13C5">
        <w:rPr>
          <w:i/>
          <w:vertAlign w:val="subscript"/>
        </w:rPr>
        <w:t>b</w:t>
      </w:r>
      <w:r w:rsidR="00A0330E" w:rsidRPr="00AF13C5">
        <w:rPr>
          <w:vertAlign w:val="subscript"/>
        </w:rPr>
        <w:t xml:space="preserve"> </w:t>
      </w:r>
      <w:r w:rsidR="00A0330E" w:rsidRPr="00AF13C5">
        <w:t xml:space="preserve">= </w:t>
      </w:r>
      <w:r w:rsidR="00AF13C5" w:rsidRPr="00AF13C5">
        <w:t>3</w:t>
      </w:r>
      <w:r w:rsidR="00A0330E" w:rsidRPr="00AF13C5">
        <w:t xml:space="preserve"> </w:t>
      </w:r>
      <w:r w:rsidR="00A0330E" w:rsidRPr="00AF13C5">
        <w:sym w:font="Symbol" w:char="F0B4"/>
      </w:r>
      <w:r w:rsidR="00A0330E" w:rsidRPr="00AF13C5">
        <w:t xml:space="preserve"> 10</w:t>
      </w:r>
      <w:r w:rsidR="00AF13C5" w:rsidRPr="00AF13C5">
        <w:rPr>
          <w:vertAlign w:val="superscript"/>
        </w:rPr>
        <w:t>8</w:t>
      </w:r>
      <w:r w:rsidR="00A0330E" w:rsidRPr="00AF13C5">
        <w:t xml:space="preserve"> M</w:t>
      </w:r>
      <w:r w:rsidR="00A0330E" w:rsidRPr="00AF13C5">
        <w:rPr>
          <w:vertAlign w:val="superscript"/>
        </w:rPr>
        <w:t>-1</w:t>
      </w:r>
      <w:r w:rsidR="00A0330E" w:rsidRPr="00AF13C5">
        <w:t xml:space="preserve"> s</w:t>
      </w:r>
      <w:r w:rsidR="00A0330E" w:rsidRPr="00AF13C5">
        <w:rPr>
          <w:vertAlign w:val="superscript"/>
        </w:rPr>
        <w:t>-1</w:t>
      </w:r>
      <w:r w:rsidR="00A0330E" w:rsidRPr="00AF13C5">
        <w:t xml:space="preserve"> </w:t>
      </w:r>
      <w:r w:rsidR="0023650A" w:rsidRPr="00AF13C5">
        <w:t>(</w:t>
      </w:r>
      <w:r w:rsidR="00A0330E" w:rsidRPr="00AF13C5">
        <w:t xml:space="preserve">equivalent to a gas-phase rate constant of </w:t>
      </w:r>
      <w:r w:rsidR="00AF13C5" w:rsidRPr="00AF13C5">
        <w:t>5</w:t>
      </w:r>
      <w:r w:rsidR="00A0330E" w:rsidRPr="00AF13C5">
        <w:t xml:space="preserve"> </w:t>
      </w:r>
      <w:r w:rsidR="00A0330E" w:rsidRPr="00AF13C5">
        <w:sym w:font="Symbol" w:char="F0B4"/>
      </w:r>
      <w:r w:rsidR="00A0330E" w:rsidRPr="00AF13C5">
        <w:t xml:space="preserve"> 10</w:t>
      </w:r>
      <w:r w:rsidR="00A0330E" w:rsidRPr="00AF13C5">
        <w:rPr>
          <w:vertAlign w:val="superscript"/>
        </w:rPr>
        <w:t>-1</w:t>
      </w:r>
      <w:r w:rsidR="00AF13C5" w:rsidRPr="00AF13C5">
        <w:rPr>
          <w:vertAlign w:val="superscript"/>
        </w:rPr>
        <w:t>3</w:t>
      </w:r>
      <w:r w:rsidR="00A0330E" w:rsidRPr="00AF13C5">
        <w:t xml:space="preserve"> cm</w:t>
      </w:r>
      <w:r w:rsidR="00A0330E" w:rsidRPr="00AF13C5">
        <w:rPr>
          <w:vertAlign w:val="superscript"/>
        </w:rPr>
        <w:t>3</w:t>
      </w:r>
      <w:r w:rsidR="00A0330E" w:rsidRPr="00AF13C5">
        <w:t xml:space="preserve"> molecule</w:t>
      </w:r>
      <w:r w:rsidR="00A0330E" w:rsidRPr="00AF13C5">
        <w:rPr>
          <w:vertAlign w:val="superscript"/>
        </w:rPr>
        <w:t>-1</w:t>
      </w:r>
      <w:r w:rsidR="00A0330E" w:rsidRPr="00AF13C5">
        <w:t xml:space="preserve"> s</w:t>
      </w:r>
      <w:r w:rsidR="00A0330E" w:rsidRPr="00AF13C5">
        <w:rPr>
          <w:vertAlign w:val="superscript"/>
        </w:rPr>
        <w:noBreakHyphen/>
        <w:t>1</w:t>
      </w:r>
      <w:r w:rsidR="0023650A" w:rsidRPr="00AF13C5">
        <w:t>)</w:t>
      </w:r>
      <w:r w:rsidR="00A0330E" w:rsidRPr="00AF13C5">
        <w:t xml:space="preserve">, </w:t>
      </w:r>
      <w:r w:rsidR="005146FD" w:rsidRPr="00AF13C5">
        <w:rPr>
          <w:i/>
        </w:rPr>
        <w:t>D</w:t>
      </w:r>
      <w:r w:rsidR="005146FD" w:rsidRPr="00AF13C5">
        <w:rPr>
          <w:i/>
          <w:vertAlign w:val="subscript"/>
        </w:rPr>
        <w:t>l</w:t>
      </w:r>
      <w:r w:rsidR="005146FD" w:rsidRPr="00AF13C5">
        <w:t xml:space="preserve">, </w:t>
      </w:r>
      <w:r w:rsidR="006E7D65" w:rsidRPr="00AF13C5">
        <w:t>=</w:t>
      </w:r>
      <w:r w:rsidR="005146FD" w:rsidRPr="00AF13C5">
        <w:t xml:space="preserve"> 2 </w:t>
      </w:r>
      <w:r w:rsidR="005146FD" w:rsidRPr="00AF13C5">
        <w:sym w:font="Symbol" w:char="F0B4"/>
      </w:r>
      <w:r w:rsidR="005146FD" w:rsidRPr="00AF13C5">
        <w:t xml:space="preserve"> 10</w:t>
      </w:r>
      <w:r w:rsidR="005146FD" w:rsidRPr="00AF13C5">
        <w:rPr>
          <w:vertAlign w:val="superscript"/>
        </w:rPr>
        <w:t>-5</w:t>
      </w:r>
      <w:r w:rsidR="005146FD" w:rsidRPr="00AF13C5">
        <w:t xml:space="preserve"> cm</w:t>
      </w:r>
      <w:r w:rsidR="005146FD" w:rsidRPr="00AF13C5">
        <w:rPr>
          <w:vertAlign w:val="superscript"/>
        </w:rPr>
        <w:t>2</w:t>
      </w:r>
      <w:r w:rsidR="005146FD" w:rsidRPr="00AF13C5">
        <w:t xml:space="preserve"> s</w:t>
      </w:r>
      <w:r w:rsidR="005146FD" w:rsidRPr="00AF13C5">
        <w:rPr>
          <w:vertAlign w:val="superscript"/>
        </w:rPr>
        <w:t>-1</w:t>
      </w:r>
      <w:r w:rsidR="006E7D65" w:rsidRPr="00AF13C5">
        <w:t xml:space="preserve">, and </w:t>
      </w:r>
      <w:r w:rsidR="006E7D65" w:rsidRPr="00AF13C5">
        <w:rPr>
          <w:i/>
        </w:rPr>
        <w:t>H</w:t>
      </w:r>
      <w:r w:rsidR="006E7D65" w:rsidRPr="00AF13C5">
        <w:t xml:space="preserve"> = 0.8 Matm</w:t>
      </w:r>
      <w:r w:rsidR="006E7D65" w:rsidRPr="00AF13C5">
        <w:rPr>
          <w:vertAlign w:val="superscript"/>
        </w:rPr>
        <w:t>-1</w:t>
      </w:r>
      <w:r w:rsidR="0023650A" w:rsidRPr="00AF13C5">
        <w:t>, this expression</w:t>
      </w:r>
      <w:r w:rsidR="00A0330E" w:rsidRPr="00AF13C5">
        <w:t xml:space="preserve"> results in a value of </w:t>
      </w:r>
      <w:r w:rsidR="00A0330E" w:rsidRPr="00AF13C5">
        <w:rPr>
          <w:szCs w:val="24"/>
        </w:rPr>
        <w:sym w:font="Symbol" w:char="F067"/>
      </w:r>
      <w:r w:rsidR="0023650A" w:rsidRPr="00AF13C5">
        <w:t xml:space="preserve"> = </w:t>
      </w:r>
      <w:r w:rsidR="00AF13C5" w:rsidRPr="00AF13C5">
        <w:t>0.3</w:t>
      </w:r>
      <w:r w:rsidR="00A0330E" w:rsidRPr="00AF13C5">
        <w:t xml:space="preserve">, </w:t>
      </w:r>
      <w:proofErr w:type="gramStart"/>
      <w:r w:rsidR="00A0330E" w:rsidRPr="00AF13C5">
        <w:t>which  is</w:t>
      </w:r>
      <w:proofErr w:type="gramEnd"/>
      <w:r w:rsidR="00A0330E" w:rsidRPr="00AF13C5">
        <w:t xml:space="preserve"> consistent with the experimental data</w:t>
      </w:r>
      <w:r w:rsidR="00E6016C" w:rsidRPr="00AF13C5">
        <w:t xml:space="preserve"> if we assign an uncertainty of a factor 4</w:t>
      </w:r>
      <w:r w:rsidR="00A0330E" w:rsidRPr="00AF13C5">
        <w:t xml:space="preserve">. </w:t>
      </w:r>
      <w:r>
        <w:t xml:space="preserve">The large uncertainty associated with use of a generic rate constant, </w:t>
      </w:r>
      <w:r w:rsidRPr="001D5B1F">
        <w:rPr>
          <w:i/>
        </w:rPr>
        <w:t>k</w:t>
      </w:r>
      <w:r w:rsidRPr="001D5B1F">
        <w:rPr>
          <w:vertAlign w:val="subscript"/>
        </w:rPr>
        <w:t>b</w:t>
      </w:r>
      <w:r>
        <w:t xml:space="preserve">, and also use of potentially inappropriate values of </w:t>
      </w:r>
      <w:r w:rsidRPr="007C2602">
        <w:rPr>
          <w:i/>
        </w:rPr>
        <w:t>H</w:t>
      </w:r>
      <w:r>
        <w:t xml:space="preserve"> and </w:t>
      </w:r>
      <w:proofErr w:type="gramStart"/>
      <w:r w:rsidRPr="007C2602">
        <w:rPr>
          <w:i/>
        </w:rPr>
        <w:t>D</w:t>
      </w:r>
      <w:r w:rsidRPr="007C2602">
        <w:rPr>
          <w:i/>
          <w:vertAlign w:val="subscript"/>
        </w:rPr>
        <w:t>l</w:t>
      </w:r>
      <w:r>
        <w:rPr>
          <w:i/>
          <w:vertAlign w:val="subscript"/>
        </w:rPr>
        <w:t xml:space="preserve"> </w:t>
      </w:r>
      <w:r>
        <w:t xml:space="preserve"> is</w:t>
      </w:r>
      <w:proofErr w:type="gramEnd"/>
      <w:r>
        <w:t xml:space="preserve"> taken into account by assigning a large uncertainty to </w:t>
      </w:r>
      <w:r w:rsidRPr="007C2602">
        <w:rPr>
          <w:i/>
        </w:rPr>
        <w:t>k</w:t>
      </w:r>
      <w:r w:rsidRPr="007C2602">
        <w:rPr>
          <w:i/>
          <w:vertAlign w:val="subscript"/>
        </w:rPr>
        <w:t>b</w:t>
      </w:r>
      <w:r>
        <w:t>.</w:t>
      </w:r>
    </w:p>
    <w:p w:rsidR="0023650A" w:rsidRPr="00AF13C5" w:rsidRDefault="0075667B" w:rsidP="0075667B">
      <w:pPr>
        <w:pStyle w:val="IUPACpreferredcommentstext"/>
      </w:pPr>
      <w:r>
        <w:t xml:space="preserve">Uptake to multicomponent organic mixtures can be approximated by summing the product </w:t>
      </w:r>
      <w:proofErr w:type="gramStart"/>
      <w:r w:rsidRPr="007C2602">
        <w:rPr>
          <w:i/>
        </w:rPr>
        <w:t>k</w:t>
      </w:r>
      <w:r w:rsidRPr="007C2602">
        <w:rPr>
          <w:vertAlign w:val="subscript"/>
        </w:rPr>
        <w:t>b</w:t>
      </w:r>
      <w:r w:rsidR="001835A2">
        <w:rPr>
          <w:vertAlign w:val="subscript"/>
        </w:rPr>
        <w:t>(</w:t>
      </w:r>
      <w:proofErr w:type="spellStart"/>
      <w:proofErr w:type="gramEnd"/>
      <w:r w:rsidRPr="007C2602">
        <w:rPr>
          <w:vertAlign w:val="subscript"/>
        </w:rPr>
        <w:t>i</w:t>
      </w:r>
      <w:proofErr w:type="spellEnd"/>
      <w:r w:rsidR="001835A2">
        <w:rPr>
          <w:vertAlign w:val="subscript"/>
        </w:rPr>
        <w:t>)</w:t>
      </w:r>
      <w:r>
        <w:t>[HC]</w:t>
      </w:r>
      <w:r w:rsidRPr="00547231">
        <w:rPr>
          <w:vertAlign w:val="subscript"/>
        </w:rPr>
        <w:t>(</w:t>
      </w:r>
      <w:proofErr w:type="spellStart"/>
      <w:r w:rsidRPr="007C2602">
        <w:rPr>
          <w:vertAlign w:val="subscript"/>
        </w:rPr>
        <w:t>i</w:t>
      </w:r>
      <w:proofErr w:type="spellEnd"/>
      <w:r>
        <w:rPr>
          <w:vertAlign w:val="subscript"/>
        </w:rPr>
        <w:t xml:space="preserve">) </w:t>
      </w:r>
      <w:r>
        <w:t xml:space="preserve">and using an average value for </w:t>
      </w:r>
      <w:r w:rsidRPr="007C2602">
        <w:rPr>
          <w:i/>
        </w:rPr>
        <w:t>H</w:t>
      </w:r>
      <w:r>
        <w:t xml:space="preserve"> and </w:t>
      </w:r>
      <w:r w:rsidRPr="007C2602">
        <w:rPr>
          <w:i/>
        </w:rPr>
        <w:t>D</w:t>
      </w:r>
      <w:r w:rsidRPr="007C2602">
        <w:rPr>
          <w:i/>
          <w:vertAlign w:val="subscript"/>
        </w:rPr>
        <w:t>l</w:t>
      </w:r>
      <w:r>
        <w:t xml:space="preserve">. For unreactive or very small particles a correction for the </w:t>
      </w:r>
      <w:proofErr w:type="spellStart"/>
      <w:r>
        <w:t>diffuso</w:t>
      </w:r>
      <w:proofErr w:type="spellEnd"/>
      <w:r>
        <w:t xml:space="preserve">-reactive length may be important (see guide to datasheets), whereas for very reactive particles, the reaction </w:t>
      </w:r>
      <w:proofErr w:type="spellStart"/>
      <w:r>
        <w:t>my</w:t>
      </w:r>
      <w:proofErr w:type="spellEnd"/>
      <w:r>
        <w:t xml:space="preserve"> be </w:t>
      </w:r>
      <w:proofErr w:type="gramStart"/>
      <w:r>
        <w:t>limited  to</w:t>
      </w:r>
      <w:proofErr w:type="gramEnd"/>
      <w:r>
        <w:t xml:space="preserve"> the surface layers of the sample. This may result in uptake coefficients that decrease with exposure time if mixing in the particle is hindered by high viscosity. </w:t>
      </w:r>
      <w:r w:rsidR="0023650A" w:rsidRPr="00AF13C5">
        <w:t>The NO</w:t>
      </w:r>
      <w:r w:rsidR="0023650A" w:rsidRPr="00AF13C5">
        <w:rPr>
          <w:vertAlign w:val="subscript"/>
        </w:rPr>
        <w:t>3</w:t>
      </w:r>
      <w:r w:rsidR="0023650A" w:rsidRPr="00AF13C5">
        <w:t xml:space="preserve"> concentration- and time-dependence of the uptake coefficient to a sample of </w:t>
      </w:r>
      <w:proofErr w:type="spellStart"/>
      <w:r w:rsidR="009B20A1" w:rsidRPr="00AF13C5">
        <w:t>abeitic</w:t>
      </w:r>
      <w:proofErr w:type="spellEnd"/>
      <w:r w:rsidR="009B20A1" w:rsidRPr="00AF13C5">
        <w:t xml:space="preserve"> acid</w:t>
      </w:r>
      <w:r w:rsidR="0023650A" w:rsidRPr="00AF13C5">
        <w:t xml:space="preserve"> </w:t>
      </w:r>
      <w:r w:rsidR="007768B0" w:rsidRPr="00AF13C5">
        <w:t xml:space="preserve">(Knopf et al., 2011) </w:t>
      </w:r>
      <w:r w:rsidR="0023650A" w:rsidRPr="00AF13C5">
        <w:t>could be described with a multilayer model of surface and bulk reactions and bulk diffusion of NO</w:t>
      </w:r>
      <w:r w:rsidR="0023650A" w:rsidRPr="00AF13C5">
        <w:rPr>
          <w:vertAlign w:val="subscript"/>
        </w:rPr>
        <w:t>3</w:t>
      </w:r>
      <w:r w:rsidR="0023650A" w:rsidRPr="00AF13C5">
        <w:t xml:space="preserve"> (Shiraiwa et al., 2012). </w:t>
      </w:r>
    </w:p>
    <w:p w:rsidR="00C70D09" w:rsidRDefault="00DC7D11" w:rsidP="00C70D09">
      <w:pPr>
        <w:pStyle w:val="IUPACpreferredcommentstext"/>
        <w:rPr>
          <w:sz w:val="20"/>
        </w:rPr>
      </w:pPr>
      <w:r w:rsidRPr="00AF13C5">
        <w:t>The reaction of NO</w:t>
      </w:r>
      <w:r w:rsidRPr="00AF13C5">
        <w:rPr>
          <w:vertAlign w:val="subscript"/>
        </w:rPr>
        <w:t>3</w:t>
      </w:r>
      <w:r w:rsidRPr="00AF13C5">
        <w:t xml:space="preserve"> with the </w:t>
      </w:r>
      <w:r w:rsidR="00BF3262">
        <w:t>un</w:t>
      </w:r>
      <w:r w:rsidRPr="00AF13C5">
        <w:t xml:space="preserve">saturated organics considered here proceeds largely through </w:t>
      </w:r>
      <w:r w:rsidR="00AF13C5" w:rsidRPr="00AF13C5">
        <w:t xml:space="preserve">addition. </w:t>
      </w:r>
      <w:r w:rsidR="00C70D09" w:rsidRPr="00AF13C5">
        <w:t xml:space="preserve">Products </w:t>
      </w:r>
      <w:r w:rsidR="00C70D09">
        <w:t>from the reaction of NO</w:t>
      </w:r>
      <w:r w:rsidR="00C70D09">
        <w:rPr>
          <w:vertAlign w:val="subscript"/>
        </w:rPr>
        <w:t>3</w:t>
      </w:r>
      <w:r w:rsidR="00C70D09">
        <w:t xml:space="preserve"> with oleic acid are </w:t>
      </w:r>
      <w:r w:rsidR="00C70D09" w:rsidRPr="003F41C6">
        <w:rPr>
          <w:sz w:val="20"/>
        </w:rPr>
        <w:t xml:space="preserve">carboxylic acids including </w:t>
      </w:r>
      <w:proofErr w:type="spellStart"/>
      <w:r w:rsidR="00C70D09" w:rsidRPr="003F41C6">
        <w:rPr>
          <w:sz w:val="20"/>
        </w:rPr>
        <w:t>hydroxy</w:t>
      </w:r>
      <w:proofErr w:type="spellEnd"/>
      <w:r w:rsidR="00C70D09" w:rsidRPr="003F41C6">
        <w:rPr>
          <w:sz w:val="20"/>
        </w:rPr>
        <w:t xml:space="preserve"> nitrates, carbonyl nitrates, </w:t>
      </w:r>
      <w:proofErr w:type="spellStart"/>
      <w:r w:rsidR="00C70D09" w:rsidRPr="003F41C6">
        <w:rPr>
          <w:sz w:val="20"/>
        </w:rPr>
        <w:t>dinitrates</w:t>
      </w:r>
      <w:proofErr w:type="spellEnd"/>
      <w:r w:rsidR="00C70D09" w:rsidRPr="003F41C6">
        <w:rPr>
          <w:sz w:val="20"/>
        </w:rPr>
        <w:t xml:space="preserve"> and </w:t>
      </w:r>
      <w:proofErr w:type="spellStart"/>
      <w:r w:rsidR="00C70D09" w:rsidRPr="003F41C6">
        <w:rPr>
          <w:sz w:val="20"/>
        </w:rPr>
        <w:t>hydroxydinitrates</w:t>
      </w:r>
      <w:proofErr w:type="spellEnd"/>
      <w:r w:rsidR="00C70D09">
        <w:rPr>
          <w:sz w:val="20"/>
        </w:rPr>
        <w:t xml:space="preserve"> (Hung et al., 2005</w:t>
      </w:r>
      <w:proofErr w:type="gramStart"/>
      <w:r w:rsidR="00C70D09">
        <w:rPr>
          <w:sz w:val="20"/>
        </w:rPr>
        <w:t>;  Docherty</w:t>
      </w:r>
      <w:proofErr w:type="gramEnd"/>
      <w:r w:rsidR="00C70D09">
        <w:rPr>
          <w:sz w:val="20"/>
        </w:rPr>
        <w:t xml:space="preserve"> and </w:t>
      </w:r>
      <w:proofErr w:type="spellStart"/>
      <w:r w:rsidR="00C70D09">
        <w:rPr>
          <w:sz w:val="20"/>
        </w:rPr>
        <w:t>Ziemann</w:t>
      </w:r>
      <w:proofErr w:type="spellEnd"/>
      <w:r w:rsidR="00C70D09">
        <w:rPr>
          <w:sz w:val="20"/>
        </w:rPr>
        <w:t xml:space="preserve">, 2006; Zhao et al., 2011). </w:t>
      </w:r>
    </w:p>
    <w:p w:rsidR="009B20A1" w:rsidRDefault="009B20A1" w:rsidP="001A28F0">
      <w:pPr>
        <w:pStyle w:val="IUPACpreferredcommentstext"/>
      </w:pPr>
      <w:bookmarkStart w:id="0" w:name="_GoBack"/>
      <w:bookmarkEnd w:id="0"/>
    </w:p>
    <w:p w:rsidR="002F5C5A" w:rsidRDefault="002F5C5A" w:rsidP="00CA6636">
      <w:pPr>
        <w:pStyle w:val="IUPACTitle"/>
      </w:pPr>
      <w:r>
        <w:t>References</w:t>
      </w:r>
    </w:p>
    <w:p w:rsidR="00A81E2D" w:rsidRPr="00A81E2D" w:rsidRDefault="00A81E2D" w:rsidP="00A81E2D">
      <w:pPr>
        <w:rPr>
          <w:lang w:val="en-AU"/>
        </w:rPr>
      </w:pPr>
    </w:p>
    <w:p w:rsidR="00C70D09" w:rsidRPr="00275BB1" w:rsidRDefault="00C70D09">
      <w:pPr>
        <w:pStyle w:val="IUPACreference"/>
        <w:rPr>
          <w:rFonts w:cs="Times New Roman"/>
          <w:color w:val="FF0000"/>
          <w:szCs w:val="24"/>
          <w:lang w:eastAsia="en-GB"/>
        </w:rPr>
      </w:pPr>
      <w:r w:rsidRPr="00275BB1">
        <w:rPr>
          <w:rFonts w:cs="Times New Roman"/>
          <w:szCs w:val="24"/>
          <w:lang w:eastAsia="en-GB"/>
        </w:rPr>
        <w:t xml:space="preserve">Docherty, K. S., and </w:t>
      </w:r>
      <w:proofErr w:type="spellStart"/>
      <w:r w:rsidRPr="00275BB1">
        <w:rPr>
          <w:rFonts w:cs="Times New Roman"/>
          <w:szCs w:val="24"/>
          <w:lang w:eastAsia="en-GB"/>
        </w:rPr>
        <w:t>Ziemann</w:t>
      </w:r>
      <w:proofErr w:type="spellEnd"/>
      <w:r w:rsidRPr="00275BB1">
        <w:rPr>
          <w:rFonts w:cs="Times New Roman"/>
          <w:szCs w:val="24"/>
          <w:lang w:eastAsia="en-GB"/>
        </w:rPr>
        <w:t>, P. J., J. Phys. Chem. A, 110, 3567-3577</w:t>
      </w:r>
      <w:proofErr w:type="gramStart"/>
      <w:r w:rsidRPr="00275BB1">
        <w:rPr>
          <w:rFonts w:cs="Times New Roman"/>
          <w:szCs w:val="24"/>
          <w:lang w:eastAsia="en-GB"/>
        </w:rPr>
        <w:t>,  2006</w:t>
      </w:r>
      <w:proofErr w:type="gramEnd"/>
      <w:r w:rsidRPr="00275BB1">
        <w:rPr>
          <w:rFonts w:cs="Times New Roman"/>
          <w:szCs w:val="24"/>
          <w:lang w:eastAsia="en-GB"/>
        </w:rPr>
        <w:t>.</w:t>
      </w:r>
    </w:p>
    <w:p w:rsidR="00E6016C" w:rsidRPr="003912D9" w:rsidRDefault="00E6016C">
      <w:pPr>
        <w:pStyle w:val="IUPACreference"/>
        <w:rPr>
          <w:rFonts w:cs="Times New Roman"/>
          <w:szCs w:val="24"/>
          <w:lang w:eastAsia="en-GB"/>
        </w:rPr>
      </w:pPr>
      <w:r w:rsidRPr="003912D9">
        <w:rPr>
          <w:rFonts w:cs="Times New Roman"/>
          <w:szCs w:val="24"/>
          <w:lang w:eastAsia="en-GB"/>
        </w:rPr>
        <w:t xml:space="preserve">Gross, S., </w:t>
      </w:r>
      <w:proofErr w:type="spellStart"/>
      <w:r w:rsidRPr="003912D9">
        <w:rPr>
          <w:rFonts w:cs="Times New Roman"/>
          <w:szCs w:val="24"/>
          <w:lang w:eastAsia="en-GB"/>
        </w:rPr>
        <w:t>Iannone</w:t>
      </w:r>
      <w:proofErr w:type="spellEnd"/>
      <w:r w:rsidRPr="003912D9">
        <w:rPr>
          <w:rFonts w:cs="Times New Roman"/>
          <w:szCs w:val="24"/>
          <w:lang w:eastAsia="en-GB"/>
        </w:rPr>
        <w:t>, R., Xiao, S., and Bertram, A. K., Phys. Chem. Chem. Phys., 11, 7792-7803</w:t>
      </w:r>
      <w:proofErr w:type="gramStart"/>
      <w:r w:rsidRPr="003912D9">
        <w:rPr>
          <w:rFonts w:cs="Times New Roman"/>
          <w:szCs w:val="24"/>
          <w:lang w:eastAsia="en-GB"/>
        </w:rPr>
        <w:t>,  2009</w:t>
      </w:r>
      <w:proofErr w:type="gramEnd"/>
      <w:r w:rsidRPr="003912D9">
        <w:rPr>
          <w:rFonts w:cs="Times New Roman"/>
          <w:szCs w:val="24"/>
          <w:lang w:eastAsia="en-GB"/>
        </w:rPr>
        <w:t>.</w:t>
      </w:r>
    </w:p>
    <w:p w:rsidR="00C70D09" w:rsidRPr="00275BB1" w:rsidRDefault="00C70D09">
      <w:pPr>
        <w:pStyle w:val="IUPACreference"/>
        <w:rPr>
          <w:rFonts w:cs="Times New Roman"/>
          <w:color w:val="FF0000"/>
          <w:szCs w:val="24"/>
          <w:lang w:eastAsia="en-GB"/>
        </w:rPr>
      </w:pPr>
      <w:proofErr w:type="gramStart"/>
      <w:r w:rsidRPr="00275BB1">
        <w:rPr>
          <w:rFonts w:cs="Times New Roman"/>
          <w:szCs w:val="24"/>
          <w:lang w:eastAsia="en-GB"/>
        </w:rPr>
        <w:lastRenderedPageBreak/>
        <w:t xml:space="preserve">Hung, H. M., </w:t>
      </w:r>
      <w:proofErr w:type="spellStart"/>
      <w:r w:rsidRPr="00275BB1">
        <w:rPr>
          <w:rFonts w:cs="Times New Roman"/>
          <w:szCs w:val="24"/>
          <w:lang w:eastAsia="en-GB"/>
        </w:rPr>
        <w:t>Katrib</w:t>
      </w:r>
      <w:proofErr w:type="spellEnd"/>
      <w:r w:rsidRPr="00275BB1">
        <w:rPr>
          <w:rFonts w:cs="Times New Roman"/>
          <w:szCs w:val="24"/>
          <w:lang w:eastAsia="en-GB"/>
        </w:rPr>
        <w:t>, Y., and Martin, S. T., J. Phys. Chem.</w:t>
      </w:r>
      <w:proofErr w:type="gramEnd"/>
      <w:r w:rsidRPr="00275BB1">
        <w:rPr>
          <w:rFonts w:cs="Times New Roman"/>
          <w:szCs w:val="24"/>
          <w:lang w:eastAsia="en-GB"/>
        </w:rPr>
        <w:t xml:space="preserve"> A, 109, 4517-4530</w:t>
      </w:r>
      <w:proofErr w:type="gramStart"/>
      <w:r w:rsidRPr="00275BB1">
        <w:rPr>
          <w:rFonts w:cs="Times New Roman"/>
          <w:szCs w:val="24"/>
          <w:lang w:eastAsia="en-GB"/>
        </w:rPr>
        <w:t>,  2005</w:t>
      </w:r>
      <w:proofErr w:type="gramEnd"/>
      <w:r w:rsidRPr="00275BB1">
        <w:rPr>
          <w:rFonts w:cs="Times New Roman"/>
          <w:szCs w:val="24"/>
          <w:lang w:eastAsia="en-GB"/>
        </w:rPr>
        <w:t>.</w:t>
      </w:r>
    </w:p>
    <w:p w:rsidR="00E6016C" w:rsidRPr="00275BB1" w:rsidRDefault="00E6016C">
      <w:pPr>
        <w:pStyle w:val="IUPACreference"/>
        <w:rPr>
          <w:rFonts w:cs="Times New Roman"/>
          <w:color w:val="FF0000"/>
          <w:szCs w:val="24"/>
          <w:lang w:eastAsia="en-GB"/>
        </w:rPr>
      </w:pPr>
      <w:r w:rsidRPr="00275BB1">
        <w:rPr>
          <w:rFonts w:cs="Times New Roman"/>
          <w:color w:val="000000" w:themeColor="text1"/>
          <w:szCs w:val="24"/>
          <w:lang w:eastAsia="en-GB"/>
        </w:rPr>
        <w:t>Knopf, D. A., Forrester, S. M., and Slade, J. H., Phys. Chem. Chem. Phys., 13, 21050-21062,  2011.</w:t>
      </w:r>
    </w:p>
    <w:p w:rsidR="002F5C5A" w:rsidRPr="003912D9" w:rsidRDefault="002F5C5A">
      <w:pPr>
        <w:pStyle w:val="IUPACreference"/>
        <w:rPr>
          <w:rFonts w:cs="Times New Roman"/>
          <w:lang w:val="en-GB"/>
        </w:rPr>
      </w:pPr>
      <w:proofErr w:type="spellStart"/>
      <w:r w:rsidRPr="003912D9">
        <w:rPr>
          <w:rFonts w:cs="Times New Roman"/>
          <w:lang w:val="en-GB"/>
        </w:rPr>
        <w:t>Moise</w:t>
      </w:r>
      <w:proofErr w:type="spellEnd"/>
      <w:r w:rsidRPr="003912D9">
        <w:rPr>
          <w:rFonts w:cs="Times New Roman"/>
          <w:lang w:val="en-GB"/>
        </w:rPr>
        <w:t xml:space="preserve">, T., Talukdar, R. K., Frost, G. J., Fox, R. W. and Rudich, Y.: J. </w:t>
      </w:r>
      <w:proofErr w:type="spellStart"/>
      <w:r w:rsidRPr="003912D9">
        <w:rPr>
          <w:rFonts w:cs="Times New Roman"/>
          <w:lang w:val="en-GB"/>
        </w:rPr>
        <w:t>Geophys</w:t>
      </w:r>
      <w:proofErr w:type="spellEnd"/>
      <w:r w:rsidRPr="003912D9">
        <w:rPr>
          <w:rFonts w:cs="Times New Roman"/>
          <w:lang w:val="en-GB"/>
        </w:rPr>
        <w:t xml:space="preserve">. Res.-Atmos. 107, D2, </w:t>
      </w:r>
      <w:proofErr w:type="spellStart"/>
      <w:r w:rsidRPr="003912D9">
        <w:rPr>
          <w:rFonts w:cs="Times New Roman"/>
          <w:lang w:val="en-GB"/>
        </w:rPr>
        <w:t>doi</w:t>
      </w:r>
      <w:proofErr w:type="spellEnd"/>
      <w:r w:rsidRPr="003912D9">
        <w:rPr>
          <w:rFonts w:cs="Times New Roman"/>
          <w:lang w:val="en-GB"/>
        </w:rPr>
        <w:t>: 10.1029/2001JD000334,</w:t>
      </w:r>
      <w:r w:rsidRPr="003912D9">
        <w:rPr>
          <w:rFonts w:cs="Times New Roman"/>
          <w:i/>
          <w:lang w:val="en-GB"/>
        </w:rPr>
        <w:t xml:space="preserve"> </w:t>
      </w:r>
      <w:r w:rsidRPr="003912D9">
        <w:rPr>
          <w:rFonts w:cs="Times New Roman"/>
          <w:lang w:val="en-GB"/>
        </w:rPr>
        <w:t>2002.</w:t>
      </w:r>
    </w:p>
    <w:p w:rsidR="00275BB1" w:rsidRPr="00275BB1" w:rsidRDefault="00275BB1" w:rsidP="00275BB1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r w:rsidRPr="00275BB1">
        <w:rPr>
          <w:rFonts w:ascii="Times New Roman" w:eastAsia="Times New Roman" w:hAnsi="Times New Roman"/>
          <w:sz w:val="24"/>
          <w:szCs w:val="24"/>
          <w:lang w:eastAsia="en-GB"/>
        </w:rPr>
        <w:t>Renbaum</w:t>
      </w:r>
      <w:proofErr w:type="spellEnd"/>
      <w:r w:rsidRPr="00275BB1">
        <w:rPr>
          <w:rFonts w:ascii="Times New Roman" w:eastAsia="Times New Roman" w:hAnsi="Times New Roman"/>
          <w:sz w:val="24"/>
          <w:szCs w:val="24"/>
          <w:lang w:eastAsia="en-GB"/>
        </w:rPr>
        <w:t xml:space="preserve">-Wolff, L., Grayson, J. W., Bateman, A. P., </w:t>
      </w:r>
      <w:proofErr w:type="spellStart"/>
      <w:r w:rsidRPr="00275BB1">
        <w:rPr>
          <w:rFonts w:ascii="Times New Roman" w:eastAsia="Times New Roman" w:hAnsi="Times New Roman"/>
          <w:sz w:val="24"/>
          <w:szCs w:val="24"/>
          <w:lang w:eastAsia="en-GB"/>
        </w:rPr>
        <w:t>Kuwata</w:t>
      </w:r>
      <w:proofErr w:type="spellEnd"/>
      <w:r w:rsidRPr="00275BB1">
        <w:rPr>
          <w:rFonts w:ascii="Times New Roman" w:eastAsia="Times New Roman" w:hAnsi="Times New Roman"/>
          <w:sz w:val="24"/>
          <w:szCs w:val="24"/>
          <w:lang w:eastAsia="en-GB"/>
        </w:rPr>
        <w:t xml:space="preserve">, M., </w:t>
      </w:r>
      <w:proofErr w:type="spellStart"/>
      <w:r w:rsidRPr="00275BB1">
        <w:rPr>
          <w:rFonts w:ascii="Times New Roman" w:eastAsia="Times New Roman" w:hAnsi="Times New Roman"/>
          <w:sz w:val="24"/>
          <w:szCs w:val="24"/>
          <w:lang w:eastAsia="en-GB"/>
        </w:rPr>
        <w:t>Sellier</w:t>
      </w:r>
      <w:proofErr w:type="spellEnd"/>
      <w:r w:rsidRPr="00275BB1">
        <w:rPr>
          <w:rFonts w:ascii="Times New Roman" w:eastAsia="Times New Roman" w:hAnsi="Times New Roman"/>
          <w:sz w:val="24"/>
          <w:szCs w:val="24"/>
          <w:lang w:eastAsia="en-GB"/>
        </w:rPr>
        <w:t>, M., Murray, B. J., Shilling, J. E., Martin, S. T., and Bertram, A. K., Proc. Natl. Acad. Sci. U. S. A., 110, 8014-8019,  2013.</w:t>
      </w:r>
    </w:p>
    <w:p w:rsidR="00ED096D" w:rsidRPr="00275BB1" w:rsidRDefault="00ED096D" w:rsidP="00A4579D">
      <w:pPr>
        <w:pStyle w:val="IUPACreference"/>
        <w:tabs>
          <w:tab w:val="left" w:pos="8508"/>
        </w:tabs>
        <w:rPr>
          <w:rFonts w:cs="Times New Roman"/>
          <w:color w:val="FF0000"/>
          <w:lang w:val="en-GB"/>
        </w:rPr>
      </w:pPr>
      <w:proofErr w:type="gramStart"/>
      <w:r w:rsidRPr="00275BB1">
        <w:rPr>
          <w:rFonts w:cs="Times New Roman"/>
          <w:szCs w:val="24"/>
          <w:lang w:eastAsia="en-GB"/>
        </w:rPr>
        <w:t xml:space="preserve">Shiraiwa, M., </w:t>
      </w:r>
      <w:proofErr w:type="spellStart"/>
      <w:r w:rsidRPr="00275BB1">
        <w:rPr>
          <w:rFonts w:cs="Times New Roman"/>
          <w:szCs w:val="24"/>
          <w:lang w:eastAsia="en-GB"/>
        </w:rPr>
        <w:t>Poschl</w:t>
      </w:r>
      <w:proofErr w:type="spellEnd"/>
      <w:r w:rsidRPr="00275BB1">
        <w:rPr>
          <w:rFonts w:cs="Times New Roman"/>
          <w:szCs w:val="24"/>
          <w:lang w:eastAsia="en-GB"/>
        </w:rPr>
        <w:t xml:space="preserve">, U., and Knopf, D. A., </w:t>
      </w:r>
      <w:proofErr w:type="spellStart"/>
      <w:r w:rsidRPr="00275BB1">
        <w:rPr>
          <w:rFonts w:cs="Times New Roman"/>
          <w:szCs w:val="24"/>
          <w:lang w:eastAsia="en-GB"/>
        </w:rPr>
        <w:t>Env</w:t>
      </w:r>
      <w:proofErr w:type="spellEnd"/>
      <w:r w:rsidRPr="00275BB1">
        <w:rPr>
          <w:rFonts w:cs="Times New Roman"/>
          <w:szCs w:val="24"/>
          <w:lang w:eastAsia="en-GB"/>
        </w:rPr>
        <w:t>.</w:t>
      </w:r>
      <w:proofErr w:type="gramEnd"/>
      <w:r w:rsidRPr="00275BB1">
        <w:rPr>
          <w:rFonts w:cs="Times New Roman"/>
          <w:szCs w:val="24"/>
          <w:lang w:eastAsia="en-GB"/>
        </w:rPr>
        <w:t xml:space="preserve"> Sci. Tech., 46, 6630-6636</w:t>
      </w:r>
      <w:proofErr w:type="gramStart"/>
      <w:r w:rsidRPr="00275BB1">
        <w:rPr>
          <w:rFonts w:cs="Times New Roman"/>
          <w:szCs w:val="24"/>
          <w:lang w:eastAsia="en-GB"/>
        </w:rPr>
        <w:t>,  2012</w:t>
      </w:r>
      <w:proofErr w:type="gramEnd"/>
      <w:r w:rsidRPr="00275BB1">
        <w:rPr>
          <w:rFonts w:cs="Times New Roman"/>
          <w:szCs w:val="24"/>
          <w:lang w:eastAsia="en-GB"/>
        </w:rPr>
        <w:t>.</w:t>
      </w:r>
    </w:p>
    <w:p w:rsidR="00C70D09" w:rsidRPr="00275BB1" w:rsidRDefault="00C70D09" w:rsidP="00A4579D">
      <w:pPr>
        <w:pStyle w:val="IUPACreference"/>
        <w:rPr>
          <w:rFonts w:cs="Times New Roman"/>
          <w:color w:val="FF0000"/>
          <w:lang w:val="en-GB"/>
        </w:rPr>
      </w:pPr>
      <w:r w:rsidRPr="00275BB1">
        <w:rPr>
          <w:rFonts w:cs="Times New Roman"/>
          <w:szCs w:val="24"/>
          <w:lang w:eastAsia="en-GB"/>
        </w:rPr>
        <w:t xml:space="preserve">Zhao, Z. J., </w:t>
      </w:r>
      <w:proofErr w:type="spellStart"/>
      <w:r w:rsidRPr="00275BB1">
        <w:rPr>
          <w:rFonts w:cs="Times New Roman"/>
          <w:szCs w:val="24"/>
          <w:lang w:eastAsia="en-GB"/>
        </w:rPr>
        <w:t>Husainy</w:t>
      </w:r>
      <w:proofErr w:type="spellEnd"/>
      <w:r w:rsidRPr="00275BB1">
        <w:rPr>
          <w:rFonts w:cs="Times New Roman"/>
          <w:szCs w:val="24"/>
          <w:lang w:eastAsia="en-GB"/>
        </w:rPr>
        <w:t xml:space="preserve">, S., </w:t>
      </w:r>
      <w:proofErr w:type="spellStart"/>
      <w:r w:rsidRPr="00275BB1">
        <w:rPr>
          <w:rFonts w:cs="Times New Roman"/>
          <w:szCs w:val="24"/>
          <w:lang w:eastAsia="en-GB"/>
        </w:rPr>
        <w:t>Stoudemayer</w:t>
      </w:r>
      <w:proofErr w:type="spellEnd"/>
      <w:r w:rsidRPr="00275BB1">
        <w:rPr>
          <w:rFonts w:cs="Times New Roman"/>
          <w:szCs w:val="24"/>
          <w:lang w:eastAsia="en-GB"/>
        </w:rPr>
        <w:t>, C. T., and Smith, G. D., Phys. Chem. Chem. Phys., 13, 17809-17817,  2011.</w:t>
      </w:r>
    </w:p>
    <w:p w:rsidR="00A4579D" w:rsidRPr="00275BB1" w:rsidRDefault="00A4579D" w:rsidP="00A4579D">
      <w:pPr>
        <w:pStyle w:val="Justified"/>
        <w:spacing w:after="0" w:line="240" w:lineRule="auto"/>
        <w:ind w:hanging="170"/>
        <w:rPr>
          <w:lang w:val="en-GB"/>
        </w:rPr>
      </w:pPr>
    </w:p>
    <w:p w:rsidR="00A4579D" w:rsidRPr="00E6016C" w:rsidRDefault="00A4579D">
      <w:pPr>
        <w:pStyle w:val="IUPACreference"/>
        <w:rPr>
          <w:rFonts w:cs="Times New Roman"/>
          <w:lang w:val="en-GB"/>
        </w:rPr>
      </w:pPr>
    </w:p>
    <w:p w:rsidR="002F5C5A" w:rsidRDefault="002F5C5A"/>
    <w:p w:rsidR="002F5C5A" w:rsidRDefault="002F5C5A"/>
    <w:p w:rsidR="002F5C5A" w:rsidRDefault="002F5C5A"/>
    <w:p w:rsidR="002F5C5A" w:rsidRDefault="002F5C5A"/>
    <w:p w:rsidR="002F5C5A" w:rsidRDefault="002F5C5A">
      <w:pPr>
        <w:tabs>
          <w:tab w:val="left" w:pos="5265"/>
        </w:tabs>
      </w:pPr>
      <w:r>
        <w:tab/>
      </w:r>
    </w:p>
    <w:sectPr w:rsidR="002F5C5A" w:rsidSect="00E22243">
      <w:pgSz w:w="11907" w:h="16840" w:code="9"/>
      <w:pgMar w:top="1134" w:right="1021" w:bottom="1134" w:left="102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51A7494"/>
    <w:lvl w:ilvl="0">
      <w:start w:val="1"/>
      <w:numFmt w:val="decimal"/>
      <w:pStyle w:val="JGR-HEAD1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JGR-HEAD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9D30D74"/>
    <w:multiLevelType w:val="hybridMultilevel"/>
    <w:tmpl w:val="C032FA0E"/>
    <w:lvl w:ilvl="0" w:tplc="5BBEF09C">
      <w:start w:val="1"/>
      <w:numFmt w:val="decimal"/>
      <w:lvlText w:val="%1"/>
      <w:lvlJc w:val="left"/>
      <w:pPr>
        <w:tabs>
          <w:tab w:val="num" w:pos="360"/>
        </w:tabs>
        <w:ind w:left="301" w:hanging="301"/>
      </w:pPr>
      <w:rPr>
        <w:rFonts w:hint="default"/>
        <w:strike w:val="0"/>
        <w:dstrike w:val="0"/>
        <w:vertAlign w:val="superscript"/>
      </w:rPr>
    </w:lvl>
    <w:lvl w:ilvl="1" w:tplc="59DEF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EC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90E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8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CF5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01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E1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6E82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502B8"/>
    <w:multiLevelType w:val="singleLevel"/>
    <w:tmpl w:val="E308647A"/>
    <w:lvl w:ilvl="0">
      <w:start w:val="4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1084542C"/>
    <w:multiLevelType w:val="singleLevel"/>
    <w:tmpl w:val="E640D6B6"/>
    <w:lvl w:ilvl="0">
      <w:start w:val="2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163F18AF"/>
    <w:multiLevelType w:val="singleLevel"/>
    <w:tmpl w:val="70003EA2"/>
    <w:lvl w:ilvl="0">
      <w:start w:val="5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>
    <w:nsid w:val="3193107F"/>
    <w:multiLevelType w:val="singleLevel"/>
    <w:tmpl w:val="07A45824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7">
    <w:nsid w:val="42435994"/>
    <w:multiLevelType w:val="singleLevel"/>
    <w:tmpl w:val="92D21FFA"/>
    <w:lvl w:ilvl="0">
      <w:start w:val="1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>
    <w:nsid w:val="475F4D89"/>
    <w:multiLevelType w:val="singleLevel"/>
    <w:tmpl w:val="8ED0690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>
    <w:nsid w:val="488D085E"/>
    <w:multiLevelType w:val="singleLevel"/>
    <w:tmpl w:val="6FCC74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7730E1"/>
    <w:multiLevelType w:val="singleLevel"/>
    <w:tmpl w:val="BA68E03C"/>
    <w:lvl w:ilvl="0">
      <w:start w:val="1993"/>
      <w:numFmt w:val="decimal"/>
      <w:lvlText w:val="%1"/>
      <w:lvlJc w:val="left"/>
      <w:pPr>
        <w:tabs>
          <w:tab w:val="num" w:pos="7974"/>
        </w:tabs>
        <w:ind w:left="7974" w:hanging="3120"/>
      </w:pPr>
      <w:rPr>
        <w:rFonts w:hint="default"/>
      </w:rPr>
    </w:lvl>
  </w:abstractNum>
  <w:abstractNum w:abstractNumId="11">
    <w:nsid w:val="4EF018B0"/>
    <w:multiLevelType w:val="hybridMultilevel"/>
    <w:tmpl w:val="A1421160"/>
    <w:lvl w:ilvl="0" w:tplc="5590EF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2C2E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D48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20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6D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5C4D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A89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0B6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F05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DB245A"/>
    <w:multiLevelType w:val="singleLevel"/>
    <w:tmpl w:val="97C60158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3FE01AB"/>
    <w:multiLevelType w:val="hybridMultilevel"/>
    <w:tmpl w:val="FAA64DFA"/>
    <w:lvl w:ilvl="0" w:tplc="C2BC534A">
      <w:start w:val="1"/>
      <w:numFmt w:val="lowerLetter"/>
      <w:pStyle w:val="IUPACexpcommenttext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77C2F"/>
    <w:multiLevelType w:val="singleLevel"/>
    <w:tmpl w:val="D57C9A3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4F52DBF"/>
    <w:multiLevelType w:val="singleLevel"/>
    <w:tmpl w:val="45786BBC"/>
    <w:lvl w:ilvl="0">
      <w:start w:val="5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>
    <w:nsid w:val="76415AF1"/>
    <w:multiLevelType w:val="singleLevel"/>
    <w:tmpl w:val="1C4E2B06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>
    <w:nsid w:val="76DE055D"/>
    <w:multiLevelType w:val="singleLevel"/>
    <w:tmpl w:val="D3E2242E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14"/>
  </w:num>
  <w:num w:numId="11">
    <w:abstractNumId w:val="9"/>
  </w:num>
  <w:num w:numId="12">
    <w:abstractNumId w:val="16"/>
  </w:num>
  <w:num w:numId="13">
    <w:abstractNumId w:val="7"/>
  </w:num>
  <w:num w:numId="14">
    <w:abstractNumId w:val="15"/>
  </w:num>
  <w:num w:numId="15">
    <w:abstractNumId w:val="3"/>
  </w:num>
  <w:num w:numId="16">
    <w:abstractNumId w:val="8"/>
  </w:num>
  <w:num w:numId="17">
    <w:abstractNumId w:val="12"/>
  </w:num>
  <w:num w:numId="18">
    <w:abstractNumId w:val="1"/>
  </w:num>
  <w:num w:numId="19">
    <w:abstractNumId w:val="11"/>
  </w:num>
  <w:num w:numId="20">
    <w:abstractNumId w:val="17"/>
  </w:num>
  <w:num w:numId="21">
    <w:abstractNumId w:val="6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ibraries" w:val="&lt;ENLibraries&gt;&lt;Libraries&gt;&lt;item&gt;23_03_09.enl&lt;/item&gt;&lt;/Libraries&gt;&lt;/ENLibraries&gt;"/>
    <w:docVar w:name="EN_Doc_Font_List_Name" w:val="_x0001__x0001__x000f_Times New Roman"/>
    <w:docVar w:name="EN_Lib_Name_List_Name" w:val="1220_12_05.enl"/>
    <w:docVar w:name="EN_Main_Body_Style_Name" w:val="IUPAC"/>
  </w:docVars>
  <w:rsids>
    <w:rsidRoot w:val="007B4013"/>
    <w:rsid w:val="00064504"/>
    <w:rsid w:val="00096C65"/>
    <w:rsid w:val="000D2205"/>
    <w:rsid w:val="00122D9B"/>
    <w:rsid w:val="0016717C"/>
    <w:rsid w:val="001767BE"/>
    <w:rsid w:val="001835A2"/>
    <w:rsid w:val="001A28F0"/>
    <w:rsid w:val="001B1479"/>
    <w:rsid w:val="001D6205"/>
    <w:rsid w:val="001E2BCA"/>
    <w:rsid w:val="001F3E0E"/>
    <w:rsid w:val="00222EE9"/>
    <w:rsid w:val="0023650A"/>
    <w:rsid w:val="002536C1"/>
    <w:rsid w:val="0026161B"/>
    <w:rsid w:val="00275BB1"/>
    <w:rsid w:val="002774F3"/>
    <w:rsid w:val="002C7DBD"/>
    <w:rsid w:val="002D48CD"/>
    <w:rsid w:val="002D6B80"/>
    <w:rsid w:val="002E5A68"/>
    <w:rsid w:val="002E652C"/>
    <w:rsid w:val="002F5C5A"/>
    <w:rsid w:val="00304A1A"/>
    <w:rsid w:val="003912D9"/>
    <w:rsid w:val="00395672"/>
    <w:rsid w:val="003D376A"/>
    <w:rsid w:val="00430BD2"/>
    <w:rsid w:val="00465779"/>
    <w:rsid w:val="004A7EDE"/>
    <w:rsid w:val="004B6229"/>
    <w:rsid w:val="004E4292"/>
    <w:rsid w:val="005146FD"/>
    <w:rsid w:val="00522117"/>
    <w:rsid w:val="0052356A"/>
    <w:rsid w:val="00525EC6"/>
    <w:rsid w:val="00536594"/>
    <w:rsid w:val="00541707"/>
    <w:rsid w:val="0058261C"/>
    <w:rsid w:val="005A45AD"/>
    <w:rsid w:val="005C1E07"/>
    <w:rsid w:val="005C5201"/>
    <w:rsid w:val="005D1BDC"/>
    <w:rsid w:val="006E7C85"/>
    <w:rsid w:val="006E7D65"/>
    <w:rsid w:val="0070324E"/>
    <w:rsid w:val="007446F7"/>
    <w:rsid w:val="0075667B"/>
    <w:rsid w:val="007768B0"/>
    <w:rsid w:val="00793989"/>
    <w:rsid w:val="007B4013"/>
    <w:rsid w:val="007C2602"/>
    <w:rsid w:val="007F51EA"/>
    <w:rsid w:val="008102B6"/>
    <w:rsid w:val="00812E83"/>
    <w:rsid w:val="00836397"/>
    <w:rsid w:val="00876A5B"/>
    <w:rsid w:val="0087704C"/>
    <w:rsid w:val="00911F24"/>
    <w:rsid w:val="00930305"/>
    <w:rsid w:val="009679A7"/>
    <w:rsid w:val="00967E21"/>
    <w:rsid w:val="00995C18"/>
    <w:rsid w:val="009B20A1"/>
    <w:rsid w:val="009D34C5"/>
    <w:rsid w:val="00A0330E"/>
    <w:rsid w:val="00A3301D"/>
    <w:rsid w:val="00A4399E"/>
    <w:rsid w:val="00A45389"/>
    <w:rsid w:val="00A4579D"/>
    <w:rsid w:val="00A61F8D"/>
    <w:rsid w:val="00A81E2D"/>
    <w:rsid w:val="00AE1A5D"/>
    <w:rsid w:val="00AE2342"/>
    <w:rsid w:val="00AF13C5"/>
    <w:rsid w:val="00B017DC"/>
    <w:rsid w:val="00B40272"/>
    <w:rsid w:val="00B840D0"/>
    <w:rsid w:val="00BC0A62"/>
    <w:rsid w:val="00BF3262"/>
    <w:rsid w:val="00C015E9"/>
    <w:rsid w:val="00C02919"/>
    <w:rsid w:val="00C05E1E"/>
    <w:rsid w:val="00C30251"/>
    <w:rsid w:val="00C35E43"/>
    <w:rsid w:val="00C55F01"/>
    <w:rsid w:val="00C70D09"/>
    <w:rsid w:val="00CA6636"/>
    <w:rsid w:val="00CB3305"/>
    <w:rsid w:val="00D0689A"/>
    <w:rsid w:val="00D169BC"/>
    <w:rsid w:val="00D503B0"/>
    <w:rsid w:val="00DC7D11"/>
    <w:rsid w:val="00DD7C30"/>
    <w:rsid w:val="00E10AA6"/>
    <w:rsid w:val="00E22243"/>
    <w:rsid w:val="00E262BA"/>
    <w:rsid w:val="00E6016C"/>
    <w:rsid w:val="00E96C50"/>
    <w:rsid w:val="00ED096D"/>
    <w:rsid w:val="00ED1357"/>
    <w:rsid w:val="00ED3391"/>
    <w:rsid w:val="00EF5B3C"/>
    <w:rsid w:val="00F0399B"/>
    <w:rsid w:val="00F064C0"/>
    <w:rsid w:val="00F302DC"/>
    <w:rsid w:val="00F612A2"/>
    <w:rsid w:val="00F6793B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8D"/>
    <w:pPr>
      <w:spacing w:after="2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spacing w:before="240" w:after="60" w:line="480" w:lineRule="auto"/>
      <w:outlineLvl w:val="1"/>
    </w:pPr>
    <w:rPr>
      <w:rFonts w:ascii="Times New Roman" w:hAnsi="Times New Roman"/>
      <w:b/>
      <w:i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line="264" w:lineRule="auto"/>
      <w:outlineLvl w:val="3"/>
    </w:pPr>
    <w:rPr>
      <w:rFonts w:ascii="Times New Roman" w:hAnsi="Times New Roman"/>
      <w:i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outlineLvl w:val="5"/>
    </w:pPr>
    <w:rPr>
      <w:b/>
      <w:bCs/>
      <w:szCs w:val="3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444"/>
        <w:tab w:val="left" w:pos="720"/>
      </w:tabs>
      <w:suppressAutoHyphens/>
      <w:spacing w:line="240" w:lineRule="atLeast"/>
      <w:jc w:val="center"/>
      <w:outlineLvl w:val="6"/>
    </w:pPr>
    <w:rPr>
      <w:i/>
      <w:iCs/>
      <w:spacing w:val="-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Heading1"/>
    <w:next w:val="Normal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right="4309"/>
      <w:outlineLvl w:val="9"/>
    </w:pPr>
    <w:rPr>
      <w:rFonts w:ascii="Times" w:hAnsi="Times"/>
      <w:i/>
      <w:caps/>
      <w:sz w:val="24"/>
    </w:rPr>
  </w:style>
  <w:style w:type="paragraph" w:customStyle="1" w:styleId="Style1">
    <w:name w:val="Style1"/>
    <w:pPr>
      <w:spacing w:before="360" w:after="120"/>
    </w:pPr>
    <w:rPr>
      <w:b/>
      <w:noProof/>
      <w:sz w:val="28"/>
      <w:lang w:eastAsia="en-US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Justified">
    <w:name w:val="Justified"/>
    <w:basedOn w:val="Normal"/>
    <w:pPr>
      <w:spacing w:after="100" w:line="360" w:lineRule="auto"/>
    </w:pPr>
    <w:rPr>
      <w:rFonts w:ascii="Times New Roman" w:hAnsi="Times New Roman"/>
      <w:sz w:val="24"/>
      <w:lang w:val="en-US"/>
    </w:rPr>
  </w:style>
  <w:style w:type="paragraph" w:customStyle="1" w:styleId="Centeredtext">
    <w:name w:val="Centered text"/>
    <w:pPr>
      <w:spacing w:before="120" w:after="120" w:line="480" w:lineRule="exact"/>
      <w:jc w:val="center"/>
    </w:pPr>
    <w:rPr>
      <w:rFonts w:ascii="Times" w:hAnsi="Times"/>
      <w:sz w:val="24"/>
      <w:lang w:eastAsia="en-US"/>
    </w:rPr>
  </w:style>
  <w:style w:type="paragraph" w:styleId="NormalIndent">
    <w:name w:val="Normal Indent"/>
    <w:basedOn w:val="Normal"/>
    <w:semiHidden/>
    <w:pPr>
      <w:spacing w:line="480" w:lineRule="auto"/>
      <w:ind w:firstLine="720"/>
    </w:pPr>
    <w:rPr>
      <w:rFonts w:ascii="Times New Roman" w:hAnsi="Times New Roman"/>
      <w:sz w:val="24"/>
    </w:rPr>
  </w:style>
  <w:style w:type="paragraph" w:customStyle="1" w:styleId="Reactions">
    <w:name w:val="Reactions"/>
    <w:semiHidden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eastAsia="en-US"/>
    </w:rPr>
  </w:style>
  <w:style w:type="paragraph" w:customStyle="1" w:styleId="Title2">
    <w:name w:val="Title2"/>
    <w:basedOn w:val="Titl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360"/>
      <w:ind w:right="0"/>
      <w:jc w:val="center"/>
    </w:pPr>
    <w:rPr>
      <w:i w:val="0"/>
      <w:caps w:val="0"/>
      <w:sz w:val="28"/>
    </w:rPr>
  </w:style>
  <w:style w:type="character" w:customStyle="1" w:styleId="HiddenText">
    <w:name w:val="Hidden Text"/>
    <w:rPr>
      <w:rFonts w:ascii="Times" w:hAnsi="Times"/>
      <w:vanish/>
      <w:sz w:val="20"/>
    </w:rPr>
  </w:style>
  <w:style w:type="paragraph" w:customStyle="1" w:styleId="Style2">
    <w:name w:val="Style2"/>
    <w:basedOn w:val="Normal"/>
    <w:pPr>
      <w:spacing w:line="360" w:lineRule="auto"/>
    </w:pPr>
    <w:rPr>
      <w:rFonts w:ascii="Times New Roman" w:hAnsi="Times New Roman"/>
      <w:color w:val="FF0000"/>
      <w:sz w:val="24"/>
    </w:rPr>
  </w:style>
  <w:style w:type="character" w:customStyle="1" w:styleId="redtext">
    <w:name w:val="red_text"/>
    <w:rPr>
      <w:rFonts w:ascii="Times New Roman" w:hAnsi="Times New Roman"/>
      <w:color w:val="FF0000"/>
      <w:sz w:val="24"/>
    </w:rPr>
  </w:style>
  <w:style w:type="paragraph" w:customStyle="1" w:styleId="JGR-text">
    <w:name w:val="JGR-text"/>
    <w:basedOn w:val="Normal"/>
    <w:pPr>
      <w:tabs>
        <w:tab w:val="left" w:pos="215"/>
      </w:tabs>
      <w:spacing w:after="100" w:line="220" w:lineRule="exact"/>
      <w:ind w:right="4876"/>
    </w:pPr>
    <w:rPr>
      <w:rFonts w:ascii="Times New Roman" w:hAnsi="Times New Roman"/>
      <w:sz w:val="19"/>
      <w:lang w:val="en-US"/>
    </w:rPr>
  </w:style>
  <w:style w:type="paragraph" w:customStyle="1" w:styleId="JGR-HEAD1">
    <w:name w:val="JGR-HEAD1"/>
    <w:basedOn w:val="Heading1"/>
    <w:pPr>
      <w:numPr>
        <w:numId w:val="6"/>
      </w:numPr>
      <w:spacing w:before="290" w:after="120" w:line="240" w:lineRule="exact"/>
    </w:pPr>
    <w:rPr>
      <w:rFonts w:ascii="Times New Roman" w:hAnsi="Times New Roman"/>
      <w:lang w:val="en-US"/>
    </w:rPr>
  </w:style>
  <w:style w:type="paragraph" w:customStyle="1" w:styleId="JGR-EQN">
    <w:name w:val="JGR-EQN"/>
    <w:basedOn w:val="Reactions"/>
    <w:pPr>
      <w:spacing w:before="120" w:after="120" w:line="220" w:lineRule="exact"/>
      <w:ind w:right="4876"/>
    </w:pPr>
    <w:rPr>
      <w:rFonts w:ascii="Times New Roman" w:hAnsi="Times New Roman"/>
      <w:sz w:val="19"/>
      <w:lang w:val="en-US"/>
    </w:rPr>
  </w:style>
  <w:style w:type="paragraph" w:customStyle="1" w:styleId="JGR-REFs">
    <w:name w:val="JGR-REFs"/>
    <w:basedOn w:val="Normal"/>
    <w:pPr>
      <w:tabs>
        <w:tab w:val="left" w:pos="0"/>
        <w:tab w:val="left" w:pos="215"/>
        <w:tab w:val="left" w:pos="964"/>
      </w:tabs>
      <w:spacing w:after="100" w:line="180" w:lineRule="exact"/>
      <w:ind w:left="215" w:right="4876" w:hanging="215"/>
    </w:pPr>
    <w:rPr>
      <w:rFonts w:ascii="Times New Roman" w:hAnsi="Times New Roman"/>
      <w:sz w:val="17"/>
      <w:lang w:val="en-US"/>
    </w:rPr>
  </w:style>
  <w:style w:type="paragraph" w:customStyle="1" w:styleId="JGR-HEAD3">
    <w:name w:val="JGR-HEAD3"/>
    <w:basedOn w:val="Heading3"/>
    <w:pPr>
      <w:numPr>
        <w:ilvl w:val="2"/>
        <w:numId w:val="6"/>
      </w:numPr>
    </w:pPr>
    <w:rPr>
      <w:vertAlign w:val="subscript"/>
    </w:rPr>
  </w:style>
  <w:style w:type="paragraph" w:customStyle="1" w:styleId="table">
    <w:name w:val="table"/>
    <w:basedOn w:val="TOC1"/>
    <w:semiHidden/>
    <w:pPr>
      <w:tabs>
        <w:tab w:val="left" w:pos="480"/>
        <w:tab w:val="left" w:pos="567"/>
        <w:tab w:val="left" w:pos="7938"/>
      </w:tabs>
    </w:pPr>
    <w:rPr>
      <w:rFonts w:ascii="Times New Roman" w:hAnsi="Times New Roman"/>
      <w:caps/>
      <w:noProof/>
      <w:sz w:val="20"/>
      <w:szCs w:val="20"/>
    </w:rPr>
  </w:style>
  <w:style w:type="paragraph" w:styleId="TOC1">
    <w:name w:val="toc 1"/>
    <w:basedOn w:val="Normal"/>
    <w:next w:val="Normal"/>
    <w:autoRedefine/>
    <w:semiHidden/>
  </w:style>
  <w:style w:type="paragraph" w:styleId="BodyTextIndent">
    <w:name w:val="Body Text Indent"/>
    <w:basedOn w:val="Normal"/>
    <w:semiHidden/>
    <w:pPr>
      <w:tabs>
        <w:tab w:val="left" w:pos="-1440"/>
        <w:tab w:val="left" w:pos="-720"/>
        <w:tab w:val="left" w:pos="444"/>
      </w:tabs>
      <w:ind w:firstLine="444"/>
    </w:p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Cs w:val="24"/>
    </w:rPr>
  </w:style>
  <w:style w:type="paragraph" w:customStyle="1" w:styleId="NewCenturySchl">
    <w:name w:val="New Century Schl"/>
    <w:basedOn w:val="Normal"/>
    <w:semiHidden/>
    <w:pPr>
      <w:ind w:right="6"/>
      <w:jc w:val="center"/>
    </w:pPr>
    <w:rPr>
      <w:sz w:val="20"/>
      <w:szCs w:val="20"/>
    </w:rPr>
  </w:style>
  <w:style w:type="paragraph" w:customStyle="1" w:styleId="Paraniveau2">
    <w:name w:val="Para. niveau 2"/>
    <w:basedOn w:val="Normal"/>
    <w:pPr>
      <w:spacing w:before="60" w:after="60"/>
      <w:ind w:left="567" w:right="6" w:hanging="284"/>
    </w:pPr>
    <w:rPr>
      <w:rFonts w:ascii="Times" w:hAnsi="Times" w:cs="Times"/>
      <w:sz w:val="20"/>
      <w:lang w:val="en-AU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customStyle="1" w:styleId="Listenomme">
    <w:name w:val="Liste nommée"/>
    <w:basedOn w:val="Normal"/>
    <w:pPr>
      <w:tabs>
        <w:tab w:val="left" w:pos="284"/>
      </w:tabs>
      <w:ind w:left="1984" w:right="6" w:hanging="1984"/>
      <w:jc w:val="center"/>
    </w:pPr>
    <w:rPr>
      <w:rFonts w:ascii="Times" w:hAnsi="Times" w:cs="Times"/>
      <w:sz w:val="20"/>
      <w:lang w:val="en-AU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IUPACheadline">
    <w:name w:val="IUPAC head line"/>
    <w:next w:val="Normal"/>
    <w:autoRedefine/>
    <w:rsid w:val="00CA6636"/>
    <w:pPr>
      <w:spacing w:after="60"/>
    </w:pPr>
    <w:rPr>
      <w:rFonts w:cs="Times"/>
      <w:b/>
      <w:bCs/>
      <w:sz w:val="24"/>
      <w:szCs w:val="24"/>
      <w:lang w:val="en-AU" w:eastAsia="en-US"/>
    </w:rPr>
  </w:style>
  <w:style w:type="paragraph" w:customStyle="1" w:styleId="IUPACtopparagraph">
    <w:name w:val="IUPAC top paragraph"/>
    <w:basedOn w:val="Normal"/>
    <w:autoRedefine/>
    <w:pPr>
      <w:pBdr>
        <w:bottom w:val="single" w:sz="4" w:space="1" w:color="auto"/>
      </w:pBdr>
      <w:ind w:right="-7"/>
    </w:pPr>
    <w:rPr>
      <w:rFonts w:ascii="Times New Roman" w:hAnsi="Times New Roman"/>
    </w:rPr>
  </w:style>
  <w:style w:type="paragraph" w:customStyle="1" w:styleId="IUPACTitlereaction">
    <w:name w:val="IUPAC Title reaction"/>
    <w:next w:val="Normal"/>
    <w:autoRedefine/>
    <w:pPr>
      <w:spacing w:before="240" w:after="480"/>
      <w:jc w:val="center"/>
    </w:pPr>
    <w:rPr>
      <w:rFonts w:cs="Times"/>
      <w:b/>
      <w:sz w:val="24"/>
      <w:szCs w:val="24"/>
      <w:lang w:val="en-AU" w:eastAsia="en-US"/>
    </w:rPr>
  </w:style>
  <w:style w:type="paragraph" w:customStyle="1" w:styleId="IUPACTitle">
    <w:name w:val="IUPAC Title"/>
    <w:next w:val="Normal"/>
    <w:autoRedefine/>
    <w:rsid w:val="00CA6636"/>
    <w:pPr>
      <w:keepNext/>
      <w:jc w:val="center"/>
    </w:pPr>
    <w:rPr>
      <w:rFonts w:cs="Times"/>
      <w:b/>
      <w:sz w:val="24"/>
      <w:szCs w:val="24"/>
      <w:lang w:val="en-AU" w:eastAsia="en-US"/>
    </w:rPr>
  </w:style>
  <w:style w:type="paragraph" w:customStyle="1" w:styleId="IUPACcommenttext">
    <w:name w:val="IUPAC comment text"/>
    <w:autoRedefine/>
    <w:pPr>
      <w:spacing w:after="120"/>
      <w:ind w:left="425" w:hanging="425"/>
      <w:jc w:val="both"/>
    </w:pPr>
    <w:rPr>
      <w:rFonts w:cs="Times"/>
      <w:sz w:val="24"/>
      <w:szCs w:val="24"/>
      <w:lang w:val="en-AU" w:eastAsia="en-US"/>
    </w:rPr>
  </w:style>
  <w:style w:type="paragraph" w:customStyle="1" w:styleId="IUPACsubtitle">
    <w:name w:val="IUPAC subtitle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eastAsia="en-US"/>
    </w:rPr>
  </w:style>
  <w:style w:type="paragraph" w:customStyle="1" w:styleId="IUPACreference">
    <w:name w:val="IUPAC reference"/>
    <w:autoRedefine/>
    <w:pPr>
      <w:keepLines/>
      <w:spacing w:after="60"/>
      <w:ind w:left="142" w:hanging="142"/>
      <w:jc w:val="both"/>
    </w:pPr>
    <w:rPr>
      <w:rFonts w:cs="Times"/>
      <w:sz w:val="24"/>
      <w:lang w:val="en-AU" w:eastAsia="en-US"/>
    </w:rPr>
  </w:style>
  <w:style w:type="paragraph" w:customStyle="1" w:styleId="IUPACexpcommenttext">
    <w:name w:val="IUPAC exp comment text"/>
    <w:autoRedefine/>
    <w:rsid w:val="005C5201"/>
    <w:pPr>
      <w:numPr>
        <w:numId w:val="23"/>
      </w:numPr>
      <w:spacing w:after="120"/>
      <w:jc w:val="both"/>
    </w:pPr>
    <w:rPr>
      <w:rFonts w:cs="Times"/>
      <w:sz w:val="24"/>
      <w:szCs w:val="24"/>
      <w:lang w:eastAsia="en-US"/>
    </w:rPr>
  </w:style>
  <w:style w:type="paragraph" w:customStyle="1" w:styleId="IUPACpreferredcommentstext">
    <w:name w:val="IUPAC preferred comments text"/>
    <w:basedOn w:val="Normal"/>
    <w:autoRedefine/>
    <w:rsid w:val="001A28F0"/>
    <w:pPr>
      <w:spacing w:after="120"/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146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6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F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8D"/>
    <w:pPr>
      <w:spacing w:after="2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spacing w:before="240" w:after="60" w:line="480" w:lineRule="auto"/>
      <w:outlineLvl w:val="1"/>
    </w:pPr>
    <w:rPr>
      <w:rFonts w:ascii="Times New Roman" w:hAnsi="Times New Roman"/>
      <w:b/>
      <w:i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line="264" w:lineRule="auto"/>
      <w:outlineLvl w:val="3"/>
    </w:pPr>
    <w:rPr>
      <w:rFonts w:ascii="Times New Roman" w:hAnsi="Times New Roman"/>
      <w:i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outlineLvl w:val="5"/>
    </w:pPr>
    <w:rPr>
      <w:b/>
      <w:bCs/>
      <w:szCs w:val="3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444"/>
        <w:tab w:val="left" w:pos="720"/>
      </w:tabs>
      <w:suppressAutoHyphens/>
      <w:spacing w:line="240" w:lineRule="atLeast"/>
      <w:jc w:val="center"/>
      <w:outlineLvl w:val="6"/>
    </w:pPr>
    <w:rPr>
      <w:i/>
      <w:iCs/>
      <w:spacing w:val="-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Heading1"/>
    <w:next w:val="Normal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right="4309"/>
      <w:outlineLvl w:val="9"/>
    </w:pPr>
    <w:rPr>
      <w:rFonts w:ascii="Times" w:hAnsi="Times"/>
      <w:i/>
      <w:caps/>
      <w:sz w:val="24"/>
    </w:rPr>
  </w:style>
  <w:style w:type="paragraph" w:customStyle="1" w:styleId="Style1">
    <w:name w:val="Style1"/>
    <w:pPr>
      <w:spacing w:before="360" w:after="120"/>
    </w:pPr>
    <w:rPr>
      <w:b/>
      <w:noProof/>
      <w:sz w:val="28"/>
      <w:lang w:eastAsia="en-US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Justified">
    <w:name w:val="Justified"/>
    <w:basedOn w:val="Normal"/>
    <w:pPr>
      <w:spacing w:after="100" w:line="360" w:lineRule="auto"/>
    </w:pPr>
    <w:rPr>
      <w:rFonts w:ascii="Times New Roman" w:hAnsi="Times New Roman"/>
      <w:sz w:val="24"/>
      <w:lang w:val="en-US"/>
    </w:rPr>
  </w:style>
  <w:style w:type="paragraph" w:customStyle="1" w:styleId="Centeredtext">
    <w:name w:val="Centered text"/>
    <w:pPr>
      <w:spacing w:before="120" w:after="120" w:line="480" w:lineRule="exact"/>
      <w:jc w:val="center"/>
    </w:pPr>
    <w:rPr>
      <w:rFonts w:ascii="Times" w:hAnsi="Times"/>
      <w:sz w:val="24"/>
      <w:lang w:eastAsia="en-US"/>
    </w:rPr>
  </w:style>
  <w:style w:type="paragraph" w:styleId="NormalIndent">
    <w:name w:val="Normal Indent"/>
    <w:basedOn w:val="Normal"/>
    <w:semiHidden/>
    <w:pPr>
      <w:spacing w:line="480" w:lineRule="auto"/>
      <w:ind w:firstLine="720"/>
    </w:pPr>
    <w:rPr>
      <w:rFonts w:ascii="Times New Roman" w:hAnsi="Times New Roman"/>
      <w:sz w:val="24"/>
    </w:rPr>
  </w:style>
  <w:style w:type="paragraph" w:customStyle="1" w:styleId="Reactions">
    <w:name w:val="Reactions"/>
    <w:semiHidden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eastAsia="en-US"/>
    </w:rPr>
  </w:style>
  <w:style w:type="paragraph" w:customStyle="1" w:styleId="Title2">
    <w:name w:val="Title2"/>
    <w:basedOn w:val="Titl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360"/>
      <w:ind w:right="0"/>
      <w:jc w:val="center"/>
    </w:pPr>
    <w:rPr>
      <w:i w:val="0"/>
      <w:caps w:val="0"/>
      <w:sz w:val="28"/>
    </w:rPr>
  </w:style>
  <w:style w:type="character" w:customStyle="1" w:styleId="HiddenText">
    <w:name w:val="Hidden Text"/>
    <w:rPr>
      <w:rFonts w:ascii="Times" w:hAnsi="Times"/>
      <w:vanish/>
      <w:sz w:val="20"/>
    </w:rPr>
  </w:style>
  <w:style w:type="paragraph" w:customStyle="1" w:styleId="Style2">
    <w:name w:val="Style2"/>
    <w:basedOn w:val="Normal"/>
    <w:pPr>
      <w:spacing w:line="360" w:lineRule="auto"/>
    </w:pPr>
    <w:rPr>
      <w:rFonts w:ascii="Times New Roman" w:hAnsi="Times New Roman"/>
      <w:color w:val="FF0000"/>
      <w:sz w:val="24"/>
    </w:rPr>
  </w:style>
  <w:style w:type="character" w:customStyle="1" w:styleId="redtext">
    <w:name w:val="red_text"/>
    <w:rPr>
      <w:rFonts w:ascii="Times New Roman" w:hAnsi="Times New Roman"/>
      <w:color w:val="FF0000"/>
      <w:sz w:val="24"/>
    </w:rPr>
  </w:style>
  <w:style w:type="paragraph" w:customStyle="1" w:styleId="JGR-text">
    <w:name w:val="JGR-text"/>
    <w:basedOn w:val="Normal"/>
    <w:pPr>
      <w:tabs>
        <w:tab w:val="left" w:pos="215"/>
      </w:tabs>
      <w:spacing w:after="100" w:line="220" w:lineRule="exact"/>
      <w:ind w:right="4876"/>
    </w:pPr>
    <w:rPr>
      <w:rFonts w:ascii="Times New Roman" w:hAnsi="Times New Roman"/>
      <w:sz w:val="19"/>
      <w:lang w:val="en-US"/>
    </w:rPr>
  </w:style>
  <w:style w:type="paragraph" w:customStyle="1" w:styleId="JGR-HEAD1">
    <w:name w:val="JGR-HEAD1"/>
    <w:basedOn w:val="Heading1"/>
    <w:pPr>
      <w:numPr>
        <w:numId w:val="6"/>
      </w:numPr>
      <w:spacing w:before="290" w:after="120" w:line="240" w:lineRule="exact"/>
    </w:pPr>
    <w:rPr>
      <w:rFonts w:ascii="Times New Roman" w:hAnsi="Times New Roman"/>
      <w:lang w:val="en-US"/>
    </w:rPr>
  </w:style>
  <w:style w:type="paragraph" w:customStyle="1" w:styleId="JGR-EQN">
    <w:name w:val="JGR-EQN"/>
    <w:basedOn w:val="Reactions"/>
    <w:pPr>
      <w:spacing w:before="120" w:after="120" w:line="220" w:lineRule="exact"/>
      <w:ind w:right="4876"/>
    </w:pPr>
    <w:rPr>
      <w:rFonts w:ascii="Times New Roman" w:hAnsi="Times New Roman"/>
      <w:sz w:val="19"/>
      <w:lang w:val="en-US"/>
    </w:rPr>
  </w:style>
  <w:style w:type="paragraph" w:customStyle="1" w:styleId="JGR-REFs">
    <w:name w:val="JGR-REFs"/>
    <w:basedOn w:val="Normal"/>
    <w:pPr>
      <w:tabs>
        <w:tab w:val="left" w:pos="0"/>
        <w:tab w:val="left" w:pos="215"/>
        <w:tab w:val="left" w:pos="964"/>
      </w:tabs>
      <w:spacing w:after="100" w:line="180" w:lineRule="exact"/>
      <w:ind w:left="215" w:right="4876" w:hanging="215"/>
    </w:pPr>
    <w:rPr>
      <w:rFonts w:ascii="Times New Roman" w:hAnsi="Times New Roman"/>
      <w:sz w:val="17"/>
      <w:lang w:val="en-US"/>
    </w:rPr>
  </w:style>
  <w:style w:type="paragraph" w:customStyle="1" w:styleId="JGR-HEAD3">
    <w:name w:val="JGR-HEAD3"/>
    <w:basedOn w:val="Heading3"/>
    <w:pPr>
      <w:numPr>
        <w:ilvl w:val="2"/>
        <w:numId w:val="6"/>
      </w:numPr>
    </w:pPr>
    <w:rPr>
      <w:vertAlign w:val="subscript"/>
    </w:rPr>
  </w:style>
  <w:style w:type="paragraph" w:customStyle="1" w:styleId="table">
    <w:name w:val="table"/>
    <w:basedOn w:val="TOC1"/>
    <w:semiHidden/>
    <w:pPr>
      <w:tabs>
        <w:tab w:val="left" w:pos="480"/>
        <w:tab w:val="left" w:pos="567"/>
        <w:tab w:val="left" w:pos="7938"/>
      </w:tabs>
    </w:pPr>
    <w:rPr>
      <w:rFonts w:ascii="Times New Roman" w:hAnsi="Times New Roman"/>
      <w:caps/>
      <w:noProof/>
      <w:sz w:val="20"/>
      <w:szCs w:val="20"/>
    </w:rPr>
  </w:style>
  <w:style w:type="paragraph" w:styleId="TOC1">
    <w:name w:val="toc 1"/>
    <w:basedOn w:val="Normal"/>
    <w:next w:val="Normal"/>
    <w:autoRedefine/>
    <w:semiHidden/>
  </w:style>
  <w:style w:type="paragraph" w:styleId="BodyTextIndent">
    <w:name w:val="Body Text Indent"/>
    <w:basedOn w:val="Normal"/>
    <w:semiHidden/>
    <w:pPr>
      <w:tabs>
        <w:tab w:val="left" w:pos="-1440"/>
        <w:tab w:val="left" w:pos="-720"/>
        <w:tab w:val="left" w:pos="444"/>
      </w:tabs>
      <w:ind w:firstLine="444"/>
    </w:p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Cs w:val="24"/>
    </w:rPr>
  </w:style>
  <w:style w:type="paragraph" w:customStyle="1" w:styleId="NewCenturySchl">
    <w:name w:val="New Century Schl"/>
    <w:basedOn w:val="Normal"/>
    <w:semiHidden/>
    <w:pPr>
      <w:ind w:right="6"/>
      <w:jc w:val="center"/>
    </w:pPr>
    <w:rPr>
      <w:sz w:val="20"/>
      <w:szCs w:val="20"/>
    </w:rPr>
  </w:style>
  <w:style w:type="paragraph" w:customStyle="1" w:styleId="Paraniveau2">
    <w:name w:val="Para. niveau 2"/>
    <w:basedOn w:val="Normal"/>
    <w:pPr>
      <w:spacing w:before="60" w:after="60"/>
      <w:ind w:left="567" w:right="6" w:hanging="284"/>
    </w:pPr>
    <w:rPr>
      <w:rFonts w:ascii="Times" w:hAnsi="Times" w:cs="Times"/>
      <w:sz w:val="20"/>
      <w:lang w:val="en-AU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customStyle="1" w:styleId="Listenomme">
    <w:name w:val="Liste nommée"/>
    <w:basedOn w:val="Normal"/>
    <w:pPr>
      <w:tabs>
        <w:tab w:val="left" w:pos="284"/>
      </w:tabs>
      <w:ind w:left="1984" w:right="6" w:hanging="1984"/>
      <w:jc w:val="center"/>
    </w:pPr>
    <w:rPr>
      <w:rFonts w:ascii="Times" w:hAnsi="Times" w:cs="Times"/>
      <w:sz w:val="20"/>
      <w:lang w:val="en-AU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IUPACheadline">
    <w:name w:val="IUPAC head line"/>
    <w:next w:val="Normal"/>
    <w:autoRedefine/>
    <w:rsid w:val="00CA6636"/>
    <w:pPr>
      <w:spacing w:after="60"/>
    </w:pPr>
    <w:rPr>
      <w:rFonts w:cs="Times"/>
      <w:b/>
      <w:bCs/>
      <w:sz w:val="24"/>
      <w:szCs w:val="24"/>
      <w:lang w:val="en-AU" w:eastAsia="en-US"/>
    </w:rPr>
  </w:style>
  <w:style w:type="paragraph" w:customStyle="1" w:styleId="IUPACtopparagraph">
    <w:name w:val="IUPAC top paragraph"/>
    <w:basedOn w:val="Normal"/>
    <w:autoRedefine/>
    <w:pPr>
      <w:pBdr>
        <w:bottom w:val="single" w:sz="4" w:space="1" w:color="auto"/>
      </w:pBdr>
      <w:ind w:right="-7"/>
    </w:pPr>
    <w:rPr>
      <w:rFonts w:ascii="Times New Roman" w:hAnsi="Times New Roman"/>
    </w:rPr>
  </w:style>
  <w:style w:type="paragraph" w:customStyle="1" w:styleId="IUPACTitlereaction">
    <w:name w:val="IUPAC Title reaction"/>
    <w:next w:val="Normal"/>
    <w:autoRedefine/>
    <w:pPr>
      <w:spacing w:before="240" w:after="480"/>
      <w:jc w:val="center"/>
    </w:pPr>
    <w:rPr>
      <w:rFonts w:cs="Times"/>
      <w:b/>
      <w:sz w:val="24"/>
      <w:szCs w:val="24"/>
      <w:lang w:val="en-AU" w:eastAsia="en-US"/>
    </w:rPr>
  </w:style>
  <w:style w:type="paragraph" w:customStyle="1" w:styleId="IUPACTitle">
    <w:name w:val="IUPAC Title"/>
    <w:next w:val="Normal"/>
    <w:autoRedefine/>
    <w:rsid w:val="00CA6636"/>
    <w:pPr>
      <w:keepNext/>
      <w:jc w:val="center"/>
    </w:pPr>
    <w:rPr>
      <w:rFonts w:cs="Times"/>
      <w:b/>
      <w:sz w:val="24"/>
      <w:szCs w:val="24"/>
      <w:lang w:val="en-AU" w:eastAsia="en-US"/>
    </w:rPr>
  </w:style>
  <w:style w:type="paragraph" w:customStyle="1" w:styleId="IUPACcommenttext">
    <w:name w:val="IUPAC comment text"/>
    <w:autoRedefine/>
    <w:pPr>
      <w:spacing w:after="120"/>
      <w:ind w:left="425" w:hanging="425"/>
      <w:jc w:val="both"/>
    </w:pPr>
    <w:rPr>
      <w:rFonts w:cs="Times"/>
      <w:sz w:val="24"/>
      <w:szCs w:val="24"/>
      <w:lang w:val="en-AU" w:eastAsia="en-US"/>
    </w:rPr>
  </w:style>
  <w:style w:type="paragraph" w:customStyle="1" w:styleId="IUPACsubtitle">
    <w:name w:val="IUPAC subtitle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eastAsia="en-US"/>
    </w:rPr>
  </w:style>
  <w:style w:type="paragraph" w:customStyle="1" w:styleId="IUPACreference">
    <w:name w:val="IUPAC reference"/>
    <w:autoRedefine/>
    <w:pPr>
      <w:keepLines/>
      <w:spacing w:after="60"/>
      <w:ind w:left="142" w:hanging="142"/>
      <w:jc w:val="both"/>
    </w:pPr>
    <w:rPr>
      <w:rFonts w:cs="Times"/>
      <w:sz w:val="24"/>
      <w:lang w:val="en-AU" w:eastAsia="en-US"/>
    </w:rPr>
  </w:style>
  <w:style w:type="paragraph" w:customStyle="1" w:styleId="IUPACexpcommenttext">
    <w:name w:val="IUPAC exp comment text"/>
    <w:autoRedefine/>
    <w:rsid w:val="005C5201"/>
    <w:pPr>
      <w:numPr>
        <w:numId w:val="23"/>
      </w:numPr>
      <w:spacing w:after="120"/>
      <w:jc w:val="both"/>
    </w:pPr>
    <w:rPr>
      <w:rFonts w:cs="Times"/>
      <w:sz w:val="24"/>
      <w:szCs w:val="24"/>
      <w:lang w:eastAsia="en-US"/>
    </w:rPr>
  </w:style>
  <w:style w:type="paragraph" w:customStyle="1" w:styleId="IUPACpreferredcommentstext">
    <w:name w:val="IUPAC preferred comments text"/>
    <w:basedOn w:val="Normal"/>
    <w:autoRedefine/>
    <w:rsid w:val="001A28F0"/>
    <w:pPr>
      <w:spacing w:after="120"/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146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6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F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upac.pole-ether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i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69C25C5-1614-40E9-96DE-46607C7B5B2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 + CH3OH  HCl + CH2OH</vt:lpstr>
    </vt:vector>
  </TitlesOfParts>
  <Company>MPI-Chemie</Company>
  <LinksUpToDate>false</LinksUpToDate>
  <CharactersWithSpaces>6156</CharactersWithSpaces>
  <SharedDoc>false</SharedDoc>
  <HLinks>
    <vt:vector size="12" baseType="variant">
      <vt:variant>
        <vt:i4>4390923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 + CH3OH  HCl + CH2OH</dc:title>
  <dc:creator>John Crowley</dc:creator>
  <cp:lastModifiedBy>Crowley</cp:lastModifiedBy>
  <cp:revision>51</cp:revision>
  <cp:lastPrinted>2009-06-10T10:59:00Z</cp:lastPrinted>
  <dcterms:created xsi:type="dcterms:W3CDTF">2016-05-31T07:39:00Z</dcterms:created>
  <dcterms:modified xsi:type="dcterms:W3CDTF">2016-12-01T08:07:00Z</dcterms:modified>
</cp:coreProperties>
</file>