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85" w:rsidRPr="00CA6636" w:rsidRDefault="006E7C85" w:rsidP="00CA6636">
      <w:pPr>
        <w:pStyle w:val="IUPACheadline"/>
      </w:pPr>
      <w:r w:rsidRPr="00CA6636">
        <w:t>IUPAC Task Group on Atmospheric Chemical Kinetic Data Evaluation</w:t>
      </w:r>
      <w:r w:rsidR="00CA6636">
        <w:t xml:space="preserve"> - </w:t>
      </w:r>
      <w:r w:rsidR="002F5C5A" w:rsidRPr="00CA6636">
        <w:t xml:space="preserve">Data Sheet </w:t>
      </w:r>
      <w:r w:rsidR="0049018F">
        <w:t>Het_Org2</w:t>
      </w:r>
    </w:p>
    <w:p w:rsidR="00F253A0" w:rsidRPr="00BF3262" w:rsidRDefault="00F253A0" w:rsidP="00F253A0">
      <w:pPr>
        <w:suppressAutoHyphens/>
        <w:spacing w:after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BF3262">
        <w:rPr>
          <w:rFonts w:ascii="Times New Roman" w:eastAsia="Times New Roman" w:hAnsi="Times New Roman"/>
          <w:sz w:val="24"/>
          <w:szCs w:val="20"/>
          <w:lang w:eastAsia="zh-CN"/>
        </w:rPr>
        <w:t>Data sheets can be downloaded for personal use only and must not be retransmitted or disseminated either electronically or in hard copy without explicit written permission.</w:t>
      </w:r>
    </w:p>
    <w:p w:rsidR="00F253A0" w:rsidRPr="00BF3262" w:rsidRDefault="00F253A0" w:rsidP="00F253A0">
      <w:pPr>
        <w:suppressAutoHyphens/>
        <w:spacing w:after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BF3262">
        <w:rPr>
          <w:rFonts w:ascii="Times New Roman" w:eastAsia="Times New Roman" w:hAnsi="Times New Roman"/>
          <w:sz w:val="24"/>
          <w:szCs w:val="20"/>
          <w:lang w:eastAsia="zh-CN"/>
        </w:rPr>
        <w:t xml:space="preserve">The citation for this data sheet is: </w:t>
      </w:r>
      <w:r w:rsidRPr="00BF3262">
        <w:rPr>
          <w:rFonts w:ascii="Times New Roman" w:eastAsia="Times New Roman" w:hAnsi="Times New Roman"/>
          <w:sz w:val="24"/>
          <w:szCs w:val="20"/>
          <w:lang w:val="en-US" w:eastAsia="zh-CN"/>
        </w:rPr>
        <w:t xml:space="preserve">IUPAC Task Group on Atmospheric chemical Kinetic Data Evaluation, </w:t>
      </w:r>
      <w:hyperlink r:id="rId7" w:history="1">
        <w:r w:rsidRPr="00BF3262">
          <w:rPr>
            <w:rStyle w:val="Hyperlink"/>
            <w:rFonts w:ascii="Times New Roman" w:eastAsia="Times New Roman" w:hAnsi="Times New Roman"/>
            <w:sz w:val="24"/>
            <w:szCs w:val="20"/>
            <w:lang w:eastAsia="zh-CN"/>
          </w:rPr>
          <w:t>http://iupac.pole-ether.fr</w:t>
        </w:r>
      </w:hyperlink>
      <w:r w:rsidRPr="00BF3262">
        <w:rPr>
          <w:rFonts w:ascii="Times New Roman" w:eastAsia="Times New Roman" w:hAnsi="Times New Roman"/>
          <w:sz w:val="24"/>
          <w:szCs w:val="20"/>
          <w:u w:val="single"/>
          <w:lang w:val="en-US" w:eastAsia="zh-CN"/>
        </w:rPr>
        <w:t>.</w:t>
      </w:r>
    </w:p>
    <w:p w:rsidR="006E7C85" w:rsidRPr="006E7C85" w:rsidRDefault="006E7C85" w:rsidP="006E7C85">
      <w:pPr>
        <w:suppressAutoHyphens/>
        <w:spacing w:after="0"/>
        <w:rPr>
          <w:rFonts w:ascii="Times New Roman" w:eastAsia="Times New Roman" w:hAnsi="Times New Roman"/>
          <w:sz w:val="24"/>
          <w:szCs w:val="20"/>
          <w:lang w:eastAsia="zh-CN"/>
        </w:rPr>
      </w:pPr>
      <w:r w:rsidRPr="006E7C85">
        <w:rPr>
          <w:rFonts w:ascii="Times New Roman" w:eastAsia="Times New Roman" w:hAnsi="Times New Roman"/>
          <w:sz w:val="24"/>
          <w:szCs w:val="20"/>
          <w:lang w:eastAsia="zh-CN"/>
        </w:rPr>
        <w:t xml:space="preserve">This data sheet evaluated: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June 2016</w:t>
      </w:r>
      <w:r w:rsidRPr="006E7C85">
        <w:rPr>
          <w:rFonts w:ascii="Times New Roman" w:eastAsia="Times New Roman" w:hAnsi="Times New Roman"/>
          <w:sz w:val="24"/>
          <w:szCs w:val="20"/>
          <w:lang w:eastAsia="zh-CN"/>
        </w:rPr>
        <w:t xml:space="preserve">; last change in preferred values: </w:t>
      </w:r>
      <w:r>
        <w:rPr>
          <w:rFonts w:ascii="Times New Roman" w:eastAsia="Times New Roman" w:hAnsi="Times New Roman"/>
          <w:sz w:val="24"/>
          <w:szCs w:val="20"/>
          <w:lang w:eastAsia="zh-CN"/>
        </w:rPr>
        <w:t>June 2016</w:t>
      </w:r>
      <w:r w:rsidRPr="006E7C85">
        <w:rPr>
          <w:rFonts w:ascii="Times New Roman" w:eastAsia="Times New Roman" w:hAnsi="Times New Roman"/>
          <w:sz w:val="24"/>
          <w:szCs w:val="20"/>
          <w:lang w:eastAsia="zh-CN"/>
        </w:rPr>
        <w:t>.</w:t>
      </w:r>
    </w:p>
    <w:p w:rsidR="006E7C85" w:rsidRPr="006E7C85" w:rsidRDefault="005A45AD" w:rsidP="006E7C85">
      <w:pPr>
        <w:suppressAutoHyphens/>
        <w:spacing w:after="0"/>
        <w:ind w:left="346" w:right="470"/>
        <w:jc w:val="left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173355</wp:posOffset>
                </wp:positionV>
                <wp:extent cx="755967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5pt,13.65pt" to="542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gQmAIAAHcFAAAOAAAAZHJzL2Uyb0RvYy54bWysVF1v2yAUfZ+0/4B4d20nTpxYdabWcfbS&#10;bZXaac8EcIyGwQMap5r233chidd0L9PURLL4uBzOvedcrj8cOon23FihVYnTqwQjrqhmQu1K/PVx&#10;Ey0wso4oRqRWvMTP3OIPq/fvroe+4BPdasm4QQCibDH0JW6d64s4trTlHbFXuucKNhttOuJganYx&#10;M2QA9E7GkySZx4M2rDeacmthdX3cxKuA3zScui9NY7lDssTAzYWvCd+t/8ara1LsDOlbQU80yH+w&#10;6IhQcOkItSaOoCcj/oLqBDXa6sZdUd3FumkE5SEHyCZNXmXz0JKeh1ygOLYfy2TfDpZ+3t8bJBho&#10;h5EiHUh0JxRHma/M0NsCAip1b3xu9KAe+jtNv1ukdNUSteOB4eNzD8dSfyK+OOIntgf87fBJM4gh&#10;T06HMh0a03lIKAA6BDWeRzX4wSEKi/lstpznM4zoeS8mxflgb6z7yHWH/KDEEjgHYLK/s84TIcU5&#10;xN+j9EZIGcSWCg0lXk7nYAdKwHL2RzhptRTMR/l4a3bbShq0J9434RfSg52XYZ1w4F4puhIvxiBS&#10;tJywWrFwnSNCHsdASSoPzoMvjzxhdnAwDOuQePDMz2WyrBf1IouyybyOsmS9jm42VRbNN2k+W0/X&#10;VbVOf3nWaVa0gjGuPPGzf9Ps3/xx6qSj80YHj6WKL9FDTYHsJdObzSzJs+kiyvPZNMqmdRLdLjZV&#10;dFOl83le31a39Sumdcjevg3ZsZSelX4CNR5aNiAmvCmms+UEXM0E9PskP+qDiNzBQ0Wdwcho9024&#10;NnjYu89jXAi/SPz/JPyIfizEWUM/G1U45fanVKD5Wd/QGr4bjn211ez53pxbBro7HDq9RP75eDmH&#10;8cv3cvUbAAD//wMAUEsDBBQABgAIAAAAIQB4xp1C4QAAAAsBAAAPAAAAZHJzL2Rvd25yZXYueG1s&#10;TI/BSgMxEIbvgu8QRvAibbLttpZ1s0UE8SBIW4viLd2Mm8XNZEnS7vr2pnjQ48x8/PP95Xq0HTuh&#10;D60jCdlUAEOqnW6pkbB/fZysgIWoSKvOEUr4xgDr6vKiVIV2A23xtIsNSyEUCiXBxNgXnIfaoFVh&#10;6nqkdPt03qqYRt9w7dWQwm3HZ0IsuVUtpQ9G9fhgsP7aHa2EFz+0Ic7zfIPx4+3p+d1sbuxWyuur&#10;8f4OWMQx/sFw1k/qUCWngzuSDqyTMMnEIkushNntHNiZEKtFDuzwu+FVyf93qH4AAAD//wMAUEsB&#10;Ai0AFAAGAAgAAAAhALaDOJL+AAAA4QEAABMAAAAAAAAAAAAAAAAAAAAAAFtDb250ZW50X1R5cGVz&#10;XS54bWxQSwECLQAUAAYACAAAACEAOP0h/9YAAACUAQAACwAAAAAAAAAAAAAAAAAvAQAAX3JlbHMv&#10;LnJlbHNQSwECLQAUAAYACAAAACEAZkWYEJgCAAB3BQAADgAAAAAAAAAAAAAAAAAuAgAAZHJzL2Uy&#10;b0RvYy54bWxQSwECLQAUAAYACAAAACEAeMadQuEAAAALAQAADwAAAAAAAAAAAAAAAADyBAAAZHJz&#10;L2Rvd25yZXYueG1sUEsFBgAAAAAEAAQA8wAAAAAGAAAAAA==&#10;" strokeweight=".26mm">
                <v:stroke joinstyle="miter" endcap="square"/>
              </v:line>
            </w:pict>
          </mc:Fallback>
        </mc:AlternateContent>
      </w:r>
    </w:p>
    <w:p w:rsidR="006E7C85" w:rsidRPr="006E7C85" w:rsidRDefault="006E7C85" w:rsidP="006E7C85">
      <w:pPr>
        <w:tabs>
          <w:tab w:val="center" w:pos="4680"/>
        </w:tabs>
        <w:suppressAutoHyphens/>
        <w:spacing w:after="0"/>
        <w:jc w:val="left"/>
        <w:rPr>
          <w:rFonts w:ascii="Times New Roman" w:eastAsia="Times New Roman" w:hAnsi="Times New Roman"/>
          <w:b/>
          <w:sz w:val="24"/>
          <w:szCs w:val="20"/>
          <w:lang w:eastAsia="zh-CN"/>
        </w:rPr>
      </w:pPr>
    </w:p>
    <w:p w:rsidR="006E7C85" w:rsidRPr="006E7C85" w:rsidRDefault="006E7C85" w:rsidP="006E7C85">
      <w:pPr>
        <w:tabs>
          <w:tab w:val="center" w:pos="4680"/>
        </w:tabs>
        <w:suppressAutoHyphens/>
        <w:spacing w:after="0"/>
        <w:ind w:left="113" w:right="113"/>
        <w:jc w:val="center"/>
        <w:rPr>
          <w:rFonts w:ascii="Times New Roman" w:eastAsia="Times New Roman" w:hAnsi="Times New Roman"/>
          <w:sz w:val="24"/>
          <w:szCs w:val="20"/>
          <w:lang w:eastAsia="zh-CN"/>
        </w:rPr>
      </w:pPr>
      <w:r w:rsidRPr="006E7C85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 NO</w:t>
      </w:r>
      <w:r>
        <w:rPr>
          <w:rFonts w:ascii="Times New Roman" w:eastAsia="Times New Roman" w:hAnsi="Times New Roman"/>
          <w:b/>
          <w:sz w:val="24"/>
          <w:szCs w:val="20"/>
          <w:vertAlign w:val="subscript"/>
          <w:lang w:eastAsia="zh-CN"/>
        </w:rPr>
        <w:t>3</w:t>
      </w:r>
      <w:r w:rsidRPr="006E7C85">
        <w:rPr>
          <w:rFonts w:ascii="Times New Roman" w:eastAsia="Times New Roman" w:hAnsi="Times New Roman"/>
          <w:b/>
          <w:sz w:val="24"/>
          <w:szCs w:val="20"/>
          <w:lang w:eastAsia="zh-CN"/>
        </w:rPr>
        <w:t xml:space="preserve"> + </w:t>
      </w:r>
      <w:r w:rsidR="00304A1A">
        <w:rPr>
          <w:rFonts w:ascii="Times New Roman" w:eastAsia="Times New Roman" w:hAnsi="Times New Roman"/>
          <w:b/>
          <w:sz w:val="24"/>
          <w:szCs w:val="20"/>
          <w:lang w:eastAsia="zh-CN"/>
        </w:rPr>
        <w:t>alk</w:t>
      </w:r>
      <w:r w:rsidR="00DB36D6">
        <w:rPr>
          <w:rFonts w:ascii="Times New Roman" w:eastAsia="Times New Roman" w:hAnsi="Times New Roman"/>
          <w:b/>
          <w:sz w:val="24"/>
          <w:szCs w:val="20"/>
          <w:lang w:eastAsia="zh-CN"/>
        </w:rPr>
        <w:t>e</w:t>
      </w:r>
      <w:r w:rsidR="00304A1A">
        <w:rPr>
          <w:rFonts w:ascii="Times New Roman" w:eastAsia="Times New Roman" w:hAnsi="Times New Roman"/>
          <w:b/>
          <w:sz w:val="24"/>
          <w:szCs w:val="20"/>
          <w:lang w:eastAsia="zh-CN"/>
        </w:rPr>
        <w:t>nes</w:t>
      </w:r>
    </w:p>
    <w:p w:rsidR="006E7C85" w:rsidRPr="006E7C85" w:rsidRDefault="006E7C85" w:rsidP="006E7C85">
      <w:pPr>
        <w:keepNext/>
        <w:suppressAutoHyphens/>
        <w:spacing w:before="240" w:after="60" w:line="360" w:lineRule="auto"/>
        <w:ind w:left="113" w:right="113"/>
        <w:jc w:val="center"/>
        <w:outlineLvl w:val="0"/>
        <w:rPr>
          <w:rFonts w:ascii="Times New Roman" w:eastAsia="Times New Roman" w:hAnsi="Times New Roman"/>
          <w:b/>
          <w:i/>
          <w:spacing w:val="-2"/>
          <w:kern w:val="1"/>
          <w:sz w:val="20"/>
          <w:szCs w:val="20"/>
          <w:lang w:eastAsia="zh-CN"/>
        </w:rPr>
      </w:pPr>
      <w:r w:rsidRPr="006E7C85">
        <w:rPr>
          <w:rFonts w:ascii="Times New Roman" w:eastAsia="Times New Roman" w:hAnsi="Times New Roman"/>
          <w:b/>
          <w:kern w:val="1"/>
          <w:sz w:val="24"/>
          <w:szCs w:val="20"/>
          <w:lang w:eastAsia="zh-CN"/>
        </w:rPr>
        <w:t>Experimental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2551"/>
        <w:gridCol w:w="1843"/>
      </w:tblGrid>
      <w:tr w:rsidR="002F5C5A" w:rsidRPr="00A61F8D" w:rsidTr="00BD5752">
        <w:tc>
          <w:tcPr>
            <w:tcW w:w="4077" w:type="dxa"/>
            <w:tcBorders>
              <w:top w:val="double" w:sz="4" w:space="0" w:color="auto"/>
              <w:bottom w:val="single" w:sz="4" w:space="0" w:color="auto"/>
            </w:tcBorders>
          </w:tcPr>
          <w:p w:rsidR="002F5C5A" w:rsidRPr="00A61F8D" w:rsidRDefault="002F5C5A" w:rsidP="006E7C85">
            <w:pPr>
              <w:suppressAutoHyphens/>
              <w:spacing w:before="120" w:after="120" w:line="264" w:lineRule="auto"/>
              <w:ind w:left="113" w:right="113"/>
              <w:rPr>
                <w:spacing w:val="-2"/>
                <w:sz w:val="20"/>
              </w:rPr>
            </w:pPr>
            <w:r w:rsidRPr="00A61F8D">
              <w:rPr>
                <w:i/>
                <w:spacing w:val="-2"/>
                <w:sz w:val="20"/>
              </w:rPr>
              <w:t>Parameter</w:t>
            </w:r>
            <w:r w:rsidRPr="00A61F8D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2F5C5A" w:rsidRPr="00A61F8D" w:rsidRDefault="002F5C5A" w:rsidP="006E7C85">
            <w:pPr>
              <w:suppressAutoHyphens/>
              <w:spacing w:before="120" w:after="120" w:line="264" w:lineRule="auto"/>
              <w:ind w:left="113" w:right="113"/>
              <w:rPr>
                <w:spacing w:val="-2"/>
                <w:sz w:val="20"/>
              </w:rPr>
            </w:pPr>
            <w:r w:rsidRPr="00A61F8D">
              <w:rPr>
                <w:spacing w:val="-2"/>
                <w:sz w:val="20"/>
              </w:rPr>
              <w:t>Temp./K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2F5C5A" w:rsidRPr="00A61F8D" w:rsidRDefault="002F5C5A" w:rsidP="006E7C85">
            <w:pPr>
              <w:pStyle w:val="Heading2"/>
              <w:spacing w:before="120" w:after="120"/>
              <w:ind w:left="113" w:right="113"/>
              <w:rPr>
                <w:b w:val="0"/>
                <w:i w:val="0"/>
                <w:sz w:val="20"/>
              </w:rPr>
            </w:pPr>
            <w:r w:rsidRPr="00A61F8D">
              <w:rPr>
                <w:b w:val="0"/>
                <w:i w:val="0"/>
                <w:sz w:val="20"/>
              </w:rPr>
              <w:t>Reference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2F5C5A" w:rsidRPr="00A61F8D" w:rsidRDefault="002F5C5A" w:rsidP="006E7C85">
            <w:pPr>
              <w:suppressAutoHyphens/>
              <w:spacing w:before="120" w:after="120" w:line="264" w:lineRule="auto"/>
              <w:ind w:left="113" w:right="113"/>
              <w:rPr>
                <w:spacing w:val="-2"/>
                <w:sz w:val="20"/>
              </w:rPr>
            </w:pPr>
            <w:r w:rsidRPr="00A61F8D">
              <w:rPr>
                <w:spacing w:val="-2"/>
                <w:sz w:val="20"/>
              </w:rPr>
              <w:t>Technique/ Comments</w:t>
            </w:r>
          </w:p>
        </w:tc>
      </w:tr>
      <w:tr w:rsidR="002F5C5A" w:rsidRPr="00A61F8D" w:rsidTr="00BD5752">
        <w:tc>
          <w:tcPr>
            <w:tcW w:w="4077" w:type="dxa"/>
          </w:tcPr>
          <w:p w:rsidR="002F5C5A" w:rsidRPr="00A61F8D" w:rsidRDefault="002F5C5A" w:rsidP="006E7C8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line="264" w:lineRule="auto"/>
              <w:ind w:left="113" w:right="113"/>
              <w:rPr>
                <w:caps w:val="0"/>
                <w:noProof w:val="0"/>
                <w:spacing w:val="-2"/>
              </w:rPr>
            </w:pPr>
            <w:r w:rsidRPr="00A61F8D">
              <w:rPr>
                <w:spacing w:val="-2"/>
              </w:rPr>
              <w:sym w:font="Symbol" w:char="F067"/>
            </w:r>
            <w:r w:rsidR="007C3F00" w:rsidRPr="007C3F00">
              <w:rPr>
                <w:spacing w:val="-2"/>
                <w:vertAlign w:val="subscript"/>
              </w:rPr>
              <w:t>0</w:t>
            </w:r>
            <w:r w:rsidRPr="00A61F8D">
              <w:rPr>
                <w:spacing w:val="-2"/>
              </w:rPr>
              <w:t xml:space="preserve">  </w:t>
            </w:r>
          </w:p>
        </w:tc>
        <w:tc>
          <w:tcPr>
            <w:tcW w:w="851" w:type="dxa"/>
          </w:tcPr>
          <w:p w:rsidR="002F5C5A" w:rsidRPr="00A61F8D" w:rsidRDefault="002F5C5A" w:rsidP="006E7C85">
            <w:pPr>
              <w:spacing w:line="264" w:lineRule="auto"/>
              <w:ind w:left="113" w:right="113"/>
              <w:rPr>
                <w:sz w:val="20"/>
              </w:rPr>
            </w:pPr>
          </w:p>
        </w:tc>
        <w:tc>
          <w:tcPr>
            <w:tcW w:w="2551" w:type="dxa"/>
          </w:tcPr>
          <w:p w:rsidR="002F5C5A" w:rsidRPr="00A61F8D" w:rsidRDefault="002F5C5A" w:rsidP="006E7C8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line="264" w:lineRule="auto"/>
              <w:ind w:left="113" w:right="113"/>
              <w:rPr>
                <w:caps w:val="0"/>
              </w:rPr>
            </w:pPr>
          </w:p>
        </w:tc>
        <w:tc>
          <w:tcPr>
            <w:tcW w:w="1843" w:type="dxa"/>
          </w:tcPr>
          <w:p w:rsidR="002F5C5A" w:rsidRPr="00A61F8D" w:rsidRDefault="002F5C5A" w:rsidP="006E7C85">
            <w:pPr>
              <w:spacing w:line="264" w:lineRule="auto"/>
              <w:ind w:left="113" w:right="113"/>
              <w:rPr>
                <w:sz w:val="20"/>
              </w:rPr>
            </w:pPr>
          </w:p>
        </w:tc>
      </w:tr>
      <w:tr w:rsidR="002F5C5A" w:rsidRPr="00A61F8D" w:rsidTr="00BD5752">
        <w:tc>
          <w:tcPr>
            <w:tcW w:w="4077" w:type="dxa"/>
          </w:tcPr>
          <w:p w:rsidR="002F5C5A" w:rsidRPr="00BD5752" w:rsidRDefault="00BD5752" w:rsidP="00BD5752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spacing w:val="-2"/>
              </w:rPr>
            </w:pPr>
            <w:r>
              <w:rPr>
                <w:caps w:val="0"/>
              </w:rPr>
              <w:t>(</w:t>
            </w:r>
            <w:r w:rsidRPr="00BD5752">
              <w:rPr>
                <w:caps w:val="0"/>
              </w:rPr>
              <w:t xml:space="preserve">1.6 </w:t>
            </w:r>
            <w:r w:rsidRPr="00BD5752">
              <w:rPr>
                <w:caps w:val="0"/>
              </w:rPr>
              <w:sym w:font="Symbol" w:char="F0B1"/>
            </w:r>
            <w:r w:rsidRPr="00BD5752">
              <w:rPr>
                <w:caps w:val="0"/>
              </w:rPr>
              <w:t xml:space="preserve">  0.3</w:t>
            </w:r>
            <w:r>
              <w:rPr>
                <w:caps w:val="0"/>
              </w:rPr>
              <w:t xml:space="preserve">) </w:t>
            </w:r>
            <w:r w:rsidRPr="00BD5752">
              <w:rPr>
                <w:noProof w:val="0"/>
              </w:rPr>
              <w:sym w:font="Symbol" w:char="F0B4"/>
            </w:r>
            <w:r>
              <w:rPr>
                <w:noProof w:val="0"/>
              </w:rPr>
              <w:t xml:space="preserve"> 10</w:t>
            </w:r>
            <w:r w:rsidRPr="00BD5752">
              <w:rPr>
                <w:noProof w:val="0"/>
                <w:vertAlign w:val="superscript"/>
              </w:rPr>
              <w:t>-3</w:t>
            </w:r>
            <w:r w:rsidRPr="00BD5752">
              <w:rPr>
                <w:caps w:val="0"/>
              </w:rPr>
              <w:t xml:space="preserve"> (1-</w:t>
            </w:r>
            <w:r>
              <w:rPr>
                <w:caps w:val="0"/>
              </w:rPr>
              <w:t>octadecene</w:t>
            </w:r>
            <w:r w:rsidRPr="00BD5752">
              <w:rPr>
                <w:caps w:val="0"/>
              </w:rPr>
              <w:t>)</w:t>
            </w:r>
          </w:p>
        </w:tc>
        <w:tc>
          <w:tcPr>
            <w:tcW w:w="851" w:type="dxa"/>
          </w:tcPr>
          <w:p w:rsidR="002F5C5A" w:rsidRPr="00BD5752" w:rsidRDefault="00BD5752" w:rsidP="004A7EDE">
            <w:pPr>
              <w:spacing w:after="0"/>
              <w:ind w:left="-108" w:right="-108" w:firstLine="221"/>
              <w:rPr>
                <w:sz w:val="20"/>
              </w:rPr>
            </w:pPr>
            <w:r>
              <w:rPr>
                <w:sz w:val="20"/>
              </w:rPr>
              <w:t xml:space="preserve">293 </w:t>
            </w:r>
          </w:p>
        </w:tc>
        <w:tc>
          <w:tcPr>
            <w:tcW w:w="2551" w:type="dxa"/>
          </w:tcPr>
          <w:p w:rsidR="002F5C5A" w:rsidRPr="00BD5752" w:rsidRDefault="00BD5752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  <w:r>
              <w:rPr>
                <w:caps w:val="0"/>
              </w:rPr>
              <w:t>Moise et al., 2002</w:t>
            </w:r>
          </w:p>
        </w:tc>
        <w:tc>
          <w:tcPr>
            <w:tcW w:w="1843" w:type="dxa"/>
          </w:tcPr>
          <w:p w:rsidR="002F5C5A" w:rsidRPr="00BD5752" w:rsidRDefault="00BD5752" w:rsidP="006E7C85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CWFT-AS</w:t>
            </w:r>
            <w:r w:rsidR="00073CAB">
              <w:rPr>
                <w:sz w:val="20"/>
              </w:rPr>
              <w:t xml:space="preserve"> (a)</w:t>
            </w:r>
          </w:p>
        </w:tc>
      </w:tr>
      <w:tr w:rsidR="00C02919" w:rsidRPr="00A61F8D" w:rsidTr="00BD5752">
        <w:tc>
          <w:tcPr>
            <w:tcW w:w="4077" w:type="dxa"/>
          </w:tcPr>
          <w:p w:rsidR="00C02919" w:rsidRPr="00BD5752" w:rsidRDefault="00BD5752" w:rsidP="00BD5752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spacing w:val="-2"/>
              </w:rPr>
            </w:pPr>
            <w:r>
              <w:rPr>
                <w:caps w:val="0"/>
              </w:rPr>
              <w:t>(</w:t>
            </w:r>
            <w:r w:rsidRPr="00BD5752">
              <w:rPr>
                <w:caps w:val="0"/>
              </w:rPr>
              <w:t xml:space="preserve">2.3 </w:t>
            </w:r>
            <w:r w:rsidRPr="00BD5752">
              <w:rPr>
                <w:caps w:val="0"/>
              </w:rPr>
              <w:sym w:font="Symbol" w:char="F0B1"/>
            </w:r>
            <w:r w:rsidRPr="00BD5752">
              <w:rPr>
                <w:caps w:val="0"/>
              </w:rPr>
              <w:t xml:space="preserve">  0.9</w:t>
            </w:r>
            <w:r>
              <w:rPr>
                <w:caps w:val="0"/>
              </w:rPr>
              <w:t>)</w:t>
            </w:r>
            <w:r w:rsidRPr="00BD5752">
              <w:rPr>
                <w:caps w:val="0"/>
              </w:rPr>
              <w:t xml:space="preserve"> </w:t>
            </w:r>
            <w:r w:rsidRPr="00BD5752">
              <w:rPr>
                <w:noProof w:val="0"/>
              </w:rPr>
              <w:sym w:font="Symbol" w:char="F0B4"/>
            </w:r>
            <w:r>
              <w:rPr>
                <w:noProof w:val="0"/>
              </w:rPr>
              <w:t xml:space="preserve"> 10</w:t>
            </w:r>
            <w:r w:rsidRPr="00BD5752">
              <w:rPr>
                <w:noProof w:val="0"/>
                <w:vertAlign w:val="superscript"/>
              </w:rPr>
              <w:t>-3</w:t>
            </w:r>
            <w:r w:rsidRPr="00BD5752">
              <w:rPr>
                <w:caps w:val="0"/>
              </w:rPr>
              <w:t xml:space="preserve"> (1-</w:t>
            </w:r>
            <w:r>
              <w:rPr>
                <w:caps w:val="0"/>
              </w:rPr>
              <w:t>hexadecene</w:t>
            </w:r>
            <w:r w:rsidRPr="00BD5752">
              <w:rPr>
                <w:caps w:val="0"/>
              </w:rPr>
              <w:t>)</w:t>
            </w:r>
          </w:p>
        </w:tc>
        <w:tc>
          <w:tcPr>
            <w:tcW w:w="851" w:type="dxa"/>
          </w:tcPr>
          <w:p w:rsidR="00C02919" w:rsidRPr="00BD5752" w:rsidRDefault="00BD5752" w:rsidP="006E7C85">
            <w:pPr>
              <w:spacing w:after="0"/>
              <w:ind w:left="113" w:right="113"/>
              <w:rPr>
                <w:sz w:val="20"/>
              </w:rPr>
            </w:pPr>
            <w:r w:rsidRPr="00BD5752">
              <w:rPr>
                <w:sz w:val="20"/>
              </w:rPr>
              <w:t xml:space="preserve">277 </w:t>
            </w:r>
          </w:p>
        </w:tc>
        <w:tc>
          <w:tcPr>
            <w:tcW w:w="2551" w:type="dxa"/>
          </w:tcPr>
          <w:p w:rsidR="00C02919" w:rsidRPr="00BD5752" w:rsidRDefault="00C02919" w:rsidP="00C02919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</w:p>
        </w:tc>
        <w:tc>
          <w:tcPr>
            <w:tcW w:w="1843" w:type="dxa"/>
          </w:tcPr>
          <w:p w:rsidR="00C02919" w:rsidRPr="00BD5752" w:rsidRDefault="00C02919" w:rsidP="006E7C85">
            <w:pPr>
              <w:spacing w:after="0"/>
              <w:ind w:left="113" w:right="113"/>
              <w:rPr>
                <w:sz w:val="20"/>
              </w:rPr>
            </w:pPr>
          </w:p>
        </w:tc>
      </w:tr>
      <w:tr w:rsidR="009D34C5" w:rsidRPr="00A61F8D" w:rsidTr="00BD5752">
        <w:tc>
          <w:tcPr>
            <w:tcW w:w="4077" w:type="dxa"/>
          </w:tcPr>
          <w:p w:rsidR="009D34C5" w:rsidRPr="00BD5752" w:rsidRDefault="00BD5752" w:rsidP="00BD5752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spacing w:val="-2"/>
              </w:rPr>
            </w:pPr>
            <w:r>
              <w:t>(</w:t>
            </w:r>
            <w:r w:rsidRPr="003F41C6">
              <w:t xml:space="preserve">5.8 </w:t>
            </w:r>
            <w:r w:rsidRPr="003F41C6">
              <w:sym w:font="Symbol" w:char="F0B1"/>
            </w:r>
            <w:r w:rsidRPr="003F41C6">
              <w:t xml:space="preserve">  2.0</w:t>
            </w:r>
            <w:r>
              <w:t>)</w:t>
            </w:r>
            <w:r w:rsidRPr="003F41C6">
              <w:t xml:space="preserve"> </w:t>
            </w:r>
            <w:r w:rsidRPr="00BD5752">
              <w:rPr>
                <w:noProof w:val="0"/>
              </w:rPr>
              <w:sym w:font="Symbol" w:char="F0B4"/>
            </w:r>
            <w:r>
              <w:rPr>
                <w:noProof w:val="0"/>
              </w:rPr>
              <w:t xml:space="preserve"> 10</w:t>
            </w:r>
            <w:r w:rsidRPr="00BD5752">
              <w:rPr>
                <w:noProof w:val="0"/>
                <w:vertAlign w:val="superscript"/>
              </w:rPr>
              <w:t>-3</w:t>
            </w:r>
            <w:r w:rsidRPr="003F41C6">
              <w:t xml:space="preserve"> (</w:t>
            </w:r>
            <w:r w:rsidRPr="00BD5752">
              <w:rPr>
                <w:caps w:val="0"/>
              </w:rPr>
              <w:t>7-tetradecene)</w:t>
            </w:r>
          </w:p>
        </w:tc>
        <w:tc>
          <w:tcPr>
            <w:tcW w:w="851" w:type="dxa"/>
          </w:tcPr>
          <w:p w:rsidR="009D34C5" w:rsidRPr="00BD5752" w:rsidRDefault="00BD5752" w:rsidP="006E7C85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246 </w:t>
            </w:r>
          </w:p>
        </w:tc>
        <w:tc>
          <w:tcPr>
            <w:tcW w:w="2551" w:type="dxa"/>
          </w:tcPr>
          <w:p w:rsidR="009D34C5" w:rsidRPr="00BD5752" w:rsidRDefault="009D34C5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</w:p>
        </w:tc>
        <w:tc>
          <w:tcPr>
            <w:tcW w:w="1843" w:type="dxa"/>
          </w:tcPr>
          <w:p w:rsidR="009D34C5" w:rsidRPr="00BD5752" w:rsidRDefault="009D34C5" w:rsidP="006E7C85">
            <w:pPr>
              <w:spacing w:after="0"/>
              <w:ind w:left="113" w:right="113"/>
              <w:rPr>
                <w:sz w:val="20"/>
              </w:rPr>
            </w:pPr>
          </w:p>
        </w:tc>
      </w:tr>
      <w:tr w:rsidR="002F5C5A" w:rsidRPr="00A61F8D" w:rsidTr="00BD5752">
        <w:tc>
          <w:tcPr>
            <w:tcW w:w="4077" w:type="dxa"/>
          </w:tcPr>
          <w:p w:rsidR="002F5C5A" w:rsidRPr="00BD5752" w:rsidRDefault="00BD5752" w:rsidP="00BD5752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ind w:right="113"/>
              <w:rPr>
                <w:caps w:val="0"/>
                <w:noProof w:val="0"/>
                <w:spacing w:val="-2"/>
              </w:rPr>
            </w:pPr>
            <m:oMath>
              <m:r>
                <w:rPr>
                  <w:rFonts w:ascii="Cambria Math" w:hAnsi="Cambria Math"/>
                  <w:caps w:val="0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caps w:val="0"/>
                    </w:rPr>
                  </m:ctrlPr>
                </m:sSubSupPr>
                <m:e>
                  <m:r>
                    <w:rPr>
                      <w:rFonts w:ascii="Cambria Math" w:hAnsi="Cambria Math"/>
                      <w:caps w:val="0"/>
                    </w:rPr>
                    <m:t>34</m:t>
                  </m:r>
                </m:e>
                <m:sub>
                  <m:r>
                    <w:rPr>
                      <w:rFonts w:ascii="Cambria Math" w:hAnsi="Cambria Math"/>
                      <w:caps w:val="0"/>
                    </w:rPr>
                    <m:t>-18</m:t>
                  </m:r>
                </m:sub>
                <m:sup>
                  <m:r>
                    <w:rPr>
                      <w:rFonts w:ascii="Cambria Math" w:hAnsi="Cambria Math"/>
                      <w:caps w:val="0"/>
                    </w:rPr>
                    <m:t>+ 44</m:t>
                  </m:r>
                </m:sup>
              </m:sSubSup>
            </m:oMath>
            <w:r w:rsidRPr="00BD5752">
              <w:rPr>
                <w:caps w:val="0"/>
                <w:noProof w:val="0"/>
              </w:rPr>
              <w:t>)</w:t>
            </w:r>
            <w:r>
              <w:rPr>
                <w:caps w:val="0"/>
                <w:noProof w:val="0"/>
              </w:rPr>
              <w:t xml:space="preserve"> </w:t>
            </w:r>
            <w:r w:rsidRPr="00BD5752">
              <w:rPr>
                <w:caps w:val="0"/>
                <w:noProof w:val="0"/>
              </w:rPr>
              <w:sym w:font="Symbol" w:char="F0B4"/>
            </w:r>
            <w:r>
              <w:rPr>
                <w:caps w:val="0"/>
                <w:noProof w:val="0"/>
              </w:rPr>
              <w:t xml:space="preserve"> </w:t>
            </w:r>
            <w:r w:rsidRPr="00BD5752">
              <w:rPr>
                <w:caps w:val="0"/>
                <w:noProof w:val="0"/>
              </w:rPr>
              <w:t>10</w:t>
            </w:r>
            <w:r w:rsidRPr="00BD5752">
              <w:rPr>
                <w:caps w:val="0"/>
                <w:noProof w:val="0"/>
                <w:vertAlign w:val="superscript"/>
              </w:rPr>
              <w:t>-3</w:t>
            </w:r>
            <w:r>
              <w:rPr>
                <w:caps w:val="0"/>
                <w:noProof w:val="0"/>
                <w:vertAlign w:val="superscript"/>
              </w:rPr>
              <w:t xml:space="preserve"> </w:t>
            </w:r>
            <w:r w:rsidRPr="00BD5752">
              <w:rPr>
                <w:caps w:val="0"/>
                <w:noProof w:val="0"/>
              </w:rPr>
              <w:t>(</w:t>
            </w:r>
            <w:r>
              <w:rPr>
                <w:caps w:val="0"/>
              </w:rPr>
              <w:t>u</w:t>
            </w:r>
            <w:r w:rsidRPr="00BD5752">
              <w:rPr>
                <w:caps w:val="0"/>
              </w:rPr>
              <w:t>ndec-10-ene-1-thiol</w:t>
            </w:r>
            <w:r w:rsidRPr="00BD5752">
              <w:rPr>
                <w:caps w:val="0"/>
                <w:noProof w:val="0"/>
              </w:rPr>
              <w:t>, SAM)</w:t>
            </w:r>
          </w:p>
        </w:tc>
        <w:tc>
          <w:tcPr>
            <w:tcW w:w="851" w:type="dxa"/>
          </w:tcPr>
          <w:p w:rsidR="002F5C5A" w:rsidRPr="00BD5752" w:rsidRDefault="00BD5752" w:rsidP="006E7C85">
            <w:pPr>
              <w:spacing w:after="0"/>
              <w:ind w:left="113" w:right="113"/>
              <w:rPr>
                <w:sz w:val="20"/>
              </w:rPr>
            </w:pPr>
            <w:r w:rsidRPr="00BD5752">
              <w:rPr>
                <w:sz w:val="20"/>
              </w:rPr>
              <w:t xml:space="preserve">298 </w:t>
            </w:r>
          </w:p>
        </w:tc>
        <w:tc>
          <w:tcPr>
            <w:tcW w:w="2551" w:type="dxa"/>
          </w:tcPr>
          <w:p w:rsidR="002F5C5A" w:rsidRPr="00BD5752" w:rsidRDefault="00BD5752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  <w:r w:rsidRPr="00BD5752">
              <w:rPr>
                <w:caps w:val="0"/>
              </w:rPr>
              <w:t>Gross and Bertram, 2009</w:t>
            </w:r>
          </w:p>
        </w:tc>
        <w:tc>
          <w:tcPr>
            <w:tcW w:w="1843" w:type="dxa"/>
          </w:tcPr>
          <w:p w:rsidR="002F5C5A" w:rsidRPr="00BD5752" w:rsidRDefault="00BD5752" w:rsidP="006E7C85">
            <w:pPr>
              <w:spacing w:after="0"/>
              <w:ind w:left="113" w:right="113"/>
              <w:rPr>
                <w:sz w:val="20"/>
              </w:rPr>
            </w:pPr>
            <w:r w:rsidRPr="00BD5752">
              <w:rPr>
                <w:sz w:val="20"/>
              </w:rPr>
              <w:t>CWFT</w:t>
            </w:r>
            <w:r w:rsidR="0046782B">
              <w:rPr>
                <w:sz w:val="20"/>
              </w:rPr>
              <w:t>-CIMS</w:t>
            </w:r>
            <w:r w:rsidR="00073CAB">
              <w:rPr>
                <w:sz w:val="20"/>
              </w:rPr>
              <w:t xml:space="preserve"> (b)</w:t>
            </w:r>
          </w:p>
        </w:tc>
      </w:tr>
      <w:tr w:rsidR="002F5C5A" w:rsidRPr="00A61F8D" w:rsidTr="00BD5752">
        <w:tc>
          <w:tcPr>
            <w:tcW w:w="4077" w:type="dxa"/>
          </w:tcPr>
          <w:p w:rsidR="002F5C5A" w:rsidRPr="00BD5752" w:rsidRDefault="00BD5752" w:rsidP="006E7C8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  <w:noProof w:val="0"/>
                <w:spacing w:val="-2"/>
              </w:rPr>
            </w:pPr>
            <w:r>
              <w:rPr>
                <w:rFonts w:ascii="Calibri" w:hAnsi="Calibri"/>
                <w:noProof w:val="0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140</m:t>
                  </m:r>
                </m:e>
                <m:sub>
                  <m:r>
                    <w:rPr>
                      <w:rFonts w:ascii="Cambria Math" w:hAnsi="Cambria Math"/>
                    </w:rPr>
                    <m:t>-50</m:t>
                  </m:r>
                </m:sub>
                <m:sup>
                  <m:r>
                    <w:rPr>
                      <w:rFonts w:ascii="Cambria Math" w:hAnsi="Cambria Math"/>
                    </w:rPr>
                    <m:t>+ 860</m:t>
                  </m:r>
                </m:sup>
              </m:sSubSup>
            </m:oMath>
            <w:r>
              <w:rPr>
                <w:noProof w:val="0"/>
              </w:rPr>
              <w:t>)</w:t>
            </w:r>
            <w:r w:rsidRPr="00BD5752">
              <w:rPr>
                <w:caps w:val="0"/>
                <w:noProof w:val="0"/>
              </w:rPr>
              <w:t xml:space="preserve"> </w:t>
            </w:r>
            <w:r>
              <w:rPr>
                <w:caps w:val="0"/>
                <w:noProof w:val="0"/>
              </w:rPr>
              <w:t xml:space="preserve"> </w:t>
            </w:r>
            <w:r w:rsidRPr="00BD5752">
              <w:rPr>
                <w:caps w:val="0"/>
                <w:noProof w:val="0"/>
              </w:rPr>
              <w:sym w:font="Symbol" w:char="F0B4"/>
            </w:r>
            <w:r>
              <w:rPr>
                <w:caps w:val="0"/>
                <w:noProof w:val="0"/>
              </w:rPr>
              <w:t xml:space="preserve"> </w:t>
            </w:r>
            <w:r w:rsidRPr="00BD5752">
              <w:rPr>
                <w:caps w:val="0"/>
                <w:noProof w:val="0"/>
              </w:rPr>
              <w:t>10</w:t>
            </w:r>
            <w:r w:rsidRPr="00BD5752">
              <w:rPr>
                <w:caps w:val="0"/>
                <w:noProof w:val="0"/>
                <w:vertAlign w:val="superscript"/>
              </w:rPr>
              <w:t>-3</w:t>
            </w:r>
            <w:r>
              <w:rPr>
                <w:caps w:val="0"/>
                <w:noProof w:val="0"/>
              </w:rPr>
              <w:t xml:space="preserve"> (methyl </w:t>
            </w:r>
            <w:proofErr w:type="spellStart"/>
            <w:r>
              <w:rPr>
                <w:caps w:val="0"/>
                <w:noProof w:val="0"/>
              </w:rPr>
              <w:t>oleate</w:t>
            </w:r>
            <w:proofErr w:type="spellEnd"/>
            <w:r>
              <w:rPr>
                <w:caps w:val="0"/>
                <w:noProof w:val="0"/>
              </w:rPr>
              <w:t>)</w:t>
            </w:r>
          </w:p>
        </w:tc>
        <w:tc>
          <w:tcPr>
            <w:tcW w:w="851" w:type="dxa"/>
          </w:tcPr>
          <w:p w:rsidR="002F5C5A" w:rsidRPr="00BD5752" w:rsidRDefault="00BD5752" w:rsidP="004E4292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2551" w:type="dxa"/>
          </w:tcPr>
          <w:p w:rsidR="002F5C5A" w:rsidRPr="00BD5752" w:rsidRDefault="00BD5752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  <w:r>
              <w:rPr>
                <w:caps w:val="0"/>
              </w:rPr>
              <w:t>Xiao and Bertram, 2011</w:t>
            </w:r>
          </w:p>
        </w:tc>
        <w:tc>
          <w:tcPr>
            <w:tcW w:w="1843" w:type="dxa"/>
          </w:tcPr>
          <w:p w:rsidR="002F5C5A" w:rsidRPr="00BD5752" w:rsidRDefault="00BD5752" w:rsidP="004E4292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CWFT</w:t>
            </w:r>
            <w:r w:rsidR="0046782B">
              <w:rPr>
                <w:sz w:val="20"/>
              </w:rPr>
              <w:t>-CIMS</w:t>
            </w:r>
            <w:r w:rsidR="00073CAB">
              <w:rPr>
                <w:sz w:val="20"/>
              </w:rPr>
              <w:t xml:space="preserve"> (c)</w:t>
            </w:r>
          </w:p>
        </w:tc>
      </w:tr>
      <w:tr w:rsidR="00BD5752" w:rsidRPr="00A61F8D" w:rsidTr="00BD5752">
        <w:tc>
          <w:tcPr>
            <w:tcW w:w="4077" w:type="dxa"/>
          </w:tcPr>
          <w:p w:rsidR="00BD5752" w:rsidRPr="00BD5752" w:rsidRDefault="00920CC5" w:rsidP="00920CC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  <w:noProof w:val="0"/>
                <w:spacing w:val="-2"/>
              </w:rPr>
            </w:pPr>
            <w:r>
              <w:rPr>
                <w:caps w:val="0"/>
              </w:rPr>
              <w:t>(180</w:t>
            </w:r>
            <w:r w:rsidRPr="00BD5752">
              <w:rPr>
                <w:caps w:val="0"/>
              </w:rPr>
              <w:t xml:space="preserve"> </w:t>
            </w:r>
            <w:r w:rsidRPr="00BD5752">
              <w:rPr>
                <w:caps w:val="0"/>
              </w:rPr>
              <w:sym w:font="Symbol" w:char="F0B1"/>
            </w:r>
            <w:r>
              <w:rPr>
                <w:caps w:val="0"/>
              </w:rPr>
              <w:t xml:space="preserve">  </w:t>
            </w:r>
            <w:r w:rsidRPr="00BD5752">
              <w:rPr>
                <w:caps w:val="0"/>
              </w:rPr>
              <w:t>3</w:t>
            </w:r>
            <w:r>
              <w:rPr>
                <w:caps w:val="0"/>
              </w:rPr>
              <w:t xml:space="preserve">0) </w:t>
            </w:r>
            <w:r w:rsidRPr="00BD5752">
              <w:rPr>
                <w:noProof w:val="0"/>
              </w:rPr>
              <w:sym w:font="Symbol" w:char="F0B4"/>
            </w:r>
            <w:r>
              <w:rPr>
                <w:noProof w:val="0"/>
              </w:rPr>
              <w:t xml:space="preserve"> 10</w:t>
            </w:r>
            <w:r w:rsidRPr="00BD5752">
              <w:rPr>
                <w:noProof w:val="0"/>
                <w:vertAlign w:val="superscript"/>
              </w:rPr>
              <w:t>-3</w:t>
            </w:r>
            <w:r w:rsidRPr="00BD5752">
              <w:rPr>
                <w:caps w:val="0"/>
              </w:rPr>
              <w:t xml:space="preserve"> (</w:t>
            </w:r>
            <w:r>
              <w:rPr>
                <w:caps w:val="0"/>
              </w:rPr>
              <w:t>squalene</w:t>
            </w:r>
            <w:r w:rsidRPr="00BD5752">
              <w:rPr>
                <w:caps w:val="0"/>
              </w:rPr>
              <w:t>)</w:t>
            </w:r>
          </w:p>
        </w:tc>
        <w:tc>
          <w:tcPr>
            <w:tcW w:w="851" w:type="dxa"/>
          </w:tcPr>
          <w:p w:rsidR="00BD5752" w:rsidRPr="00BD5752" w:rsidRDefault="00920CC5" w:rsidP="004E4292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2551" w:type="dxa"/>
          </w:tcPr>
          <w:p w:rsidR="00BD5752" w:rsidRPr="00BD5752" w:rsidRDefault="00920CC5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  <w:r>
              <w:rPr>
                <w:caps w:val="0"/>
              </w:rPr>
              <w:t>Lee et al., 2013</w:t>
            </w:r>
          </w:p>
        </w:tc>
        <w:tc>
          <w:tcPr>
            <w:tcW w:w="1843" w:type="dxa"/>
          </w:tcPr>
          <w:p w:rsidR="00BD5752" w:rsidRPr="00BD5752" w:rsidRDefault="00920CC5" w:rsidP="004E4292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AFT-AMS</w:t>
            </w:r>
            <w:r w:rsidR="00073CAB">
              <w:rPr>
                <w:sz w:val="20"/>
              </w:rPr>
              <w:t xml:space="preserve"> (d)</w:t>
            </w:r>
          </w:p>
        </w:tc>
      </w:tr>
      <w:tr w:rsidR="00BD5752" w:rsidRPr="00A61F8D" w:rsidTr="00BD5752">
        <w:tc>
          <w:tcPr>
            <w:tcW w:w="4077" w:type="dxa"/>
          </w:tcPr>
          <w:p w:rsidR="00BD5752" w:rsidRPr="00BD5752" w:rsidRDefault="00920CC5" w:rsidP="006E7C8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  <w:noProof w:val="0"/>
                <w:spacing w:val="-2"/>
              </w:rPr>
            </w:pPr>
            <w:r>
              <w:rPr>
                <w:caps w:val="0"/>
                <w:noProof w:val="0"/>
                <w:spacing w:val="-2"/>
              </w:rPr>
              <w:t xml:space="preserve">(2.3 </w:t>
            </w:r>
            <w:r w:rsidRPr="00920CC5">
              <w:rPr>
                <w:caps w:val="0"/>
                <w:noProof w:val="0"/>
                <w:spacing w:val="-2"/>
              </w:rPr>
              <w:sym w:font="Symbol" w:char="F0B1"/>
            </w:r>
            <w:r>
              <w:rPr>
                <w:caps w:val="0"/>
                <w:noProof w:val="0"/>
                <w:spacing w:val="-2"/>
              </w:rPr>
              <w:t xml:space="preserve"> 0.5) </w:t>
            </w:r>
            <w:r w:rsidRPr="00920CC5">
              <w:rPr>
                <w:caps w:val="0"/>
                <w:noProof w:val="0"/>
                <w:spacing w:val="-2"/>
              </w:rPr>
              <w:sym w:font="Symbol" w:char="F0B4"/>
            </w:r>
            <w:r>
              <w:rPr>
                <w:caps w:val="0"/>
                <w:noProof w:val="0"/>
                <w:spacing w:val="-2"/>
              </w:rPr>
              <w:t xml:space="preserve"> 10</w:t>
            </w:r>
            <w:r w:rsidRPr="00920CC5">
              <w:rPr>
                <w:caps w:val="0"/>
                <w:noProof w:val="0"/>
                <w:spacing w:val="-2"/>
                <w:vertAlign w:val="superscript"/>
              </w:rPr>
              <w:t>-3</w:t>
            </w:r>
            <w:r>
              <w:rPr>
                <w:caps w:val="0"/>
                <w:noProof w:val="0"/>
                <w:spacing w:val="-2"/>
              </w:rPr>
              <w:t xml:space="preserve"> (17-octadecene-1-thiol, SAM)</w:t>
            </w:r>
          </w:p>
        </w:tc>
        <w:tc>
          <w:tcPr>
            <w:tcW w:w="851" w:type="dxa"/>
          </w:tcPr>
          <w:p w:rsidR="00BD5752" w:rsidRPr="00BD5752" w:rsidRDefault="00E24F23" w:rsidP="004E4292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RT</w:t>
            </w:r>
          </w:p>
        </w:tc>
        <w:tc>
          <w:tcPr>
            <w:tcW w:w="2551" w:type="dxa"/>
          </w:tcPr>
          <w:p w:rsidR="00BD5752" w:rsidRPr="00BD5752" w:rsidRDefault="00920CC5" w:rsidP="004A7EDE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</w:rPr>
            </w:pPr>
            <w:r>
              <w:rPr>
                <w:caps w:val="0"/>
              </w:rPr>
              <w:t>Zhang et al., 2014</w:t>
            </w:r>
          </w:p>
        </w:tc>
        <w:tc>
          <w:tcPr>
            <w:tcW w:w="1843" w:type="dxa"/>
          </w:tcPr>
          <w:p w:rsidR="00BD5752" w:rsidRPr="00BD5752" w:rsidRDefault="00644F2D" w:rsidP="00644F2D">
            <w:pPr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>RAIRS</w:t>
            </w:r>
            <w:r w:rsidR="00704734">
              <w:rPr>
                <w:sz w:val="20"/>
              </w:rPr>
              <w:t xml:space="preserve"> </w:t>
            </w:r>
            <w:r w:rsidR="00073CAB">
              <w:rPr>
                <w:sz w:val="20"/>
              </w:rPr>
              <w:t>(e)</w:t>
            </w:r>
          </w:p>
        </w:tc>
      </w:tr>
      <w:tr w:rsidR="002F5C5A" w:rsidRPr="00A61F8D" w:rsidTr="00BD5752">
        <w:tc>
          <w:tcPr>
            <w:tcW w:w="4077" w:type="dxa"/>
            <w:tcBorders>
              <w:bottom w:val="single" w:sz="4" w:space="0" w:color="auto"/>
            </w:tcBorders>
          </w:tcPr>
          <w:p w:rsidR="002F5C5A" w:rsidRPr="00BD5752" w:rsidRDefault="002F5C5A" w:rsidP="001D6205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after="0"/>
              <w:rPr>
                <w:caps w:val="0"/>
                <w:noProof w:val="0"/>
                <w:spacing w:val="-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5C5A" w:rsidRPr="00BD5752" w:rsidRDefault="002F5C5A">
            <w:pPr>
              <w:spacing w:line="264" w:lineRule="auto"/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F5C5A" w:rsidRPr="00BD5752" w:rsidRDefault="002F5C5A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pacing w:line="264" w:lineRule="auto"/>
              <w:rPr>
                <w:cap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5C5A" w:rsidRPr="00BD5752" w:rsidRDefault="002F5C5A">
            <w:pPr>
              <w:spacing w:line="264" w:lineRule="auto"/>
              <w:rPr>
                <w:sz w:val="20"/>
              </w:rPr>
            </w:pPr>
          </w:p>
        </w:tc>
      </w:tr>
    </w:tbl>
    <w:p w:rsidR="008A6545" w:rsidRDefault="008A6545" w:rsidP="008A65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RT = room temperature, </w:t>
      </w:r>
      <w:r w:rsidR="00920CC5" w:rsidRPr="00920CC5">
        <w:rPr>
          <w:rFonts w:ascii="Times New Roman" w:hAnsi="Times New Roman"/>
          <w:spacing w:val="-2"/>
        </w:rPr>
        <w:t>squalene</w:t>
      </w:r>
      <w:r w:rsidR="0046782B" w:rsidRPr="00920CC5">
        <w:rPr>
          <w:rFonts w:ascii="Times New Roman" w:hAnsi="Times New Roman"/>
        </w:rPr>
        <w:t xml:space="preserve"> is </w:t>
      </w:r>
      <w:r w:rsidR="00920CC5" w:rsidRPr="00920CC5">
        <w:rPr>
          <w:rFonts w:ascii="Times New Roman" w:hAnsi="Times New Roman"/>
        </w:rPr>
        <w:t>C</w:t>
      </w:r>
      <w:r w:rsidR="00920CC5" w:rsidRPr="00920CC5">
        <w:rPr>
          <w:rFonts w:ascii="Times New Roman" w:hAnsi="Times New Roman"/>
          <w:vertAlign w:val="subscript"/>
        </w:rPr>
        <w:t>30</w:t>
      </w:r>
      <w:r w:rsidR="00920CC5" w:rsidRPr="00920CC5">
        <w:rPr>
          <w:rFonts w:ascii="Times New Roman" w:hAnsi="Times New Roman"/>
        </w:rPr>
        <w:t>H</w:t>
      </w:r>
      <w:r w:rsidR="00920CC5" w:rsidRPr="00920CC5">
        <w:rPr>
          <w:rFonts w:ascii="Times New Roman" w:hAnsi="Times New Roman"/>
          <w:vertAlign w:val="subscript"/>
        </w:rPr>
        <w:t xml:space="preserve">62 </w:t>
      </w:r>
      <w:r w:rsidR="00920CC5" w:rsidRPr="00920CC5">
        <w:rPr>
          <w:rFonts w:ascii="Times New Roman" w:hAnsi="Times New Roman"/>
        </w:rPr>
        <w:t>(2</w:t>
      </w:r>
      <w:proofErr w:type="gramStart"/>
      <w:r w:rsidR="00920CC5" w:rsidRPr="00920CC5">
        <w:rPr>
          <w:rFonts w:ascii="Times New Roman" w:hAnsi="Times New Roman"/>
        </w:rPr>
        <w:t>,6,10,15,19,23</w:t>
      </w:r>
      <w:proofErr w:type="gramEnd"/>
      <w:r w:rsidR="00920CC5" w:rsidRPr="00920CC5">
        <w:rPr>
          <w:rFonts w:ascii="Times New Roman" w:hAnsi="Times New Roman"/>
        </w:rPr>
        <w:t>-</w:t>
      </w:r>
      <w:r w:rsidR="00920CC5" w:rsidRPr="008A6545">
        <w:rPr>
          <w:rFonts w:ascii="Times New Roman" w:hAnsi="Times New Roman"/>
        </w:rPr>
        <w:t>Hexamethyltetracosane)</w:t>
      </w:r>
      <w:r>
        <w:rPr>
          <w:rFonts w:ascii="Times New Roman" w:hAnsi="Times New Roman"/>
        </w:rPr>
        <w:t xml:space="preserve">, </w:t>
      </w:r>
    </w:p>
    <w:p w:rsidR="00CA6636" w:rsidRPr="008A6545" w:rsidRDefault="008A6545" w:rsidP="00CA6636">
      <w:pPr>
        <w:rPr>
          <w:rFonts w:ascii="Times New Roman" w:hAnsi="Times New Roman"/>
          <w:lang w:val="en-AU"/>
        </w:rPr>
      </w:pPr>
      <w:proofErr w:type="gramStart"/>
      <w:r>
        <w:rPr>
          <w:rFonts w:ascii="Times New Roman" w:hAnsi="Times New Roman"/>
        </w:rPr>
        <w:t>m</w:t>
      </w:r>
      <w:r w:rsidRPr="008A6545">
        <w:rPr>
          <w:rFonts w:ascii="Times New Roman" w:hAnsi="Times New Roman"/>
        </w:rPr>
        <w:t>ethyl</w:t>
      </w:r>
      <w:proofErr w:type="gramEnd"/>
      <w:r w:rsidRPr="008A6545">
        <w:rPr>
          <w:rFonts w:ascii="Times New Roman" w:hAnsi="Times New Roman"/>
        </w:rPr>
        <w:t xml:space="preserve"> </w:t>
      </w:r>
      <w:proofErr w:type="spellStart"/>
      <w:r w:rsidRPr="008A6545">
        <w:rPr>
          <w:rFonts w:ascii="Times New Roman" w:hAnsi="Times New Roman"/>
        </w:rPr>
        <w:t>oleate</w:t>
      </w:r>
      <w:proofErr w:type="spellEnd"/>
      <w:r w:rsidRPr="008A6545">
        <w:rPr>
          <w:rFonts w:ascii="Times New Roman" w:hAnsi="Times New Roman"/>
        </w:rPr>
        <w:t xml:space="preserve"> is CH</w:t>
      </w:r>
      <w:r w:rsidRPr="008A6545">
        <w:rPr>
          <w:rFonts w:ascii="Times New Roman" w:hAnsi="Times New Roman"/>
          <w:vertAlign w:val="subscript"/>
        </w:rPr>
        <w:t>3</w:t>
      </w:r>
      <w:r w:rsidRPr="008A6545">
        <w:rPr>
          <w:rFonts w:ascii="Times New Roman" w:hAnsi="Times New Roman"/>
        </w:rPr>
        <w:t>(CH</w:t>
      </w:r>
      <w:r w:rsidRPr="008A6545">
        <w:rPr>
          <w:rFonts w:ascii="Times New Roman" w:hAnsi="Times New Roman"/>
          <w:vertAlign w:val="subscript"/>
        </w:rPr>
        <w:t>2</w:t>
      </w:r>
      <w:r w:rsidRPr="008A6545">
        <w:rPr>
          <w:rFonts w:ascii="Times New Roman" w:hAnsi="Times New Roman"/>
        </w:rPr>
        <w:t>)</w:t>
      </w:r>
      <w:r w:rsidRPr="008A6545">
        <w:rPr>
          <w:rFonts w:ascii="Times New Roman" w:hAnsi="Times New Roman"/>
          <w:vertAlign w:val="subscript"/>
        </w:rPr>
        <w:t>7</w:t>
      </w:r>
      <w:r w:rsidRPr="008A6545">
        <w:rPr>
          <w:rFonts w:ascii="Times New Roman" w:hAnsi="Times New Roman"/>
        </w:rPr>
        <w:t>CH=CH(CH</w:t>
      </w:r>
      <w:r w:rsidRPr="008A6545">
        <w:rPr>
          <w:rFonts w:ascii="Times New Roman" w:hAnsi="Times New Roman"/>
          <w:vertAlign w:val="subscript"/>
        </w:rPr>
        <w:t>2</w:t>
      </w:r>
      <w:r w:rsidRPr="008A6545">
        <w:rPr>
          <w:rFonts w:ascii="Times New Roman" w:hAnsi="Times New Roman"/>
        </w:rPr>
        <w:t>)</w:t>
      </w:r>
      <w:r w:rsidRPr="008A6545">
        <w:rPr>
          <w:rFonts w:ascii="Times New Roman" w:hAnsi="Times New Roman"/>
          <w:vertAlign w:val="subscript"/>
        </w:rPr>
        <w:t>7</w:t>
      </w:r>
      <w:r w:rsidRPr="008A6545">
        <w:rPr>
          <w:rFonts w:ascii="Times New Roman" w:hAnsi="Times New Roman"/>
        </w:rPr>
        <w:t>CO</w:t>
      </w:r>
      <w:r w:rsidRPr="008A6545">
        <w:rPr>
          <w:rFonts w:ascii="Times New Roman" w:hAnsi="Times New Roman"/>
          <w:vertAlign w:val="subscript"/>
        </w:rPr>
        <w:t>2</w:t>
      </w:r>
      <w:r w:rsidRPr="008A6545">
        <w:rPr>
          <w:rFonts w:ascii="Times New Roman" w:hAnsi="Times New Roman"/>
        </w:rPr>
        <w:t>CH</w:t>
      </w:r>
      <w:r w:rsidRPr="008A6545">
        <w:rPr>
          <w:rFonts w:ascii="Times New Roman" w:hAnsi="Times New Roman"/>
          <w:vertAlign w:val="subscript"/>
        </w:rPr>
        <w:t>3</w:t>
      </w:r>
    </w:p>
    <w:p w:rsidR="00CA6636" w:rsidRDefault="002F5C5A" w:rsidP="00CA6636">
      <w:pPr>
        <w:pStyle w:val="IUPACTitle"/>
      </w:pPr>
      <w:r>
        <w:t>Comments</w:t>
      </w:r>
    </w:p>
    <w:p w:rsidR="002F5C5A" w:rsidRPr="00C02919" w:rsidRDefault="002F5C5A" w:rsidP="00C417AC">
      <w:pPr>
        <w:pStyle w:val="IUPACexpcommenttext"/>
      </w:pPr>
      <w:proofErr w:type="gramStart"/>
      <w:r>
        <w:t>Rotating</w:t>
      </w:r>
      <w:r w:rsidR="007F51EA">
        <w:t>,</w:t>
      </w:r>
      <w:proofErr w:type="gramEnd"/>
      <w:r>
        <w:t xml:space="preserve"> coated wall flow tube. NO</w:t>
      </w:r>
      <w:r>
        <w:rPr>
          <w:vertAlign w:val="subscript"/>
        </w:rPr>
        <w:t>3</w:t>
      </w:r>
      <w:r>
        <w:t xml:space="preserve"> (5-50 </w:t>
      </w:r>
      <w:r>
        <w:sym w:font="Symbol" w:char="F0B4"/>
      </w:r>
      <w:r>
        <w:t xml:space="preserve"> 10</w:t>
      </w:r>
      <w:r>
        <w:rPr>
          <w:vertAlign w:val="superscript"/>
        </w:rPr>
        <w:t>11</w:t>
      </w:r>
      <w:r>
        <w:t xml:space="preserve"> molecule cm</w:t>
      </w:r>
      <w:r>
        <w:rPr>
          <w:vertAlign w:val="superscript"/>
        </w:rPr>
        <w:noBreakHyphen/>
        <w:t>3</w:t>
      </w:r>
      <w:r>
        <w:t>) was formed by the thermal dissociation of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and detected by diode laser absorption at 662 nm. </w:t>
      </w:r>
    </w:p>
    <w:p w:rsidR="00CC3CBF" w:rsidRPr="00CC3CBF" w:rsidRDefault="00CC3CBF" w:rsidP="00C417AC">
      <w:pPr>
        <w:pStyle w:val="IUPACexpcommenttext"/>
      </w:pPr>
      <w:r w:rsidRPr="00CC3CBF">
        <w:t>NO</w:t>
      </w:r>
      <w:r w:rsidRPr="00CC3CBF">
        <w:rPr>
          <w:vertAlign w:val="subscript"/>
        </w:rPr>
        <w:t>3</w:t>
      </w:r>
      <w:r w:rsidRPr="00CC3CBF">
        <w:t xml:space="preserve"> (1-2 </w:t>
      </w:r>
      <w:r w:rsidRPr="00CC3CBF">
        <w:sym w:font="Symbol" w:char="F0B4"/>
      </w:r>
      <w:r w:rsidRPr="00CC3CBF">
        <w:t xml:space="preserve"> 10</w:t>
      </w:r>
      <w:r w:rsidRPr="00CC3CBF">
        <w:rPr>
          <w:vertAlign w:val="superscript"/>
        </w:rPr>
        <w:t>11</w:t>
      </w:r>
      <w:r w:rsidRPr="00CC3CBF">
        <w:t xml:space="preserve"> molecule cm</w:t>
      </w:r>
      <w:r w:rsidRPr="00CC3CBF">
        <w:rPr>
          <w:vertAlign w:val="superscript"/>
        </w:rPr>
        <w:noBreakHyphen/>
        <w:t>3</w:t>
      </w:r>
      <w:r w:rsidRPr="00CC3CBF">
        <w:t>) was formed by the thermal dissociation of N</w:t>
      </w:r>
      <w:r w:rsidRPr="00CC3CBF">
        <w:rPr>
          <w:vertAlign w:val="subscript"/>
        </w:rPr>
        <w:t>2</w:t>
      </w:r>
      <w:r w:rsidRPr="00CC3CBF">
        <w:t>O</w:t>
      </w:r>
      <w:r w:rsidRPr="00CC3CBF">
        <w:rPr>
          <w:vertAlign w:val="subscript"/>
        </w:rPr>
        <w:t>5</w:t>
      </w:r>
      <w:r w:rsidRPr="00CC3CBF">
        <w:t xml:space="preserve"> and detected following ionisation by I</w:t>
      </w:r>
      <w:r w:rsidRPr="00CC3CBF">
        <w:rPr>
          <w:vertAlign w:val="superscript"/>
        </w:rPr>
        <w:t>-</w:t>
      </w:r>
      <w:r w:rsidRPr="00CC3CBF">
        <w:t>.</w:t>
      </w:r>
      <w:r>
        <w:t xml:space="preserve"> </w:t>
      </w:r>
    </w:p>
    <w:p w:rsidR="00C35E43" w:rsidRPr="00C417AC" w:rsidRDefault="00C35E43" w:rsidP="00C417AC">
      <w:pPr>
        <w:pStyle w:val="IUPACexpcommenttext"/>
      </w:pPr>
      <w:r w:rsidRPr="00C417AC">
        <w:t>NO</w:t>
      </w:r>
      <w:r w:rsidRPr="00C417AC">
        <w:rPr>
          <w:vertAlign w:val="subscript"/>
        </w:rPr>
        <w:t>3</w:t>
      </w:r>
      <w:r w:rsidRPr="00C417AC">
        <w:t xml:space="preserve"> (3-16 </w:t>
      </w:r>
      <w:r w:rsidRPr="00C417AC">
        <w:sym w:font="Symbol" w:char="F0B4"/>
      </w:r>
      <w:r w:rsidRPr="00C417AC">
        <w:t xml:space="preserve"> 10</w:t>
      </w:r>
      <w:r w:rsidRPr="00C417AC">
        <w:rPr>
          <w:vertAlign w:val="superscript"/>
        </w:rPr>
        <w:t>10</w:t>
      </w:r>
      <w:r w:rsidRPr="00C417AC">
        <w:t xml:space="preserve"> molecule cm</w:t>
      </w:r>
      <w:r w:rsidRPr="00C417AC">
        <w:rPr>
          <w:vertAlign w:val="superscript"/>
        </w:rPr>
        <w:noBreakHyphen/>
        <w:t>3</w:t>
      </w:r>
      <w:r w:rsidRPr="00C417AC">
        <w:t>) was formed by the thermal dissociation of N</w:t>
      </w:r>
      <w:r w:rsidRPr="00C417AC">
        <w:rPr>
          <w:vertAlign w:val="subscript"/>
        </w:rPr>
        <w:t>2</w:t>
      </w:r>
      <w:r w:rsidRPr="00C417AC">
        <w:t>O</w:t>
      </w:r>
      <w:r w:rsidRPr="00C417AC">
        <w:rPr>
          <w:vertAlign w:val="subscript"/>
        </w:rPr>
        <w:t>5</w:t>
      </w:r>
      <w:r w:rsidRPr="00C417AC">
        <w:t xml:space="preserve"> and detected following ionisation by I</w:t>
      </w:r>
      <w:r w:rsidRPr="00C417AC">
        <w:rPr>
          <w:vertAlign w:val="superscript"/>
        </w:rPr>
        <w:t>-</w:t>
      </w:r>
      <w:r w:rsidRPr="00C417AC">
        <w:t>.</w:t>
      </w:r>
      <w:r w:rsidR="007C3F00">
        <w:t xml:space="preserve"> The uptake coefficient decreased by a factor of 10 following surface exposure to NO</w:t>
      </w:r>
      <w:r w:rsidR="007C3F00">
        <w:rPr>
          <w:vertAlign w:val="subscript"/>
        </w:rPr>
        <w:t>3</w:t>
      </w:r>
      <w:r w:rsidR="007C3F00">
        <w:t xml:space="preserve"> for 90 mins.</w:t>
      </w:r>
    </w:p>
    <w:p w:rsidR="004B6229" w:rsidRDefault="00A232BB" w:rsidP="00C417AC">
      <w:pPr>
        <w:pStyle w:val="IUPACexpcommenttext"/>
      </w:pPr>
      <w:r>
        <w:t xml:space="preserve">~ 100 nm particles of squalene. Measurements performed using a mixture of </w:t>
      </w:r>
      <w:r w:rsidRPr="00836397">
        <w:t>NO</w:t>
      </w:r>
      <w:r w:rsidRPr="00836397">
        <w:rPr>
          <w:vertAlign w:val="subscript"/>
        </w:rPr>
        <w:t>3</w:t>
      </w:r>
      <w:r>
        <w:t xml:space="preserve"> and </w:t>
      </w:r>
      <w:r w:rsidRPr="00836397">
        <w:t>N</w:t>
      </w:r>
      <w:r w:rsidRPr="00836397">
        <w:rPr>
          <w:vertAlign w:val="subscript"/>
        </w:rPr>
        <w:t>2</w:t>
      </w:r>
      <w:r w:rsidRPr="00836397">
        <w:t>O</w:t>
      </w:r>
      <w:r w:rsidRPr="00836397">
        <w:rPr>
          <w:vertAlign w:val="subscript"/>
        </w:rPr>
        <w:t>5</w:t>
      </w:r>
      <w:r>
        <w:t xml:space="preserve">, with </w:t>
      </w:r>
      <w:r w:rsidRPr="00836397">
        <w:t>N</w:t>
      </w:r>
      <w:r w:rsidRPr="00836397">
        <w:rPr>
          <w:vertAlign w:val="subscript"/>
        </w:rPr>
        <w:t>2</w:t>
      </w:r>
      <w:r w:rsidRPr="00836397">
        <w:t>O</w:t>
      </w:r>
      <w:r w:rsidRPr="00836397">
        <w:rPr>
          <w:vertAlign w:val="subscript"/>
        </w:rPr>
        <w:t>5</w:t>
      </w:r>
      <w:r>
        <w:t xml:space="preserve"> monitored as </w:t>
      </w:r>
      <w:r w:rsidRPr="00836397">
        <w:t>NO</w:t>
      </w:r>
      <w:r w:rsidRPr="00836397">
        <w:rPr>
          <w:vertAlign w:val="subscript"/>
        </w:rPr>
        <w:t>2</w:t>
      </w:r>
      <w:r>
        <w:t xml:space="preserve"> following thermal dissociation. The uptake coefficient for </w:t>
      </w:r>
      <w:r w:rsidRPr="00836397">
        <w:t>NO</w:t>
      </w:r>
      <w:r w:rsidRPr="00836397">
        <w:rPr>
          <w:vertAlign w:val="subscript"/>
        </w:rPr>
        <w:t>3</w:t>
      </w:r>
      <w:r>
        <w:t xml:space="preserve"> reacting with the squalene was calculated assuming no heterogeneous loss of </w:t>
      </w:r>
      <w:r w:rsidRPr="00836397">
        <w:t>N</w:t>
      </w:r>
      <w:r w:rsidRPr="00836397">
        <w:rPr>
          <w:vertAlign w:val="subscript"/>
        </w:rPr>
        <w:t>2</w:t>
      </w:r>
      <w:r w:rsidRPr="00836397">
        <w:t>O</w:t>
      </w:r>
      <w:r w:rsidRPr="00836397">
        <w:rPr>
          <w:vertAlign w:val="subscript"/>
        </w:rPr>
        <w:t>5</w:t>
      </w:r>
      <w:r>
        <w:t>.</w:t>
      </w:r>
    </w:p>
    <w:p w:rsidR="00DF13A7" w:rsidRDefault="00704734" w:rsidP="00C417AC">
      <w:pPr>
        <w:pStyle w:val="IUPACexpcommenttext"/>
      </w:pPr>
      <w:r w:rsidRPr="00704734">
        <w:sym w:font="Symbol" w:char="F067"/>
      </w:r>
      <w:r>
        <w:t xml:space="preserve"> </w:t>
      </w:r>
      <w:proofErr w:type="gramStart"/>
      <w:r>
        <w:t>derived</w:t>
      </w:r>
      <w:proofErr w:type="gramEnd"/>
      <w:r>
        <w:t xml:space="preserve"> by observing loss rate of terminal double bonds and calculating surface-near </w:t>
      </w:r>
      <w:r w:rsidRPr="00704734">
        <w:t>NO</w:t>
      </w:r>
      <w:r w:rsidRPr="00704734">
        <w:rPr>
          <w:vertAlign w:val="subscript"/>
        </w:rPr>
        <w:t>3</w:t>
      </w:r>
      <w:r>
        <w:t xml:space="preserve"> </w:t>
      </w:r>
      <w:proofErr w:type="spellStart"/>
      <w:r>
        <w:t>concentratons</w:t>
      </w:r>
      <w:proofErr w:type="spellEnd"/>
      <w:r>
        <w:t>.</w:t>
      </w:r>
    </w:p>
    <w:p w:rsidR="00812E83" w:rsidRPr="00812E83" w:rsidRDefault="00812E83" w:rsidP="00812E83">
      <w:pPr>
        <w:keepNext/>
        <w:spacing w:before="240" w:after="120"/>
        <w:jc w:val="center"/>
        <w:rPr>
          <w:rFonts w:ascii="Times New Roman" w:eastAsia="Times New Roman" w:hAnsi="Times New Roman" w:cs="Times"/>
          <w:b/>
          <w:sz w:val="24"/>
          <w:szCs w:val="24"/>
          <w:lang w:val="en-AU"/>
        </w:rPr>
      </w:pPr>
      <w:r w:rsidRPr="00812E83">
        <w:rPr>
          <w:rFonts w:ascii="Times New Roman" w:eastAsia="Times New Roman" w:hAnsi="Times New Roman" w:cs="Times"/>
          <w:b/>
          <w:sz w:val="24"/>
          <w:szCs w:val="24"/>
          <w:lang w:val="en-AU"/>
        </w:rPr>
        <w:t>Preferred Values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5030"/>
        <w:gridCol w:w="2172"/>
      </w:tblGrid>
      <w:tr w:rsidR="00812E83" w:rsidRPr="00812E83" w:rsidTr="0036588E"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b/>
                <w:spacing w:val="-3"/>
                <w:sz w:val="24"/>
                <w:szCs w:val="24"/>
                <w:lang w:val="en-US"/>
              </w:rPr>
              <w:t>T/K</w:t>
            </w:r>
          </w:p>
        </w:tc>
      </w:tr>
      <w:tr w:rsidR="00812E83" w:rsidRPr="00812E83" w:rsidTr="0036588E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spacing w:after="0" w:line="264" w:lineRule="auto"/>
              <w:jc w:val="left"/>
              <w:rPr>
                <w:rFonts w:ascii="Times" w:eastAsia="Times New Roman" w:hAnsi="Times" w:cs="Times"/>
                <w:i/>
                <w:spacing w:val="-2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i/>
                <w:spacing w:val="-3"/>
                <w:sz w:val="24"/>
                <w:szCs w:val="24"/>
                <w:lang w:val="en-US"/>
              </w:rPr>
              <w:t>α</w:t>
            </w:r>
            <w:r>
              <w:rPr>
                <w:rFonts w:ascii="Times" w:eastAsia="Times New Roman" w:hAnsi="Times" w:cs="Times"/>
                <w:spacing w:val="-3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</w:tr>
      <w:tr w:rsidR="007C2602" w:rsidRPr="00812E83" w:rsidTr="0036588E"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602" w:rsidRPr="00812E83" w:rsidRDefault="007C2602" w:rsidP="0036588E">
            <w:pPr>
              <w:spacing w:after="0" w:line="264" w:lineRule="auto"/>
              <w:jc w:val="left"/>
              <w:rPr>
                <w:rFonts w:ascii="Times" w:eastAsia="Times New Roman" w:hAnsi="Times" w:cs="Times"/>
                <w:spacing w:val="-2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i/>
                <w:spacing w:val="-2"/>
                <w:sz w:val="24"/>
                <w:szCs w:val="24"/>
                <w:lang w:val="en-US"/>
              </w:rPr>
              <w:t>k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vertAlign w:val="subscript"/>
                <w:lang w:val="en-US"/>
              </w:rPr>
              <w:t>b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lang w:val="en-US"/>
              </w:rPr>
              <w:t xml:space="preserve"> (M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vertAlign w:val="superscript"/>
                <w:lang w:val="en-US"/>
              </w:rPr>
              <w:t>-1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lang w:val="en-US"/>
              </w:rPr>
              <w:t xml:space="preserve"> s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vertAlign w:val="superscript"/>
                <w:lang w:val="en-US"/>
              </w:rPr>
              <w:t>-1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602" w:rsidRPr="00812E83" w:rsidRDefault="00CC4D7C" w:rsidP="0036588E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1.2</w:t>
            </w:r>
            <w:r w:rsidR="007C2602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 xml:space="preserve"> </w:t>
            </w:r>
            <w:r w:rsidR="007C2602" w:rsidRPr="00812E83">
              <w:rPr>
                <w:rFonts w:ascii="Times New Roman" w:eastAsia="Times New Roman" w:hAnsi="Times New Roman" w:cs="Times"/>
                <w:spacing w:val="-3"/>
                <w:sz w:val="24"/>
                <w:szCs w:val="24"/>
              </w:rPr>
              <w:sym w:font="Symbol" w:char="F0B4"/>
            </w:r>
            <w:r w:rsidR="007C2602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 xml:space="preserve"> 10</w:t>
            </w:r>
            <w:r>
              <w:rPr>
                <w:rFonts w:ascii="Times" w:eastAsia="Times New Roman" w:hAnsi="Times" w:cs="Times"/>
                <w:spacing w:val="-3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602" w:rsidRPr="00812E83" w:rsidRDefault="005B0B3D" w:rsidP="0036588E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270 - 300</w:t>
            </w:r>
          </w:p>
        </w:tc>
      </w:tr>
    </w:tbl>
    <w:p w:rsidR="00812E83" w:rsidRPr="00812E83" w:rsidRDefault="00812E83" w:rsidP="00812E83">
      <w:pPr>
        <w:keepNext/>
        <w:tabs>
          <w:tab w:val="left" w:pos="-1440"/>
          <w:tab w:val="left" w:pos="-720"/>
          <w:tab w:val="left" w:pos="444"/>
        </w:tabs>
        <w:spacing w:before="240" w:after="120"/>
        <w:rPr>
          <w:rFonts w:ascii="Times" w:eastAsia="Times New Roman" w:hAnsi="Times" w:cs="Times"/>
          <w:i/>
          <w:sz w:val="24"/>
          <w:szCs w:val="24"/>
        </w:rPr>
      </w:pPr>
      <w:r w:rsidRPr="00812E83">
        <w:rPr>
          <w:rFonts w:ascii="Times" w:eastAsia="Times New Roman" w:hAnsi="Times" w:cs="Times"/>
          <w:i/>
          <w:sz w:val="24"/>
          <w:szCs w:val="24"/>
        </w:rPr>
        <w:t>Reliability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5030"/>
        <w:gridCol w:w="2172"/>
      </w:tblGrid>
      <w:tr w:rsidR="00812E83" w:rsidRPr="00812E83" w:rsidTr="0036588E">
        <w:tc>
          <w:tcPr>
            <w:tcW w:w="2085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5030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left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</w:tr>
      <w:tr w:rsidR="00812E83" w:rsidRPr="00812E83" w:rsidTr="0036588E">
        <w:tc>
          <w:tcPr>
            <w:tcW w:w="2085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i/>
                <w:spacing w:val="-3"/>
                <w:sz w:val="24"/>
                <w:szCs w:val="24"/>
                <w:lang w:val="en-US"/>
              </w:rPr>
            </w:pPr>
            <w:r w:rsidRPr="00812E83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sym w:font="Symbol" w:char="F044"/>
            </w:r>
            <w:r w:rsidRPr="00812E83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 xml:space="preserve"> log</w:t>
            </w:r>
            <w:r w:rsidRPr="00812E83">
              <w:rPr>
                <w:rFonts w:ascii="Times" w:eastAsia="Times New Roman" w:hAnsi="Times" w:cs="Times"/>
                <w:i/>
                <w:spacing w:val="-3"/>
                <w:sz w:val="24"/>
                <w:szCs w:val="24"/>
                <w:lang w:val="en-US"/>
              </w:rPr>
              <w:t xml:space="preserve"> </w:t>
            </w:r>
            <w:r w:rsidRPr="00812E83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(</w:t>
            </w:r>
            <w:r w:rsidRPr="00812E83">
              <w:rPr>
                <w:rFonts w:ascii="Times" w:eastAsia="Times New Roman" w:hAnsi="Times" w:cs="Times"/>
                <w:i/>
                <w:spacing w:val="-2"/>
                <w:sz w:val="24"/>
                <w:szCs w:val="24"/>
                <w:lang w:val="en-US"/>
              </w:rPr>
              <w:t>k</w:t>
            </w:r>
            <w:r w:rsidRPr="00812E83">
              <w:rPr>
                <w:rFonts w:ascii="Times" w:eastAsia="Times New Roman" w:hAnsi="Times" w:cs="Times"/>
                <w:spacing w:val="-2"/>
                <w:sz w:val="24"/>
                <w:szCs w:val="24"/>
                <w:vertAlign w:val="subscript"/>
                <w:lang w:val="en-US"/>
              </w:rPr>
              <w:t>b</w:t>
            </w:r>
            <w:r w:rsidRPr="00812E83"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)</w:t>
            </w:r>
          </w:p>
        </w:tc>
        <w:tc>
          <w:tcPr>
            <w:tcW w:w="5030" w:type="dxa"/>
          </w:tcPr>
          <w:p w:rsidR="00812E83" w:rsidRPr="00812E83" w:rsidRDefault="00CC4D7C" w:rsidP="007048EF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  <w:t>1</w:t>
            </w:r>
          </w:p>
        </w:tc>
        <w:tc>
          <w:tcPr>
            <w:tcW w:w="2172" w:type="dxa"/>
          </w:tcPr>
          <w:p w:rsidR="00812E83" w:rsidRPr="00812E83" w:rsidRDefault="00812E83" w:rsidP="00812E83">
            <w:pPr>
              <w:tabs>
                <w:tab w:val="left" w:pos="0"/>
                <w:tab w:val="left" w:pos="444"/>
                <w:tab w:val="left" w:pos="720"/>
              </w:tabs>
              <w:suppressAutoHyphens/>
              <w:spacing w:after="0" w:line="240" w:lineRule="atLeast"/>
              <w:jc w:val="center"/>
              <w:rPr>
                <w:rFonts w:ascii="Times" w:eastAsia="Times New Roman" w:hAnsi="Times" w:cs="Times"/>
                <w:spacing w:val="-3"/>
                <w:sz w:val="24"/>
                <w:szCs w:val="24"/>
                <w:lang w:val="en-US"/>
              </w:rPr>
            </w:pPr>
          </w:p>
        </w:tc>
      </w:tr>
    </w:tbl>
    <w:p w:rsidR="002F5C5A" w:rsidRDefault="002F5C5A">
      <w:pPr>
        <w:pStyle w:val="IUPACsubtitle"/>
      </w:pPr>
      <w:r>
        <w:lastRenderedPageBreak/>
        <w:t>Comments on Preferred Values</w:t>
      </w:r>
    </w:p>
    <w:p w:rsidR="00DF13A7" w:rsidRDefault="00644F2D" w:rsidP="00FD01BD">
      <w:pPr>
        <w:pStyle w:val="IUPACpreferredcommentstext"/>
      </w:pPr>
      <w:r>
        <w:t>NO</w:t>
      </w:r>
      <w:r>
        <w:rPr>
          <w:vertAlign w:val="subscript"/>
        </w:rPr>
        <w:t>3</w:t>
      </w:r>
      <w:r>
        <w:t xml:space="preserve"> adds to double bonds and t</w:t>
      </w:r>
      <w:r w:rsidR="00DF13A7">
        <w:t>he experimental</w:t>
      </w:r>
      <w:r>
        <w:t>ly derived uptake coefficient f</w:t>
      </w:r>
      <w:r w:rsidR="00DF13A7">
        <w:t>or NO</w:t>
      </w:r>
      <w:r w:rsidR="00DF13A7">
        <w:rPr>
          <w:vertAlign w:val="subscript"/>
        </w:rPr>
        <w:t>3</w:t>
      </w:r>
      <w:r w:rsidR="00DF13A7">
        <w:t xml:space="preserve"> reacting with alkenes varies by ~ two orders of magnitude, with the largest values obtained with squalene </w:t>
      </w:r>
      <w:r>
        <w:t xml:space="preserve">(six double bonds) </w:t>
      </w:r>
      <w:r w:rsidR="00A232BB">
        <w:t>(Lee et al., 2013)</w:t>
      </w:r>
      <w:r>
        <w:t xml:space="preserve">. </w:t>
      </w:r>
      <w:r w:rsidR="00A232BB">
        <w:t xml:space="preserve">Lee et al. </w:t>
      </w:r>
      <w:r>
        <w:t xml:space="preserve">(2013) </w:t>
      </w:r>
      <w:r w:rsidR="00A232BB">
        <w:t xml:space="preserve">report that the uptake coefficient increased with exposure time (to 0.8 </w:t>
      </w:r>
      <w:r w:rsidR="00A232BB">
        <w:sym w:font="Symbol" w:char="F0B1"/>
      </w:r>
      <w:r w:rsidR="00A232BB">
        <w:t xml:space="preserve"> 0.1) </w:t>
      </w:r>
      <w:r w:rsidR="002E12B3">
        <w:t>indicating that the nitrated products are more reactive to NO</w:t>
      </w:r>
      <w:r w:rsidR="002E12B3">
        <w:rPr>
          <w:vertAlign w:val="subscript"/>
        </w:rPr>
        <w:t>3</w:t>
      </w:r>
      <w:r w:rsidR="002E12B3">
        <w:t xml:space="preserve"> than squalene itself. </w:t>
      </w:r>
      <w:r w:rsidR="00B65C86">
        <w:t xml:space="preserve">In contrast, </w:t>
      </w:r>
      <w:r w:rsidR="009A68E3">
        <w:t xml:space="preserve">both </w:t>
      </w:r>
      <w:proofErr w:type="gramStart"/>
      <w:r w:rsidR="009A68E3">
        <w:t>Gross</w:t>
      </w:r>
      <w:proofErr w:type="gramEnd"/>
      <w:r w:rsidR="009A68E3">
        <w:t xml:space="preserve"> and Bertram (2009) and </w:t>
      </w:r>
      <w:r w:rsidR="00B65C86">
        <w:t xml:space="preserve">Zhang et al. (2014) found that </w:t>
      </w:r>
      <w:r w:rsidR="00B65C86" w:rsidRPr="00F801C1">
        <w:rPr>
          <w:color w:val="000000" w:themeColor="text1"/>
          <w:szCs w:val="24"/>
        </w:rPr>
        <w:sym w:font="Symbol" w:char="F067"/>
      </w:r>
      <w:r w:rsidR="00B65C86">
        <w:t xml:space="preserve"> decreased with exposure as vinyl groups were consumed. </w:t>
      </w:r>
    </w:p>
    <w:p w:rsidR="00963061" w:rsidRDefault="00DD01EF" w:rsidP="00FD01BD">
      <w:pPr>
        <w:pStyle w:val="IUPACpreferredcommentstext"/>
      </w:pPr>
      <w:r>
        <w:t xml:space="preserve">Gross and Bertram (2009) suggest that the larger </w:t>
      </w:r>
      <w:r w:rsidRPr="00F801C1">
        <w:rPr>
          <w:color w:val="000000" w:themeColor="text1"/>
          <w:szCs w:val="24"/>
        </w:rPr>
        <w:sym w:font="Symbol" w:char="F067"/>
      </w:r>
      <w:r w:rsidR="0080019F" w:rsidRPr="0080019F">
        <w:rPr>
          <w:color w:val="000000" w:themeColor="text1"/>
          <w:szCs w:val="24"/>
          <w:vertAlign w:val="subscript"/>
        </w:rPr>
        <w:t>0</w:t>
      </w:r>
      <w:r>
        <w:t xml:space="preserve"> values they get for u</w:t>
      </w:r>
      <w:r w:rsidRPr="00BD5752">
        <w:rPr>
          <w:sz w:val="20"/>
        </w:rPr>
        <w:t>ndec-10-ene-1-thiol</w:t>
      </w:r>
      <w:r>
        <w:rPr>
          <w:sz w:val="20"/>
        </w:rPr>
        <w:t xml:space="preserve"> (a SAM with a terminal, single double-bond) compared to values </w:t>
      </w:r>
      <w:r>
        <w:t xml:space="preserve">reported by </w:t>
      </w:r>
      <w:proofErr w:type="spellStart"/>
      <w:r>
        <w:t>Moise</w:t>
      </w:r>
      <w:proofErr w:type="spellEnd"/>
      <w:r>
        <w:t xml:space="preserve"> et al. (2002) for liquid alkenes, with a single double-bond may be due to the location of the (reactive) double-bond at the gas-</w:t>
      </w:r>
      <w:r w:rsidR="001722E0">
        <w:t>surface</w:t>
      </w:r>
      <w:r>
        <w:t xml:space="preserve"> interface. </w:t>
      </w:r>
      <w:r w:rsidR="007B584B">
        <w:t xml:space="preserve">The very high value of </w:t>
      </w:r>
      <w:r w:rsidR="007B584B" w:rsidRPr="00F801C1">
        <w:rPr>
          <w:color w:val="000000" w:themeColor="text1"/>
          <w:szCs w:val="24"/>
        </w:rPr>
        <w:sym w:font="Symbol" w:char="F067"/>
      </w:r>
      <w:r w:rsidR="0080019F" w:rsidRPr="0080019F">
        <w:rPr>
          <w:color w:val="000000" w:themeColor="text1"/>
          <w:szCs w:val="24"/>
          <w:vertAlign w:val="subscript"/>
        </w:rPr>
        <w:t>0</w:t>
      </w:r>
      <w:r w:rsidR="007B584B">
        <w:t xml:space="preserve"> for methyl-</w:t>
      </w:r>
      <w:proofErr w:type="spellStart"/>
      <w:proofErr w:type="gramStart"/>
      <w:r w:rsidR="007B584B">
        <w:t>oleate</w:t>
      </w:r>
      <w:proofErr w:type="spellEnd"/>
      <w:r w:rsidR="007B584B">
        <w:t>,</w:t>
      </w:r>
      <w:proofErr w:type="gramEnd"/>
      <w:r w:rsidR="007B584B">
        <w:t xml:space="preserve"> may partially reflect the high electron density around the double bond of the branched alkene.</w:t>
      </w:r>
    </w:p>
    <w:p w:rsidR="007B584B" w:rsidRPr="00CC4D7C" w:rsidRDefault="007B584B" w:rsidP="00FD01BD">
      <w:pPr>
        <w:pStyle w:val="IUPACpreferredcommentstext"/>
        <w:rPr>
          <w:color w:val="000000" w:themeColor="text1"/>
        </w:rPr>
      </w:pPr>
      <w:r>
        <w:t xml:space="preserve"> Xiao and Bertram </w:t>
      </w:r>
      <w:r w:rsidR="00963061">
        <w:t xml:space="preserve">(2011) investigated </w:t>
      </w:r>
      <w:r>
        <w:t xml:space="preserve">the uptake of </w:t>
      </w:r>
      <w:r w:rsidR="00963061">
        <w:t>NO</w:t>
      </w:r>
      <w:r w:rsidR="00963061">
        <w:rPr>
          <w:vertAlign w:val="subscript"/>
        </w:rPr>
        <w:t>3</w:t>
      </w:r>
      <w:r w:rsidR="00963061">
        <w:t xml:space="preserve"> to </w:t>
      </w:r>
      <w:r>
        <w:t xml:space="preserve">methyl </w:t>
      </w:r>
      <w:proofErr w:type="spellStart"/>
      <w:r>
        <w:t>oleate</w:t>
      </w:r>
      <w:proofErr w:type="spellEnd"/>
      <w:r>
        <w:t xml:space="preserve"> </w:t>
      </w:r>
      <w:r w:rsidR="00963061">
        <w:t xml:space="preserve">in binary mixtures of </w:t>
      </w:r>
      <w:r>
        <w:t>less reactive</w:t>
      </w:r>
      <w:r w:rsidR="00963061">
        <w:t>, saturated</w:t>
      </w:r>
      <w:r>
        <w:t xml:space="preserve"> </w:t>
      </w:r>
      <w:r w:rsidR="00963061">
        <w:t xml:space="preserve">organics such as </w:t>
      </w:r>
      <w:proofErr w:type="spellStart"/>
      <w:r w:rsidR="00963061">
        <w:t>squalane</w:t>
      </w:r>
      <w:proofErr w:type="spellEnd"/>
      <w:r w:rsidR="00963061">
        <w:t xml:space="preserve">, diethyl </w:t>
      </w:r>
      <w:proofErr w:type="spellStart"/>
      <w:r w:rsidR="00963061">
        <w:t>sebacate</w:t>
      </w:r>
      <w:proofErr w:type="spellEnd"/>
      <w:r w:rsidR="00963061">
        <w:t xml:space="preserve"> (DES) and </w:t>
      </w:r>
      <w:proofErr w:type="spellStart"/>
      <w:r w:rsidR="00963061">
        <w:t>dioctyl</w:t>
      </w:r>
      <w:proofErr w:type="spellEnd"/>
      <w:r w:rsidR="00963061">
        <w:t xml:space="preserve"> </w:t>
      </w:r>
      <w:proofErr w:type="spellStart"/>
      <w:r w:rsidR="00963061">
        <w:t>sebacate</w:t>
      </w:r>
      <w:proofErr w:type="spellEnd"/>
      <w:r w:rsidR="00963061">
        <w:t xml:space="preserve"> (DOS). The results could be </w:t>
      </w:r>
      <w:r w:rsidR="00963061" w:rsidRPr="00CC4D7C">
        <w:rPr>
          <w:color w:val="000000" w:themeColor="text1"/>
        </w:rPr>
        <w:t xml:space="preserve">described by the usual resistor model: </w:t>
      </w:r>
    </w:p>
    <w:p w:rsidR="00911F24" w:rsidRPr="00CC4D7C" w:rsidRDefault="005146FD">
      <w:pPr>
        <w:pStyle w:val="Reactions"/>
        <w:spacing w:line="360" w:lineRule="auto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γ=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b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color w:val="000000" w:themeColor="text1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c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4H</m:t>
                      </m:r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RT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Σ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b(i)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[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HC</m:t>
                              </m:r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]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(i)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)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l</m:t>
                              </m:r>
                            </m:sub>
                          </m:sSub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-1</m:t>
              </m:r>
            </m:sup>
          </m:sSup>
        </m:oMath>
      </m:oMathPara>
    </w:p>
    <w:p w:rsidR="00C3554A" w:rsidRDefault="005146FD">
      <w:pPr>
        <w:pStyle w:val="IUPACpreferredcommentstext"/>
        <w:rPr>
          <w:color w:val="000000" w:themeColor="text1"/>
        </w:rPr>
      </w:pPr>
      <w:r w:rsidRPr="00CC4D7C">
        <w:rPr>
          <w:color w:val="000000" w:themeColor="text1"/>
        </w:rPr>
        <w:t xml:space="preserve">Where </w:t>
      </w:r>
      <w:proofErr w:type="gramStart"/>
      <w:r w:rsidRPr="00CC4D7C">
        <w:rPr>
          <w:i/>
          <w:color w:val="000000" w:themeColor="text1"/>
        </w:rPr>
        <w:t>k</w:t>
      </w:r>
      <w:r w:rsidR="007C2602" w:rsidRPr="00C3554A">
        <w:rPr>
          <w:color w:val="000000" w:themeColor="text1"/>
          <w:vertAlign w:val="subscript"/>
        </w:rPr>
        <w:t>b</w:t>
      </w:r>
      <w:r w:rsidR="00C3554A" w:rsidRPr="00C3554A">
        <w:rPr>
          <w:color w:val="000000" w:themeColor="text1"/>
          <w:vertAlign w:val="subscript"/>
        </w:rPr>
        <w:t>(</w:t>
      </w:r>
      <w:proofErr w:type="spellStart"/>
      <w:proofErr w:type="gramEnd"/>
      <w:r w:rsidRPr="00C3554A">
        <w:rPr>
          <w:color w:val="000000" w:themeColor="text1"/>
          <w:vertAlign w:val="subscript"/>
        </w:rPr>
        <w:t>i</w:t>
      </w:r>
      <w:proofErr w:type="spellEnd"/>
      <w:r w:rsidR="00C3554A" w:rsidRPr="00C3554A">
        <w:rPr>
          <w:color w:val="000000" w:themeColor="text1"/>
          <w:vertAlign w:val="subscript"/>
        </w:rPr>
        <w:t>)</w:t>
      </w:r>
      <w:r w:rsidRPr="00CC4D7C">
        <w:rPr>
          <w:color w:val="000000" w:themeColor="text1"/>
        </w:rPr>
        <w:t xml:space="preserve"> is the </w:t>
      </w:r>
      <w:r w:rsidR="00E75190">
        <w:rPr>
          <w:color w:val="000000" w:themeColor="text1"/>
        </w:rPr>
        <w:t>liquid</w:t>
      </w:r>
      <w:r w:rsidRPr="00CC4D7C">
        <w:rPr>
          <w:color w:val="000000" w:themeColor="text1"/>
        </w:rPr>
        <w:t>-phase rate coefficient for reaction of NO</w:t>
      </w:r>
      <w:r w:rsidRPr="00CC4D7C">
        <w:rPr>
          <w:color w:val="000000" w:themeColor="text1"/>
          <w:vertAlign w:val="subscript"/>
        </w:rPr>
        <w:t>3</w:t>
      </w:r>
      <w:r w:rsidRPr="00CC4D7C">
        <w:rPr>
          <w:color w:val="000000" w:themeColor="text1"/>
        </w:rPr>
        <w:t xml:space="preserve"> with organic species </w:t>
      </w:r>
      <w:r w:rsidR="00E315C5">
        <w:rPr>
          <w:color w:val="000000" w:themeColor="text1"/>
        </w:rPr>
        <w:t>(</w:t>
      </w:r>
      <w:proofErr w:type="spellStart"/>
      <w:r w:rsidR="00304A1A" w:rsidRPr="00C3554A">
        <w:rPr>
          <w:color w:val="000000" w:themeColor="text1"/>
        </w:rPr>
        <w:t>i</w:t>
      </w:r>
      <w:proofErr w:type="spellEnd"/>
      <w:r w:rsidR="00E315C5">
        <w:rPr>
          <w:color w:val="000000" w:themeColor="text1"/>
        </w:rPr>
        <w:t>)</w:t>
      </w:r>
      <w:r w:rsidR="00963061" w:rsidRPr="00CC4D7C">
        <w:rPr>
          <w:i/>
          <w:color w:val="000000" w:themeColor="text1"/>
        </w:rPr>
        <w:t xml:space="preserve"> </w:t>
      </w:r>
      <w:r w:rsidR="00963061" w:rsidRPr="00CC4D7C">
        <w:rPr>
          <w:color w:val="000000" w:themeColor="text1"/>
        </w:rPr>
        <w:t>with concentration [HC]</w:t>
      </w:r>
      <w:r w:rsidR="00304A1A" w:rsidRPr="00CC4D7C">
        <w:rPr>
          <w:color w:val="000000" w:themeColor="text1"/>
        </w:rPr>
        <w:t>,</w:t>
      </w:r>
      <w:r w:rsidRPr="00CC4D7C">
        <w:rPr>
          <w:color w:val="000000" w:themeColor="text1"/>
        </w:rPr>
        <w:t xml:space="preserve"> </w:t>
      </w:r>
      <w:r w:rsidR="006E7D65" w:rsidRPr="00CC4D7C">
        <w:rPr>
          <w:i/>
          <w:color w:val="000000" w:themeColor="text1"/>
        </w:rPr>
        <w:t>D</w:t>
      </w:r>
      <w:r w:rsidR="006E7D65" w:rsidRPr="00CC4D7C">
        <w:rPr>
          <w:i/>
          <w:color w:val="000000" w:themeColor="text1"/>
          <w:vertAlign w:val="subscript"/>
        </w:rPr>
        <w:t>l</w:t>
      </w:r>
      <w:r w:rsidR="006E7D65" w:rsidRPr="00CC4D7C">
        <w:rPr>
          <w:i/>
          <w:color w:val="000000" w:themeColor="text1"/>
        </w:rPr>
        <w:t xml:space="preserve"> </w:t>
      </w:r>
      <w:r w:rsidR="006E7D65" w:rsidRPr="00CC4D7C">
        <w:rPr>
          <w:color w:val="000000" w:themeColor="text1"/>
        </w:rPr>
        <w:t>its diffusion coefficient</w:t>
      </w:r>
      <w:r w:rsidR="00304A1A" w:rsidRPr="00CC4D7C">
        <w:rPr>
          <w:color w:val="000000" w:themeColor="text1"/>
        </w:rPr>
        <w:t xml:space="preserve"> through the organic matrix</w:t>
      </w:r>
      <w:r w:rsidR="00A0330E" w:rsidRPr="00CC4D7C">
        <w:rPr>
          <w:color w:val="000000" w:themeColor="text1"/>
        </w:rPr>
        <w:t xml:space="preserve"> and </w:t>
      </w:r>
      <w:r w:rsidR="00A0330E" w:rsidRPr="00CC4D7C">
        <w:rPr>
          <w:i/>
          <w:color w:val="000000" w:themeColor="text1"/>
        </w:rPr>
        <w:t>H</w:t>
      </w:r>
      <w:r w:rsidR="00A0330E" w:rsidRPr="00CC4D7C">
        <w:rPr>
          <w:color w:val="000000" w:themeColor="text1"/>
        </w:rPr>
        <w:t xml:space="preserve"> its solubility</w:t>
      </w:r>
      <w:r w:rsidR="006E7D65" w:rsidRPr="00CC4D7C">
        <w:rPr>
          <w:color w:val="000000" w:themeColor="text1"/>
        </w:rPr>
        <w:t xml:space="preserve">. </w:t>
      </w:r>
    </w:p>
    <w:p w:rsidR="00963061" w:rsidRPr="00CC4D7C" w:rsidRDefault="00963061">
      <w:pPr>
        <w:pStyle w:val="IUPACpreferredcommentstext"/>
        <w:rPr>
          <w:color w:val="000000" w:themeColor="text1"/>
        </w:rPr>
      </w:pPr>
      <w:r w:rsidRPr="00CC4D7C">
        <w:rPr>
          <w:color w:val="000000" w:themeColor="text1"/>
        </w:rPr>
        <w:t xml:space="preserve">Xiao et al derived values of </w:t>
      </w:r>
      <m:oMath>
        <m:r>
          <w:rPr>
            <w:rFonts w:ascii="Cambria Math" w:hAnsi="Cambria Math"/>
            <w:color w:val="000000" w:themeColor="text1"/>
          </w:rPr>
          <m:t>H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bi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l</m:t>
                </m:r>
              </m:sub>
            </m:sSub>
          </m:e>
        </m:rad>
      </m:oMath>
      <w:r w:rsidRPr="00CC4D7C">
        <w:rPr>
          <w:color w:val="000000" w:themeColor="text1"/>
        </w:rPr>
        <w:t xml:space="preserve"> of </w:t>
      </w:r>
      <w:r w:rsidR="00F86AD1" w:rsidRPr="00CC4D7C">
        <w:rPr>
          <w:color w:val="000000" w:themeColor="text1"/>
        </w:rPr>
        <w:t xml:space="preserve">69.4, 35.4 and 26.1 </w:t>
      </w:r>
      <w:r w:rsidR="00396B20">
        <w:rPr>
          <w:color w:val="000000" w:themeColor="text1"/>
        </w:rPr>
        <w:t>cm M</w:t>
      </w:r>
      <w:r w:rsidR="00396B20" w:rsidRPr="00ED1357">
        <w:rPr>
          <w:color w:val="000000" w:themeColor="text1"/>
          <w:vertAlign w:val="superscript"/>
        </w:rPr>
        <w:t>0.5</w:t>
      </w:r>
      <w:r w:rsidR="00396B20">
        <w:rPr>
          <w:color w:val="000000" w:themeColor="text1"/>
        </w:rPr>
        <w:t xml:space="preserve"> atm</w:t>
      </w:r>
      <w:r w:rsidR="00396B20" w:rsidRPr="00ED1357">
        <w:rPr>
          <w:color w:val="000000" w:themeColor="text1"/>
          <w:vertAlign w:val="superscript"/>
        </w:rPr>
        <w:t>-1</w:t>
      </w:r>
      <w:r w:rsidR="00396B20">
        <w:rPr>
          <w:color w:val="000000" w:themeColor="text1"/>
        </w:rPr>
        <w:t xml:space="preserve"> s</w:t>
      </w:r>
      <w:r w:rsidR="00396B20" w:rsidRPr="00ED1357">
        <w:rPr>
          <w:color w:val="000000" w:themeColor="text1"/>
          <w:vertAlign w:val="superscript"/>
        </w:rPr>
        <w:t>-1</w:t>
      </w:r>
      <w:r w:rsidR="00396B20">
        <w:rPr>
          <w:color w:val="000000" w:themeColor="text1"/>
          <w:vertAlign w:val="superscript"/>
        </w:rPr>
        <w:t xml:space="preserve"> </w:t>
      </w:r>
      <w:r w:rsidR="00F86AD1" w:rsidRPr="00CC4D7C">
        <w:rPr>
          <w:color w:val="000000" w:themeColor="text1"/>
        </w:rPr>
        <w:t>for NO</w:t>
      </w:r>
      <w:r w:rsidR="00F86AD1" w:rsidRPr="00CC4D7C">
        <w:rPr>
          <w:color w:val="000000" w:themeColor="text1"/>
          <w:vertAlign w:val="subscript"/>
        </w:rPr>
        <w:t>3</w:t>
      </w:r>
      <w:r w:rsidR="00F86AD1" w:rsidRPr="00CC4D7C">
        <w:rPr>
          <w:color w:val="000000" w:themeColor="text1"/>
        </w:rPr>
        <w:t xml:space="preserve"> uptake and reaction with methyl </w:t>
      </w:r>
      <w:proofErr w:type="spellStart"/>
      <w:r w:rsidR="00F86AD1" w:rsidRPr="00CC4D7C">
        <w:rPr>
          <w:color w:val="000000" w:themeColor="text1"/>
        </w:rPr>
        <w:t>oleate</w:t>
      </w:r>
      <w:proofErr w:type="spellEnd"/>
      <w:r w:rsidR="00F86AD1" w:rsidRPr="00CC4D7C">
        <w:rPr>
          <w:color w:val="000000" w:themeColor="text1"/>
        </w:rPr>
        <w:t xml:space="preserve"> in DES, DOS and </w:t>
      </w:r>
      <w:proofErr w:type="spellStart"/>
      <w:r w:rsidR="00F86AD1" w:rsidRPr="00CC4D7C">
        <w:rPr>
          <w:color w:val="000000" w:themeColor="text1"/>
        </w:rPr>
        <w:t>squal</w:t>
      </w:r>
      <w:r w:rsidR="00FB3ADF" w:rsidRPr="00CC4D7C">
        <w:rPr>
          <w:color w:val="000000" w:themeColor="text1"/>
        </w:rPr>
        <w:t>a</w:t>
      </w:r>
      <w:r w:rsidR="00F86AD1" w:rsidRPr="00CC4D7C">
        <w:rPr>
          <w:color w:val="000000" w:themeColor="text1"/>
        </w:rPr>
        <w:t>ne</w:t>
      </w:r>
      <w:proofErr w:type="spellEnd"/>
      <w:r w:rsidR="00F86AD1" w:rsidRPr="00CC4D7C">
        <w:rPr>
          <w:color w:val="000000" w:themeColor="text1"/>
        </w:rPr>
        <w:t>, respectively.</w:t>
      </w:r>
      <w:r w:rsidR="007C3F00" w:rsidRPr="00CC4D7C">
        <w:rPr>
          <w:color w:val="000000" w:themeColor="text1"/>
        </w:rPr>
        <w:t xml:space="preserve"> The lower values indicate that </w:t>
      </w:r>
      <w:r w:rsidR="00FB3ADF" w:rsidRPr="00CC4D7C">
        <w:rPr>
          <w:color w:val="000000" w:themeColor="text1"/>
        </w:rPr>
        <w:t>the diffusion term (</w:t>
      </w:r>
      <w:r w:rsidR="00FB3ADF" w:rsidRPr="00CC4D7C">
        <w:rPr>
          <w:i/>
          <w:color w:val="000000" w:themeColor="text1"/>
        </w:rPr>
        <w:t>D</w:t>
      </w:r>
      <w:r w:rsidR="00FB3ADF" w:rsidRPr="00CC4D7C">
        <w:rPr>
          <w:i/>
          <w:color w:val="000000" w:themeColor="text1"/>
          <w:vertAlign w:val="subscript"/>
        </w:rPr>
        <w:t>l</w:t>
      </w:r>
      <w:r w:rsidR="00FB3ADF" w:rsidRPr="00CC4D7C">
        <w:rPr>
          <w:color w:val="000000" w:themeColor="text1"/>
        </w:rPr>
        <w:t xml:space="preserve">) influences </w:t>
      </w:r>
      <w:r w:rsidR="0080019F">
        <w:rPr>
          <w:color w:val="000000" w:themeColor="text1"/>
          <w:szCs w:val="24"/>
        </w:rPr>
        <w:t>the uptake coefficient</w:t>
      </w:r>
      <w:r w:rsidR="00FB3ADF" w:rsidRPr="00CC4D7C">
        <w:rPr>
          <w:color w:val="000000" w:themeColor="text1"/>
        </w:rPr>
        <w:t xml:space="preserve"> significantly.</w:t>
      </w:r>
    </w:p>
    <w:p w:rsidR="0023277E" w:rsidRDefault="00806D6D" w:rsidP="0023277E">
      <w:pPr>
        <w:pStyle w:val="IUPACpreferredcommentstext"/>
      </w:pPr>
      <w:r w:rsidRPr="00CC4D7C">
        <w:rPr>
          <w:color w:val="000000" w:themeColor="text1"/>
        </w:rPr>
        <w:t xml:space="preserve">A rough estimate for </w:t>
      </w:r>
      <w:r w:rsidR="00CC4D7C">
        <w:rPr>
          <w:color w:val="000000" w:themeColor="text1"/>
        </w:rPr>
        <w:t xml:space="preserve">a generic uptake coefficient </w:t>
      </w:r>
      <w:r w:rsidRPr="00CC4D7C">
        <w:rPr>
          <w:color w:val="000000" w:themeColor="text1"/>
        </w:rPr>
        <w:t>for NO</w:t>
      </w:r>
      <w:r w:rsidRPr="00CC4D7C">
        <w:rPr>
          <w:color w:val="000000" w:themeColor="text1"/>
          <w:vertAlign w:val="subscript"/>
        </w:rPr>
        <w:t>3</w:t>
      </w:r>
      <w:r w:rsidRPr="00CC4D7C">
        <w:rPr>
          <w:color w:val="000000" w:themeColor="text1"/>
        </w:rPr>
        <w:t xml:space="preserve"> upta</w:t>
      </w:r>
      <w:r w:rsidR="00CC4D7C">
        <w:rPr>
          <w:color w:val="000000" w:themeColor="text1"/>
        </w:rPr>
        <w:t>k</w:t>
      </w:r>
      <w:r w:rsidRPr="00CC4D7C">
        <w:rPr>
          <w:color w:val="000000" w:themeColor="text1"/>
        </w:rPr>
        <w:t>e to an alkene</w:t>
      </w:r>
      <w:r w:rsidR="00150CB8">
        <w:rPr>
          <w:color w:val="000000" w:themeColor="text1"/>
        </w:rPr>
        <w:t xml:space="preserve"> </w:t>
      </w:r>
      <w:r w:rsidRPr="00CC4D7C">
        <w:rPr>
          <w:color w:val="000000" w:themeColor="text1"/>
        </w:rPr>
        <w:t xml:space="preserve">can be made by using </w:t>
      </w:r>
      <w:r w:rsidR="00A0330E" w:rsidRPr="00CC4D7C">
        <w:rPr>
          <w:i/>
          <w:color w:val="000000" w:themeColor="text1"/>
        </w:rPr>
        <w:t>k</w:t>
      </w:r>
      <w:r w:rsidR="00CC4D7C">
        <w:rPr>
          <w:color w:val="000000" w:themeColor="text1"/>
          <w:vertAlign w:val="subscript"/>
        </w:rPr>
        <w:t>b</w:t>
      </w:r>
      <w:r w:rsidR="00A0330E" w:rsidRPr="00CC4D7C">
        <w:rPr>
          <w:color w:val="000000" w:themeColor="text1"/>
          <w:vertAlign w:val="subscript"/>
        </w:rPr>
        <w:t xml:space="preserve"> </w:t>
      </w:r>
      <w:r w:rsidR="00A0330E" w:rsidRPr="00CC4D7C">
        <w:rPr>
          <w:color w:val="000000" w:themeColor="text1"/>
        </w:rPr>
        <w:t xml:space="preserve">= </w:t>
      </w:r>
      <w:r w:rsidRPr="00CC4D7C">
        <w:rPr>
          <w:color w:val="000000" w:themeColor="text1"/>
        </w:rPr>
        <w:t>1</w:t>
      </w:r>
      <w:r w:rsidR="00CC4D7C">
        <w:rPr>
          <w:color w:val="000000" w:themeColor="text1"/>
        </w:rPr>
        <w:t>.</w:t>
      </w:r>
      <w:r w:rsidRPr="00CC4D7C">
        <w:rPr>
          <w:color w:val="000000" w:themeColor="text1"/>
        </w:rPr>
        <w:t>2</w:t>
      </w:r>
      <w:r w:rsidR="00A0330E" w:rsidRPr="00CC4D7C">
        <w:rPr>
          <w:color w:val="000000" w:themeColor="text1"/>
        </w:rPr>
        <w:t xml:space="preserve"> </w:t>
      </w:r>
      <w:r w:rsidR="00A0330E" w:rsidRPr="00CC4D7C">
        <w:rPr>
          <w:color w:val="000000" w:themeColor="text1"/>
        </w:rPr>
        <w:sym w:font="Symbol" w:char="F0B4"/>
      </w:r>
      <w:r w:rsidR="00A0330E" w:rsidRPr="00CC4D7C">
        <w:rPr>
          <w:color w:val="000000" w:themeColor="text1"/>
        </w:rPr>
        <w:t xml:space="preserve"> 10</w:t>
      </w:r>
      <w:r w:rsidR="00CC4D7C">
        <w:rPr>
          <w:color w:val="000000" w:themeColor="text1"/>
          <w:vertAlign w:val="superscript"/>
        </w:rPr>
        <w:t>6</w:t>
      </w:r>
      <w:r w:rsidR="00A0330E" w:rsidRPr="00CC4D7C">
        <w:rPr>
          <w:color w:val="000000" w:themeColor="text1"/>
        </w:rPr>
        <w:t xml:space="preserve"> M</w:t>
      </w:r>
      <w:r w:rsidR="00A0330E" w:rsidRPr="00CC4D7C">
        <w:rPr>
          <w:color w:val="000000" w:themeColor="text1"/>
          <w:vertAlign w:val="superscript"/>
        </w:rPr>
        <w:t>-1</w:t>
      </w:r>
      <w:r w:rsidR="00A0330E" w:rsidRPr="00CC4D7C">
        <w:rPr>
          <w:color w:val="000000" w:themeColor="text1"/>
        </w:rPr>
        <w:t xml:space="preserve"> s</w:t>
      </w:r>
      <w:r w:rsidR="00A0330E" w:rsidRPr="00CC4D7C">
        <w:rPr>
          <w:color w:val="000000" w:themeColor="text1"/>
          <w:vertAlign w:val="superscript"/>
        </w:rPr>
        <w:t>-1</w:t>
      </w:r>
      <w:r w:rsidR="00A0330E" w:rsidRPr="00CC4D7C">
        <w:rPr>
          <w:color w:val="000000" w:themeColor="text1"/>
        </w:rPr>
        <w:t xml:space="preserve"> which is equivalent to a gas-phase rate constant of </w:t>
      </w:r>
      <w:r w:rsidRPr="00CC4D7C">
        <w:rPr>
          <w:color w:val="000000" w:themeColor="text1"/>
        </w:rPr>
        <w:t>2</w:t>
      </w:r>
      <w:r w:rsidR="00A0330E" w:rsidRPr="00CC4D7C">
        <w:rPr>
          <w:color w:val="000000" w:themeColor="text1"/>
        </w:rPr>
        <w:t xml:space="preserve"> </w:t>
      </w:r>
      <w:r w:rsidR="00A0330E" w:rsidRPr="00CC4D7C">
        <w:rPr>
          <w:color w:val="000000" w:themeColor="text1"/>
        </w:rPr>
        <w:sym w:font="Symbol" w:char="F0B4"/>
      </w:r>
      <w:r w:rsidR="00A0330E" w:rsidRPr="00CC4D7C">
        <w:rPr>
          <w:color w:val="000000" w:themeColor="text1"/>
        </w:rPr>
        <w:t xml:space="preserve"> 10</w:t>
      </w:r>
      <w:r w:rsidRPr="00CC4D7C">
        <w:rPr>
          <w:color w:val="000000" w:themeColor="text1"/>
          <w:vertAlign w:val="superscript"/>
        </w:rPr>
        <w:t>-15</w:t>
      </w:r>
      <w:r w:rsidR="00A0330E" w:rsidRPr="00CC4D7C">
        <w:rPr>
          <w:color w:val="000000" w:themeColor="text1"/>
        </w:rPr>
        <w:t xml:space="preserve"> cm</w:t>
      </w:r>
      <w:r w:rsidR="00A0330E" w:rsidRPr="00CC4D7C">
        <w:rPr>
          <w:color w:val="000000" w:themeColor="text1"/>
          <w:vertAlign w:val="superscript"/>
        </w:rPr>
        <w:t>3</w:t>
      </w:r>
      <w:r w:rsidR="00A0330E" w:rsidRPr="00CC4D7C">
        <w:rPr>
          <w:color w:val="000000" w:themeColor="text1"/>
        </w:rPr>
        <w:t xml:space="preserve"> molecule</w:t>
      </w:r>
      <w:r w:rsidR="00A0330E" w:rsidRPr="00CC4D7C">
        <w:rPr>
          <w:color w:val="000000" w:themeColor="text1"/>
          <w:vertAlign w:val="superscript"/>
        </w:rPr>
        <w:t>-1</w:t>
      </w:r>
      <w:r w:rsidR="00A0330E" w:rsidRPr="00CC4D7C">
        <w:rPr>
          <w:color w:val="000000" w:themeColor="text1"/>
        </w:rPr>
        <w:t xml:space="preserve"> s</w:t>
      </w:r>
      <w:r w:rsidR="00A0330E" w:rsidRPr="00CC4D7C">
        <w:rPr>
          <w:color w:val="000000" w:themeColor="text1"/>
          <w:vertAlign w:val="superscript"/>
        </w:rPr>
        <w:noBreakHyphen/>
        <w:t>1</w:t>
      </w:r>
      <w:r w:rsidR="00A0330E" w:rsidRPr="00CC4D7C">
        <w:rPr>
          <w:color w:val="000000" w:themeColor="text1"/>
        </w:rPr>
        <w:t xml:space="preserve">, </w:t>
      </w:r>
      <w:r w:rsidR="005146FD" w:rsidRPr="00CC4D7C">
        <w:rPr>
          <w:i/>
          <w:color w:val="000000" w:themeColor="text1"/>
        </w:rPr>
        <w:t>D</w:t>
      </w:r>
      <w:r w:rsidR="005146FD" w:rsidRPr="00CC4D7C">
        <w:rPr>
          <w:i/>
          <w:color w:val="000000" w:themeColor="text1"/>
          <w:vertAlign w:val="subscript"/>
        </w:rPr>
        <w:t>l</w:t>
      </w:r>
      <w:r w:rsidR="005146FD" w:rsidRPr="00CC4D7C">
        <w:rPr>
          <w:color w:val="000000" w:themeColor="text1"/>
        </w:rPr>
        <w:t xml:space="preserve">, </w:t>
      </w:r>
      <w:r w:rsidR="006E7D65" w:rsidRPr="00CC4D7C">
        <w:rPr>
          <w:color w:val="000000" w:themeColor="text1"/>
        </w:rPr>
        <w:t>=</w:t>
      </w:r>
      <w:r w:rsidR="005146FD" w:rsidRPr="00CC4D7C">
        <w:rPr>
          <w:color w:val="000000" w:themeColor="text1"/>
        </w:rPr>
        <w:t xml:space="preserve"> 2 </w:t>
      </w:r>
      <w:r w:rsidR="005146FD" w:rsidRPr="00CC4D7C">
        <w:rPr>
          <w:color w:val="000000" w:themeColor="text1"/>
        </w:rPr>
        <w:sym w:font="Symbol" w:char="F0B4"/>
      </w:r>
      <w:r w:rsidR="005146FD" w:rsidRPr="00CC4D7C">
        <w:rPr>
          <w:color w:val="000000" w:themeColor="text1"/>
        </w:rPr>
        <w:t xml:space="preserve"> 10</w:t>
      </w:r>
      <w:r w:rsidR="005146FD" w:rsidRPr="00CC4D7C">
        <w:rPr>
          <w:color w:val="000000" w:themeColor="text1"/>
          <w:vertAlign w:val="superscript"/>
        </w:rPr>
        <w:t>-5</w:t>
      </w:r>
      <w:r w:rsidR="005146FD" w:rsidRPr="00CC4D7C">
        <w:rPr>
          <w:color w:val="000000" w:themeColor="text1"/>
        </w:rPr>
        <w:t xml:space="preserve"> cm</w:t>
      </w:r>
      <w:r w:rsidR="005146FD" w:rsidRPr="00CC4D7C">
        <w:rPr>
          <w:color w:val="000000" w:themeColor="text1"/>
          <w:vertAlign w:val="superscript"/>
        </w:rPr>
        <w:t>2</w:t>
      </w:r>
      <w:r w:rsidR="005146FD" w:rsidRPr="00CC4D7C">
        <w:rPr>
          <w:color w:val="000000" w:themeColor="text1"/>
        </w:rPr>
        <w:t xml:space="preserve"> s</w:t>
      </w:r>
      <w:r w:rsidR="005146FD" w:rsidRPr="00CC4D7C">
        <w:rPr>
          <w:color w:val="000000" w:themeColor="text1"/>
          <w:vertAlign w:val="superscript"/>
        </w:rPr>
        <w:t>-1</w:t>
      </w:r>
      <w:r w:rsidR="006E7D65" w:rsidRPr="00CC4D7C">
        <w:rPr>
          <w:color w:val="000000" w:themeColor="text1"/>
        </w:rPr>
        <w:t xml:space="preserve">, and </w:t>
      </w:r>
      <w:r w:rsidR="006E7D65" w:rsidRPr="00CC4D7C">
        <w:rPr>
          <w:i/>
          <w:color w:val="000000" w:themeColor="text1"/>
        </w:rPr>
        <w:t>H</w:t>
      </w:r>
      <w:r w:rsidR="006E7D65" w:rsidRPr="00CC4D7C">
        <w:rPr>
          <w:color w:val="000000" w:themeColor="text1"/>
        </w:rPr>
        <w:t xml:space="preserve"> = 0.8 Matm</w:t>
      </w:r>
      <w:r w:rsidR="006E7D65" w:rsidRPr="00CC4D7C">
        <w:rPr>
          <w:color w:val="000000" w:themeColor="text1"/>
          <w:vertAlign w:val="superscript"/>
        </w:rPr>
        <w:t>-1</w:t>
      </w:r>
      <w:r w:rsidR="00304A1A" w:rsidRPr="00CC4D7C">
        <w:rPr>
          <w:color w:val="000000" w:themeColor="text1"/>
        </w:rPr>
        <w:t>.</w:t>
      </w:r>
      <w:r w:rsidR="00A0330E" w:rsidRPr="00CC4D7C">
        <w:rPr>
          <w:color w:val="000000" w:themeColor="text1"/>
        </w:rPr>
        <w:t xml:space="preserve"> This results in a value of </w:t>
      </w:r>
      <w:r w:rsidR="00A0330E" w:rsidRPr="00CC4D7C">
        <w:rPr>
          <w:color w:val="000000" w:themeColor="text1"/>
          <w:szCs w:val="24"/>
        </w:rPr>
        <w:sym w:font="Symbol" w:char="F067"/>
      </w:r>
      <w:r w:rsidR="00A0330E" w:rsidRPr="00CC4D7C">
        <w:rPr>
          <w:color w:val="000000" w:themeColor="text1"/>
        </w:rPr>
        <w:t xml:space="preserve"> = </w:t>
      </w:r>
      <w:r w:rsidRPr="00CC4D7C">
        <w:rPr>
          <w:color w:val="000000" w:themeColor="text1"/>
        </w:rPr>
        <w:t>2</w:t>
      </w:r>
      <w:r w:rsidR="00A0330E" w:rsidRPr="00CC4D7C">
        <w:rPr>
          <w:color w:val="000000" w:themeColor="text1"/>
        </w:rPr>
        <w:t xml:space="preserve"> </w:t>
      </w:r>
      <w:r w:rsidR="00A0330E" w:rsidRPr="00CC4D7C">
        <w:rPr>
          <w:color w:val="000000" w:themeColor="text1"/>
        </w:rPr>
        <w:sym w:font="Symbol" w:char="F0B4"/>
      </w:r>
      <w:r w:rsidR="00A0330E" w:rsidRPr="00CC4D7C">
        <w:rPr>
          <w:color w:val="000000" w:themeColor="text1"/>
        </w:rPr>
        <w:t xml:space="preserve"> 10</w:t>
      </w:r>
      <w:r w:rsidRPr="00CC4D7C">
        <w:rPr>
          <w:color w:val="000000" w:themeColor="text1"/>
          <w:vertAlign w:val="superscript"/>
        </w:rPr>
        <w:t>-2</w:t>
      </w:r>
      <w:r w:rsidR="00A0330E" w:rsidRPr="00CC4D7C">
        <w:rPr>
          <w:color w:val="000000" w:themeColor="text1"/>
        </w:rPr>
        <w:t xml:space="preserve">, </w:t>
      </w:r>
      <w:proofErr w:type="gramStart"/>
      <w:r w:rsidR="00A0330E" w:rsidRPr="00CC4D7C">
        <w:rPr>
          <w:color w:val="000000" w:themeColor="text1"/>
        </w:rPr>
        <w:t>which  is</w:t>
      </w:r>
      <w:proofErr w:type="gramEnd"/>
      <w:r w:rsidR="00A0330E" w:rsidRPr="00CC4D7C">
        <w:rPr>
          <w:color w:val="000000" w:themeColor="text1"/>
        </w:rPr>
        <w:t xml:space="preserve"> consistent with the experimental data</w:t>
      </w:r>
      <w:r w:rsidRPr="00CC4D7C">
        <w:rPr>
          <w:color w:val="000000" w:themeColor="text1"/>
        </w:rPr>
        <w:t xml:space="preserve"> if we assign a total uncertainty of a factor 10</w:t>
      </w:r>
      <w:r w:rsidR="00A0330E" w:rsidRPr="00CC4D7C">
        <w:rPr>
          <w:color w:val="000000" w:themeColor="text1"/>
        </w:rPr>
        <w:t xml:space="preserve">. </w:t>
      </w:r>
      <w:r w:rsidR="0023277E">
        <w:t xml:space="preserve">The large uncertainty associated with use of a generic rate constant, </w:t>
      </w:r>
      <w:r w:rsidR="0023277E" w:rsidRPr="001D5B1F">
        <w:rPr>
          <w:i/>
        </w:rPr>
        <w:t>k</w:t>
      </w:r>
      <w:r w:rsidR="0023277E" w:rsidRPr="001D5B1F">
        <w:rPr>
          <w:vertAlign w:val="subscript"/>
        </w:rPr>
        <w:t>b</w:t>
      </w:r>
      <w:r w:rsidR="0023277E">
        <w:t xml:space="preserve">, and also use of potentially inappropriate values of </w:t>
      </w:r>
      <w:r w:rsidR="0023277E" w:rsidRPr="007C2602">
        <w:rPr>
          <w:i/>
        </w:rPr>
        <w:t>H</w:t>
      </w:r>
      <w:r w:rsidR="0023277E">
        <w:t xml:space="preserve"> and </w:t>
      </w:r>
      <w:proofErr w:type="gramStart"/>
      <w:r w:rsidR="0023277E" w:rsidRPr="007C2602">
        <w:rPr>
          <w:i/>
        </w:rPr>
        <w:t>D</w:t>
      </w:r>
      <w:r w:rsidR="0023277E" w:rsidRPr="007C2602">
        <w:rPr>
          <w:i/>
          <w:vertAlign w:val="subscript"/>
        </w:rPr>
        <w:t>l</w:t>
      </w:r>
      <w:r w:rsidR="0023277E">
        <w:rPr>
          <w:i/>
          <w:vertAlign w:val="subscript"/>
        </w:rPr>
        <w:t xml:space="preserve"> </w:t>
      </w:r>
      <w:r w:rsidR="0023277E">
        <w:t xml:space="preserve"> is</w:t>
      </w:r>
      <w:proofErr w:type="gramEnd"/>
      <w:r w:rsidR="0023277E">
        <w:t xml:space="preserve"> taken into account by assigning a large uncertainty to </w:t>
      </w:r>
      <w:r w:rsidR="0023277E" w:rsidRPr="007C2602">
        <w:rPr>
          <w:i/>
        </w:rPr>
        <w:t>k</w:t>
      </w:r>
      <w:r w:rsidR="0023277E" w:rsidRPr="007C2602">
        <w:rPr>
          <w:i/>
          <w:vertAlign w:val="subscript"/>
        </w:rPr>
        <w:t>b</w:t>
      </w:r>
      <w:r w:rsidR="0023277E">
        <w:t>.</w:t>
      </w:r>
    </w:p>
    <w:p w:rsidR="00044650" w:rsidRDefault="0023277E" w:rsidP="0023277E">
      <w:pPr>
        <w:pStyle w:val="IUPACpreferredcommentstext"/>
      </w:pPr>
      <w:r>
        <w:t xml:space="preserve">Uptake to multicomponent organic mixtures can be approximated by summing the product </w:t>
      </w:r>
      <w:proofErr w:type="gramStart"/>
      <w:r w:rsidRPr="007C2602">
        <w:rPr>
          <w:i/>
        </w:rPr>
        <w:t>k</w:t>
      </w:r>
      <w:r w:rsidRPr="007C2602">
        <w:rPr>
          <w:vertAlign w:val="subscript"/>
        </w:rPr>
        <w:t>b</w:t>
      </w:r>
      <w:r w:rsidR="003A6BDB">
        <w:rPr>
          <w:vertAlign w:val="subscript"/>
        </w:rPr>
        <w:t>(</w:t>
      </w:r>
      <w:proofErr w:type="spellStart"/>
      <w:proofErr w:type="gramEnd"/>
      <w:r w:rsidRPr="007C2602">
        <w:rPr>
          <w:vertAlign w:val="subscript"/>
        </w:rPr>
        <w:t>i</w:t>
      </w:r>
      <w:proofErr w:type="spellEnd"/>
      <w:r w:rsidR="003A6BDB">
        <w:rPr>
          <w:vertAlign w:val="subscript"/>
        </w:rPr>
        <w:t>)</w:t>
      </w:r>
      <w:r>
        <w:t>[HC]</w:t>
      </w:r>
      <w:r w:rsidRPr="00547231">
        <w:rPr>
          <w:vertAlign w:val="subscript"/>
        </w:rPr>
        <w:t>(</w:t>
      </w:r>
      <w:proofErr w:type="spellStart"/>
      <w:r w:rsidRPr="007C2602">
        <w:rPr>
          <w:vertAlign w:val="subscript"/>
        </w:rPr>
        <w:t>i</w:t>
      </w:r>
      <w:proofErr w:type="spellEnd"/>
      <w:r>
        <w:rPr>
          <w:vertAlign w:val="subscript"/>
        </w:rPr>
        <w:t xml:space="preserve">) </w:t>
      </w:r>
      <w:r>
        <w:t xml:space="preserve">and using an average value for </w:t>
      </w:r>
      <w:r w:rsidRPr="007C2602">
        <w:rPr>
          <w:i/>
        </w:rPr>
        <w:t>H</w:t>
      </w:r>
      <w:r>
        <w:t xml:space="preserve"> and </w:t>
      </w:r>
      <w:r w:rsidRPr="007C2602">
        <w:rPr>
          <w:i/>
        </w:rPr>
        <w:t>D</w:t>
      </w:r>
      <w:r w:rsidRPr="007C2602">
        <w:rPr>
          <w:i/>
          <w:vertAlign w:val="subscript"/>
        </w:rPr>
        <w:t>l</w:t>
      </w:r>
      <w:r>
        <w:t xml:space="preserve">. For unreactive or very small particles a correction for the </w:t>
      </w:r>
      <w:proofErr w:type="spellStart"/>
      <w:r>
        <w:t>diffuso</w:t>
      </w:r>
      <w:proofErr w:type="spellEnd"/>
      <w:r>
        <w:t xml:space="preserve">-reactive length may be important (see guide to datasheets), whereas for very reactive particles, the reaction </w:t>
      </w:r>
      <w:proofErr w:type="spellStart"/>
      <w:r>
        <w:t>my</w:t>
      </w:r>
      <w:proofErr w:type="spellEnd"/>
      <w:r>
        <w:t xml:space="preserve"> be </w:t>
      </w:r>
      <w:proofErr w:type="gramStart"/>
      <w:r>
        <w:t>limited  to</w:t>
      </w:r>
      <w:proofErr w:type="gramEnd"/>
      <w:r>
        <w:t xml:space="preserve"> the surface layers of the sample. This may result in uptake coefficients that decrease with exposure time if mixing in the particle is hindered by high viscosity.</w:t>
      </w:r>
    </w:p>
    <w:p w:rsidR="002F5C5A" w:rsidRDefault="00DD484B">
      <w:pPr>
        <w:pStyle w:val="IUPACpreferredcommentstext"/>
      </w:pPr>
      <w:r>
        <w:t xml:space="preserve">Lee et al found that </w:t>
      </w:r>
      <w:r w:rsidR="002E12B3">
        <w:t>~ 1.5 squalene molecules were reacted per NO</w:t>
      </w:r>
      <w:r w:rsidR="002E12B3">
        <w:rPr>
          <w:vertAlign w:val="subscript"/>
        </w:rPr>
        <w:t>3</w:t>
      </w:r>
      <w:r w:rsidR="002E12B3">
        <w:t xml:space="preserve"> taken </w:t>
      </w:r>
      <w:proofErr w:type="gramStart"/>
      <w:r w:rsidR="002E12B3">
        <w:t>up,</w:t>
      </w:r>
      <w:proofErr w:type="gramEnd"/>
      <w:r w:rsidR="002E12B3">
        <w:t xml:space="preserve"> indicating that secondary consumption of squalene was operative and that, under their conditions of concentration and exposure time </w:t>
      </w:r>
      <w:r>
        <w:t>up to three NO</w:t>
      </w:r>
      <w:r>
        <w:rPr>
          <w:vertAlign w:val="subscript"/>
        </w:rPr>
        <w:t>3</w:t>
      </w:r>
      <w:r>
        <w:t xml:space="preserve"> subunits added to the squalene backbone</w:t>
      </w:r>
      <w:r w:rsidR="002E12B3">
        <w:t xml:space="preserve"> during reaction. </w:t>
      </w:r>
      <w:r w:rsidR="009A68E3">
        <w:t xml:space="preserve">The formation of </w:t>
      </w:r>
      <w:proofErr w:type="spellStart"/>
      <w:r w:rsidR="009A68E3">
        <w:t>consensed</w:t>
      </w:r>
      <w:proofErr w:type="spellEnd"/>
      <w:r w:rsidR="009A68E3">
        <w:t xml:space="preserve">-phase </w:t>
      </w:r>
      <w:proofErr w:type="spellStart"/>
      <w:r w:rsidR="009A68E3">
        <w:t>organo</w:t>
      </w:r>
      <w:r w:rsidR="00644F2D">
        <w:t>nitrate</w:t>
      </w:r>
      <w:r w:rsidR="009A68E3">
        <w:t>s</w:t>
      </w:r>
      <w:proofErr w:type="spellEnd"/>
      <w:r w:rsidR="009A68E3">
        <w:t xml:space="preserve"> and carbonyls has also been documented (Gross et al., 2009; Zhang et al. (2014). </w:t>
      </w:r>
    </w:p>
    <w:p w:rsidR="002F5C5A" w:rsidRDefault="002F5C5A" w:rsidP="00CA6636">
      <w:pPr>
        <w:pStyle w:val="IUPACTitle"/>
      </w:pPr>
      <w:r>
        <w:t>References</w:t>
      </w:r>
    </w:p>
    <w:p w:rsidR="00A81E2D" w:rsidRPr="00A81E2D" w:rsidRDefault="00A81E2D" w:rsidP="00A81E2D">
      <w:pPr>
        <w:rPr>
          <w:lang w:val="en-AU"/>
        </w:rPr>
      </w:pPr>
    </w:p>
    <w:p w:rsidR="002F5C5A" w:rsidRPr="00CC4D7C" w:rsidRDefault="002F5C5A">
      <w:pPr>
        <w:pStyle w:val="IUPACreference"/>
        <w:rPr>
          <w:rFonts w:cs="Times New Roman"/>
          <w:lang w:val="en-GB"/>
        </w:rPr>
      </w:pPr>
      <w:r w:rsidRPr="00CC4D7C">
        <w:rPr>
          <w:rFonts w:cs="Times New Roman"/>
          <w:lang w:val="en-GB"/>
        </w:rPr>
        <w:t xml:space="preserve">Gross, S. and Bertram, A. K.: J. </w:t>
      </w:r>
      <w:proofErr w:type="spellStart"/>
      <w:r w:rsidRPr="00CC4D7C">
        <w:rPr>
          <w:rFonts w:cs="Times New Roman"/>
          <w:lang w:val="en-GB"/>
        </w:rPr>
        <w:t>Geophys</w:t>
      </w:r>
      <w:proofErr w:type="spellEnd"/>
      <w:r w:rsidRPr="00CC4D7C">
        <w:rPr>
          <w:rFonts w:cs="Times New Roman"/>
          <w:lang w:val="en-GB"/>
        </w:rPr>
        <w:t xml:space="preserve">. Res. 114, D02307, </w:t>
      </w:r>
      <w:proofErr w:type="spellStart"/>
      <w:r w:rsidRPr="00CC4D7C">
        <w:rPr>
          <w:rFonts w:cs="Times New Roman"/>
          <w:lang w:val="en-GB"/>
        </w:rPr>
        <w:t>doi</w:t>
      </w:r>
      <w:proofErr w:type="spellEnd"/>
      <w:r w:rsidRPr="00CC4D7C">
        <w:rPr>
          <w:rFonts w:cs="Times New Roman"/>
          <w:lang w:val="en-GB"/>
        </w:rPr>
        <w:t>: 10.1029/2008JD010987, 2009.</w:t>
      </w:r>
    </w:p>
    <w:p w:rsidR="002F5C5A" w:rsidRPr="00CC4D7C" w:rsidRDefault="002F5C5A" w:rsidP="00CC4D7C">
      <w:pPr>
        <w:pStyle w:val="IUPACreference"/>
        <w:tabs>
          <w:tab w:val="left" w:pos="8508"/>
        </w:tabs>
        <w:rPr>
          <w:rFonts w:cs="Times New Roman"/>
          <w:lang w:val="en-GB"/>
        </w:rPr>
      </w:pPr>
      <w:r w:rsidRPr="00CC4D7C">
        <w:rPr>
          <w:rFonts w:cs="Times New Roman"/>
          <w:lang w:val="en-GB"/>
        </w:rPr>
        <w:t xml:space="preserve">Knopf, D. A., </w:t>
      </w:r>
      <w:proofErr w:type="spellStart"/>
      <w:r w:rsidRPr="00CC4D7C">
        <w:rPr>
          <w:rFonts w:cs="Times New Roman"/>
          <w:lang w:val="en-GB"/>
        </w:rPr>
        <w:t>Mak</w:t>
      </w:r>
      <w:proofErr w:type="spellEnd"/>
      <w:r w:rsidRPr="00CC4D7C">
        <w:rPr>
          <w:rFonts w:cs="Times New Roman"/>
          <w:lang w:val="en-GB"/>
        </w:rPr>
        <w:t xml:space="preserve">, J., Gross, S. and Bertram, A. K.: </w:t>
      </w:r>
      <w:proofErr w:type="spellStart"/>
      <w:r w:rsidRPr="00CC4D7C">
        <w:rPr>
          <w:rFonts w:cs="Times New Roman"/>
          <w:lang w:val="en-GB"/>
        </w:rPr>
        <w:t>Geophys</w:t>
      </w:r>
      <w:proofErr w:type="spellEnd"/>
      <w:r w:rsidRPr="00CC4D7C">
        <w:rPr>
          <w:rFonts w:cs="Times New Roman"/>
          <w:lang w:val="en-GB"/>
        </w:rPr>
        <w:t xml:space="preserve">. Res. Lett. </w:t>
      </w:r>
      <w:proofErr w:type="gramStart"/>
      <w:r w:rsidRPr="00CC4D7C">
        <w:rPr>
          <w:rFonts w:cs="Times New Roman"/>
          <w:lang w:val="en-GB"/>
        </w:rPr>
        <w:t>33,</w:t>
      </w:r>
      <w:r w:rsidRPr="00CC4D7C">
        <w:rPr>
          <w:rFonts w:cs="Times New Roman"/>
          <w:i/>
          <w:lang w:val="en-GB"/>
        </w:rPr>
        <w:t xml:space="preserve"> </w:t>
      </w:r>
      <w:r w:rsidRPr="00CC4D7C">
        <w:rPr>
          <w:rFonts w:cs="Times New Roman"/>
          <w:lang w:val="en-GB"/>
        </w:rPr>
        <w:t>2006.</w:t>
      </w:r>
      <w:proofErr w:type="gramEnd"/>
      <w:r w:rsidR="00CC4D7C" w:rsidRPr="00CC4D7C">
        <w:rPr>
          <w:rFonts w:cs="Times New Roman"/>
          <w:lang w:val="en-GB"/>
        </w:rPr>
        <w:tab/>
      </w:r>
    </w:p>
    <w:p w:rsidR="00CC4D7C" w:rsidRPr="00CC4D7C" w:rsidRDefault="00CC4D7C" w:rsidP="00CC4D7C">
      <w:pPr>
        <w:pStyle w:val="IUPACreference"/>
        <w:tabs>
          <w:tab w:val="left" w:pos="8508"/>
        </w:tabs>
        <w:rPr>
          <w:rFonts w:cs="Times New Roman"/>
          <w:lang w:val="en-GB"/>
        </w:rPr>
      </w:pPr>
      <w:r w:rsidRPr="00CC4D7C">
        <w:rPr>
          <w:rFonts w:cs="Times New Roman"/>
          <w:szCs w:val="24"/>
          <w:lang w:eastAsia="en-GB"/>
        </w:rPr>
        <w:t>Lee, L., Wooldridge, P., Nah, T., Wilson, K., and Cohen, R., Phys. Chem. Chem. Phys., 15, 882-892</w:t>
      </w:r>
      <w:proofErr w:type="gramStart"/>
      <w:r w:rsidRPr="00CC4D7C">
        <w:rPr>
          <w:rFonts w:cs="Times New Roman"/>
          <w:szCs w:val="24"/>
          <w:lang w:eastAsia="en-GB"/>
        </w:rPr>
        <w:t>,  2013</w:t>
      </w:r>
      <w:proofErr w:type="gramEnd"/>
      <w:r w:rsidRPr="00CC4D7C">
        <w:rPr>
          <w:rFonts w:cs="Times New Roman"/>
          <w:szCs w:val="24"/>
          <w:lang w:eastAsia="en-GB"/>
        </w:rPr>
        <w:t>.</w:t>
      </w:r>
    </w:p>
    <w:p w:rsidR="002F5C5A" w:rsidRDefault="002F5C5A">
      <w:pPr>
        <w:pStyle w:val="IUPACreference"/>
        <w:rPr>
          <w:rFonts w:cs="Times New Roman"/>
          <w:lang w:val="en-GB"/>
        </w:rPr>
      </w:pPr>
      <w:proofErr w:type="spellStart"/>
      <w:r w:rsidRPr="00CC4D7C">
        <w:rPr>
          <w:rFonts w:cs="Times New Roman"/>
          <w:lang w:val="en-GB"/>
        </w:rPr>
        <w:t>Moise</w:t>
      </w:r>
      <w:proofErr w:type="spellEnd"/>
      <w:r w:rsidRPr="00CC4D7C">
        <w:rPr>
          <w:rFonts w:cs="Times New Roman"/>
          <w:lang w:val="en-GB"/>
        </w:rPr>
        <w:t xml:space="preserve">, T., Talukdar, R. K., Frost, G. J., Fox, R. W. and Rudich, Y.: J. </w:t>
      </w:r>
      <w:proofErr w:type="spellStart"/>
      <w:r w:rsidRPr="00CC4D7C">
        <w:rPr>
          <w:rFonts w:cs="Times New Roman"/>
          <w:lang w:val="en-GB"/>
        </w:rPr>
        <w:t>Geophys</w:t>
      </w:r>
      <w:proofErr w:type="spellEnd"/>
      <w:r w:rsidRPr="00CC4D7C">
        <w:rPr>
          <w:rFonts w:cs="Times New Roman"/>
          <w:lang w:val="en-GB"/>
        </w:rPr>
        <w:t xml:space="preserve">. Res.-Atmos. 107, D2, </w:t>
      </w:r>
      <w:proofErr w:type="spellStart"/>
      <w:r w:rsidRPr="00CC4D7C">
        <w:rPr>
          <w:rFonts w:cs="Times New Roman"/>
          <w:lang w:val="en-GB"/>
        </w:rPr>
        <w:t>doi</w:t>
      </w:r>
      <w:proofErr w:type="spellEnd"/>
      <w:r w:rsidRPr="00CC4D7C">
        <w:rPr>
          <w:rFonts w:cs="Times New Roman"/>
          <w:lang w:val="en-GB"/>
        </w:rPr>
        <w:t>: 10.1029/2001JD000334,</w:t>
      </w:r>
      <w:r w:rsidRPr="00CC4D7C">
        <w:rPr>
          <w:rFonts w:cs="Times New Roman"/>
          <w:i/>
          <w:lang w:val="en-GB"/>
        </w:rPr>
        <w:t xml:space="preserve"> </w:t>
      </w:r>
      <w:r w:rsidRPr="00CC4D7C">
        <w:rPr>
          <w:rFonts w:cs="Times New Roman"/>
          <w:lang w:val="en-GB"/>
        </w:rPr>
        <w:t>2002.</w:t>
      </w:r>
    </w:p>
    <w:p w:rsidR="002F5C5A" w:rsidRPr="00CC4D7C" w:rsidRDefault="002F5C5A">
      <w:pPr>
        <w:pStyle w:val="IUPACreference"/>
        <w:rPr>
          <w:rFonts w:cs="Times New Roman"/>
          <w:lang w:val="en-GB"/>
        </w:rPr>
      </w:pPr>
      <w:r w:rsidRPr="00CC4D7C">
        <w:rPr>
          <w:rFonts w:cs="Times New Roman"/>
          <w:lang w:val="en-GB"/>
        </w:rPr>
        <w:t xml:space="preserve">Xiao, S., and Bertram, A.K.: Phys. Chem. Chem. Phys. 13, 6628-6636, </w:t>
      </w:r>
      <w:proofErr w:type="gramStart"/>
      <w:r w:rsidRPr="00CC4D7C">
        <w:rPr>
          <w:rFonts w:cs="Times New Roman"/>
          <w:lang w:val="en-GB"/>
        </w:rPr>
        <w:t>2011</w:t>
      </w:r>
      <w:proofErr w:type="gramEnd"/>
      <w:r w:rsidRPr="00CC4D7C">
        <w:rPr>
          <w:rFonts w:cs="Times New Roman"/>
          <w:lang w:val="en-GB"/>
        </w:rPr>
        <w:t>.</w:t>
      </w:r>
    </w:p>
    <w:p w:rsidR="002F5C5A" w:rsidRPr="00D72E3D" w:rsidRDefault="00CC4D7C" w:rsidP="00D72E3D">
      <w:pPr>
        <w:pStyle w:val="IUPACreference"/>
        <w:rPr>
          <w:rFonts w:cs="Times New Roman"/>
          <w:lang w:val="en-GB"/>
        </w:rPr>
      </w:pPr>
      <w:r w:rsidRPr="00CC4D7C">
        <w:rPr>
          <w:rFonts w:cs="Times New Roman"/>
          <w:szCs w:val="24"/>
          <w:lang w:eastAsia="en-GB"/>
        </w:rPr>
        <w:t xml:space="preserve">Zhang, Y. F., </w:t>
      </w:r>
      <w:proofErr w:type="spellStart"/>
      <w:r w:rsidRPr="00CC4D7C">
        <w:rPr>
          <w:rFonts w:cs="Times New Roman"/>
          <w:szCs w:val="24"/>
          <w:lang w:eastAsia="en-GB"/>
        </w:rPr>
        <w:t>Chapleski</w:t>
      </w:r>
      <w:proofErr w:type="spellEnd"/>
      <w:r w:rsidRPr="00CC4D7C">
        <w:rPr>
          <w:rFonts w:cs="Times New Roman"/>
          <w:szCs w:val="24"/>
          <w:lang w:eastAsia="en-GB"/>
        </w:rPr>
        <w:t xml:space="preserve">, R. C., Lu, J. W., </w:t>
      </w:r>
      <w:proofErr w:type="spellStart"/>
      <w:r w:rsidRPr="00CC4D7C">
        <w:rPr>
          <w:rFonts w:cs="Times New Roman"/>
          <w:szCs w:val="24"/>
          <w:lang w:eastAsia="en-GB"/>
        </w:rPr>
        <w:t>Rockhold</w:t>
      </w:r>
      <w:proofErr w:type="spellEnd"/>
      <w:r w:rsidRPr="00CC4D7C">
        <w:rPr>
          <w:rFonts w:cs="Times New Roman"/>
          <w:szCs w:val="24"/>
          <w:lang w:eastAsia="en-GB"/>
        </w:rPr>
        <w:t xml:space="preserve">, T. H., </w:t>
      </w:r>
      <w:proofErr w:type="spellStart"/>
      <w:r w:rsidRPr="00CC4D7C">
        <w:rPr>
          <w:rFonts w:cs="Times New Roman"/>
          <w:szCs w:val="24"/>
          <w:lang w:eastAsia="en-GB"/>
        </w:rPr>
        <w:t>Troya</w:t>
      </w:r>
      <w:proofErr w:type="spellEnd"/>
      <w:r w:rsidRPr="00CC4D7C">
        <w:rPr>
          <w:rFonts w:cs="Times New Roman"/>
          <w:szCs w:val="24"/>
          <w:lang w:eastAsia="en-GB"/>
        </w:rPr>
        <w:t>, D., and Morris, J. R., Phys. Chem. Chem. Phys., 16, 16659-16670,  2014.</w:t>
      </w:r>
      <w:bookmarkStart w:id="0" w:name="_GoBack"/>
      <w:bookmarkEnd w:id="0"/>
    </w:p>
    <w:sectPr w:rsidR="002F5C5A" w:rsidRPr="00D72E3D" w:rsidSect="00E22243">
      <w:pgSz w:w="11907" w:h="16840" w:code="9"/>
      <w:pgMar w:top="1134" w:right="1021" w:bottom="1134" w:left="102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51A7494"/>
    <w:lvl w:ilvl="0">
      <w:start w:val="1"/>
      <w:numFmt w:val="decimal"/>
      <w:pStyle w:val="JGR-HEAD1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JGR-HEAD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9D30D74"/>
    <w:multiLevelType w:val="hybridMultilevel"/>
    <w:tmpl w:val="C032FA0E"/>
    <w:lvl w:ilvl="0" w:tplc="5BBEF09C">
      <w:start w:val="1"/>
      <w:numFmt w:val="decimal"/>
      <w:lvlText w:val="%1"/>
      <w:lvlJc w:val="left"/>
      <w:pPr>
        <w:tabs>
          <w:tab w:val="num" w:pos="360"/>
        </w:tabs>
        <w:ind w:left="301" w:hanging="301"/>
      </w:pPr>
      <w:rPr>
        <w:rFonts w:hint="default"/>
        <w:strike w:val="0"/>
        <w:dstrike w:val="0"/>
        <w:vertAlign w:val="superscript"/>
      </w:rPr>
    </w:lvl>
    <w:lvl w:ilvl="1" w:tplc="59DEF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EC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0E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8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F5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01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E1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6E8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502B8"/>
    <w:multiLevelType w:val="singleLevel"/>
    <w:tmpl w:val="E308647A"/>
    <w:lvl w:ilvl="0">
      <w:start w:val="4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1084542C"/>
    <w:multiLevelType w:val="singleLevel"/>
    <w:tmpl w:val="E640D6B6"/>
    <w:lvl w:ilvl="0">
      <w:start w:val="2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163F18AF"/>
    <w:multiLevelType w:val="singleLevel"/>
    <w:tmpl w:val="70003EA2"/>
    <w:lvl w:ilvl="0">
      <w:start w:val="5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3193107F"/>
    <w:multiLevelType w:val="singleLevel"/>
    <w:tmpl w:val="07A45824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>
    <w:nsid w:val="42435994"/>
    <w:multiLevelType w:val="singleLevel"/>
    <w:tmpl w:val="92D21FFA"/>
    <w:lvl w:ilvl="0">
      <w:start w:val="1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>
    <w:nsid w:val="475F4D89"/>
    <w:multiLevelType w:val="singleLevel"/>
    <w:tmpl w:val="8ED0690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488D085E"/>
    <w:multiLevelType w:val="singleLevel"/>
    <w:tmpl w:val="6FCC74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7730E1"/>
    <w:multiLevelType w:val="singleLevel"/>
    <w:tmpl w:val="BA68E03C"/>
    <w:lvl w:ilvl="0">
      <w:start w:val="1993"/>
      <w:numFmt w:val="decimal"/>
      <w:lvlText w:val="%1"/>
      <w:lvlJc w:val="left"/>
      <w:pPr>
        <w:tabs>
          <w:tab w:val="num" w:pos="7974"/>
        </w:tabs>
        <w:ind w:left="7974" w:hanging="3120"/>
      </w:pPr>
      <w:rPr>
        <w:rFonts w:hint="default"/>
      </w:rPr>
    </w:lvl>
  </w:abstractNum>
  <w:abstractNum w:abstractNumId="11">
    <w:nsid w:val="4EF018B0"/>
    <w:multiLevelType w:val="hybridMultilevel"/>
    <w:tmpl w:val="A1421160"/>
    <w:lvl w:ilvl="0" w:tplc="5590EF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2C2E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48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0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6D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C4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A89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0B6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F05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DB245A"/>
    <w:multiLevelType w:val="singleLevel"/>
    <w:tmpl w:val="97C60158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3FE01AB"/>
    <w:multiLevelType w:val="hybridMultilevel"/>
    <w:tmpl w:val="81EA5FEC"/>
    <w:lvl w:ilvl="0" w:tplc="352E88B2">
      <w:start w:val="1"/>
      <w:numFmt w:val="lowerLetter"/>
      <w:pStyle w:val="IUPACexpcommenttext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77C2F"/>
    <w:multiLevelType w:val="singleLevel"/>
    <w:tmpl w:val="D57C9A3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4F52DBF"/>
    <w:multiLevelType w:val="singleLevel"/>
    <w:tmpl w:val="45786BBC"/>
    <w:lvl w:ilvl="0">
      <w:start w:val="5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76415AF1"/>
    <w:multiLevelType w:val="singleLevel"/>
    <w:tmpl w:val="1C4E2B06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76DE055D"/>
    <w:multiLevelType w:val="singleLevel"/>
    <w:tmpl w:val="D3E2242E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4"/>
  </w:num>
  <w:num w:numId="11">
    <w:abstractNumId w:val="9"/>
  </w:num>
  <w:num w:numId="12">
    <w:abstractNumId w:val="16"/>
  </w:num>
  <w:num w:numId="13">
    <w:abstractNumId w:val="7"/>
  </w:num>
  <w:num w:numId="14">
    <w:abstractNumId w:val="15"/>
  </w:num>
  <w:num w:numId="15">
    <w:abstractNumId w:val="3"/>
  </w:num>
  <w:num w:numId="16">
    <w:abstractNumId w:val="8"/>
  </w:num>
  <w:num w:numId="17">
    <w:abstractNumId w:val="12"/>
  </w:num>
  <w:num w:numId="18">
    <w:abstractNumId w:val="1"/>
  </w:num>
  <w:num w:numId="19">
    <w:abstractNumId w:val="11"/>
  </w:num>
  <w:num w:numId="20">
    <w:abstractNumId w:val="17"/>
  </w:num>
  <w:num w:numId="21">
    <w:abstractNumId w:val="6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ibraries" w:val="&lt;ENLibraries&gt;&lt;Libraries&gt;&lt;item&gt;23_03_09.enl&lt;/item&gt;&lt;/Libraries&gt;&lt;/ENLibraries&gt;"/>
    <w:docVar w:name="EN_Doc_Font_List_Name" w:val="_x0001__x0001__x000f_Times New Roman"/>
    <w:docVar w:name="EN_Lib_Name_List_Name" w:val="1220_12_05.enl"/>
    <w:docVar w:name="EN_Main_Body_Style_Name" w:val="IUPAC"/>
  </w:docVars>
  <w:rsids>
    <w:rsidRoot w:val="007B4013"/>
    <w:rsid w:val="00044650"/>
    <w:rsid w:val="00073CAB"/>
    <w:rsid w:val="00150CB8"/>
    <w:rsid w:val="001722E0"/>
    <w:rsid w:val="001D6205"/>
    <w:rsid w:val="001F3E0E"/>
    <w:rsid w:val="0023277E"/>
    <w:rsid w:val="002C42CC"/>
    <w:rsid w:val="002E12B3"/>
    <w:rsid w:val="002F5C5A"/>
    <w:rsid w:val="00304A1A"/>
    <w:rsid w:val="00396B20"/>
    <w:rsid w:val="003A6BDB"/>
    <w:rsid w:val="003D376A"/>
    <w:rsid w:val="0046782B"/>
    <w:rsid w:val="0049018F"/>
    <w:rsid w:val="004A7EDE"/>
    <w:rsid w:val="004B6229"/>
    <w:rsid w:val="004E4292"/>
    <w:rsid w:val="005146FD"/>
    <w:rsid w:val="00541707"/>
    <w:rsid w:val="005A45AD"/>
    <w:rsid w:val="005B0B3D"/>
    <w:rsid w:val="006208CD"/>
    <w:rsid w:val="00644F2D"/>
    <w:rsid w:val="006C4749"/>
    <w:rsid w:val="006E3A8B"/>
    <w:rsid w:val="006E7C85"/>
    <w:rsid w:val="006E7D65"/>
    <w:rsid w:val="00704734"/>
    <w:rsid w:val="007048EF"/>
    <w:rsid w:val="007B4013"/>
    <w:rsid w:val="007B584B"/>
    <w:rsid w:val="007C2602"/>
    <w:rsid w:val="007C3F00"/>
    <w:rsid w:val="007F51EA"/>
    <w:rsid w:val="0080019F"/>
    <w:rsid w:val="00806D6D"/>
    <w:rsid w:val="008102B6"/>
    <w:rsid w:val="00812E83"/>
    <w:rsid w:val="00836397"/>
    <w:rsid w:val="008A6545"/>
    <w:rsid w:val="00911F24"/>
    <w:rsid w:val="00920CC5"/>
    <w:rsid w:val="00963061"/>
    <w:rsid w:val="009A68E3"/>
    <w:rsid w:val="009D34C5"/>
    <w:rsid w:val="00A0330E"/>
    <w:rsid w:val="00A1678A"/>
    <w:rsid w:val="00A232BB"/>
    <w:rsid w:val="00A60262"/>
    <w:rsid w:val="00A61F8D"/>
    <w:rsid w:val="00A81E2D"/>
    <w:rsid w:val="00AE1A5D"/>
    <w:rsid w:val="00B017DC"/>
    <w:rsid w:val="00B65C86"/>
    <w:rsid w:val="00B840D0"/>
    <w:rsid w:val="00B961CA"/>
    <w:rsid w:val="00BC0A62"/>
    <w:rsid w:val="00BD5752"/>
    <w:rsid w:val="00C015E9"/>
    <w:rsid w:val="00C02919"/>
    <w:rsid w:val="00C05E1E"/>
    <w:rsid w:val="00C30251"/>
    <w:rsid w:val="00C3554A"/>
    <w:rsid w:val="00C35E43"/>
    <w:rsid w:val="00C417AC"/>
    <w:rsid w:val="00C6332C"/>
    <w:rsid w:val="00CA6636"/>
    <w:rsid w:val="00CC3CBF"/>
    <w:rsid w:val="00CC4D7C"/>
    <w:rsid w:val="00D169BC"/>
    <w:rsid w:val="00D72E3D"/>
    <w:rsid w:val="00DB36D6"/>
    <w:rsid w:val="00DD01EF"/>
    <w:rsid w:val="00DD484B"/>
    <w:rsid w:val="00DD77B6"/>
    <w:rsid w:val="00DD7C30"/>
    <w:rsid w:val="00DF13A7"/>
    <w:rsid w:val="00E03A2C"/>
    <w:rsid w:val="00E22243"/>
    <w:rsid w:val="00E24F23"/>
    <w:rsid w:val="00E315C5"/>
    <w:rsid w:val="00E75190"/>
    <w:rsid w:val="00ED3391"/>
    <w:rsid w:val="00F064C0"/>
    <w:rsid w:val="00F253A0"/>
    <w:rsid w:val="00F86AD1"/>
    <w:rsid w:val="00FB3ADF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8D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spacing w:before="240" w:after="60" w:line="480" w:lineRule="auto"/>
      <w:outlineLvl w:val="1"/>
    </w:pPr>
    <w:rPr>
      <w:rFonts w:ascii="Times New Roman" w:hAnsi="Times New Roman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outlineLvl w:val="5"/>
    </w:pPr>
    <w:rPr>
      <w:b/>
      <w:bCs/>
      <w:szCs w:val="3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444"/>
        <w:tab w:val="left" w:pos="720"/>
      </w:tabs>
      <w:suppressAutoHyphens/>
      <w:spacing w:line="240" w:lineRule="atLeast"/>
      <w:jc w:val="center"/>
      <w:outlineLvl w:val="6"/>
    </w:pPr>
    <w:rPr>
      <w:i/>
      <w:iCs/>
      <w:spacing w:val="-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Heading1"/>
    <w:next w:val="Normal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right="4309"/>
      <w:outlineLvl w:val="9"/>
    </w:pPr>
    <w:rPr>
      <w:rFonts w:ascii="Times" w:hAnsi="Times"/>
      <w:i/>
      <w:caps/>
      <w:sz w:val="24"/>
    </w:rPr>
  </w:style>
  <w:style w:type="paragraph" w:customStyle="1" w:styleId="Style1">
    <w:name w:val="Style1"/>
    <w:pPr>
      <w:spacing w:before="360" w:after="120"/>
    </w:pPr>
    <w:rPr>
      <w:b/>
      <w:noProof/>
      <w:sz w:val="28"/>
      <w:lang w:eastAsia="en-US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Justified">
    <w:name w:val="Justified"/>
    <w:basedOn w:val="Normal"/>
    <w:pPr>
      <w:spacing w:after="100" w:line="360" w:lineRule="auto"/>
    </w:pPr>
    <w:rPr>
      <w:rFonts w:ascii="Times New Roman" w:hAnsi="Times New Roman"/>
      <w:sz w:val="24"/>
      <w:lang w:val="en-US"/>
    </w:rPr>
  </w:style>
  <w:style w:type="paragraph" w:customStyle="1" w:styleId="Centeredtext">
    <w:name w:val="Centered text"/>
    <w:pPr>
      <w:spacing w:before="120" w:after="120" w:line="480" w:lineRule="exact"/>
      <w:jc w:val="center"/>
    </w:pPr>
    <w:rPr>
      <w:rFonts w:ascii="Times" w:hAnsi="Times"/>
      <w:sz w:val="24"/>
      <w:lang w:eastAsia="en-US"/>
    </w:rPr>
  </w:style>
  <w:style w:type="paragraph" w:styleId="NormalIndent">
    <w:name w:val="Normal Indent"/>
    <w:basedOn w:val="Normal"/>
    <w:semiHidden/>
    <w:pPr>
      <w:spacing w:line="480" w:lineRule="auto"/>
      <w:ind w:firstLine="720"/>
    </w:pPr>
    <w:rPr>
      <w:rFonts w:ascii="Times New Roman" w:hAnsi="Times New Roman"/>
      <w:sz w:val="24"/>
    </w:rPr>
  </w:style>
  <w:style w:type="paragraph" w:customStyle="1" w:styleId="Reactions">
    <w:name w:val="Reactions"/>
    <w:semiHidden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eastAsia="en-US"/>
    </w:rPr>
  </w:style>
  <w:style w:type="paragraph" w:customStyle="1" w:styleId="Title2">
    <w:name w:val="Title2"/>
    <w:basedOn w:val="Titl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60"/>
      <w:ind w:right="0"/>
      <w:jc w:val="center"/>
    </w:pPr>
    <w:rPr>
      <w:i w:val="0"/>
      <w:caps w:val="0"/>
      <w:sz w:val="28"/>
    </w:rPr>
  </w:style>
  <w:style w:type="character" w:customStyle="1" w:styleId="HiddenText">
    <w:name w:val="Hidden Text"/>
    <w:rPr>
      <w:rFonts w:ascii="Times" w:hAnsi="Times"/>
      <w:vanish/>
      <w:sz w:val="20"/>
    </w:rPr>
  </w:style>
  <w:style w:type="paragraph" w:customStyle="1" w:styleId="Style2">
    <w:name w:val="Style2"/>
    <w:basedOn w:val="Normal"/>
    <w:pPr>
      <w:spacing w:line="360" w:lineRule="auto"/>
    </w:pPr>
    <w:rPr>
      <w:rFonts w:ascii="Times New Roman" w:hAnsi="Times New Roman"/>
      <w:color w:val="FF0000"/>
      <w:sz w:val="24"/>
    </w:rPr>
  </w:style>
  <w:style w:type="character" w:customStyle="1" w:styleId="redtext">
    <w:name w:val="red_text"/>
    <w:rPr>
      <w:rFonts w:ascii="Times New Roman" w:hAnsi="Times New Roman"/>
      <w:color w:val="FF0000"/>
      <w:sz w:val="24"/>
    </w:rPr>
  </w:style>
  <w:style w:type="paragraph" w:customStyle="1" w:styleId="JGR-text">
    <w:name w:val="JGR-text"/>
    <w:basedOn w:val="Normal"/>
    <w:pPr>
      <w:tabs>
        <w:tab w:val="left" w:pos="215"/>
      </w:tabs>
      <w:spacing w:after="100" w:line="220" w:lineRule="exact"/>
      <w:ind w:right="4876"/>
    </w:pPr>
    <w:rPr>
      <w:rFonts w:ascii="Times New Roman" w:hAnsi="Times New Roman"/>
      <w:sz w:val="19"/>
      <w:lang w:val="en-US"/>
    </w:rPr>
  </w:style>
  <w:style w:type="paragraph" w:customStyle="1" w:styleId="JGR-HEAD1">
    <w:name w:val="JGR-HEAD1"/>
    <w:basedOn w:val="Heading1"/>
    <w:pPr>
      <w:numPr>
        <w:numId w:val="6"/>
      </w:numPr>
      <w:spacing w:before="290" w:after="120" w:line="240" w:lineRule="exact"/>
    </w:pPr>
    <w:rPr>
      <w:rFonts w:ascii="Times New Roman" w:hAnsi="Times New Roman"/>
      <w:lang w:val="en-US"/>
    </w:rPr>
  </w:style>
  <w:style w:type="paragraph" w:customStyle="1" w:styleId="JGR-EQN">
    <w:name w:val="JGR-EQN"/>
    <w:basedOn w:val="Reactions"/>
    <w:pPr>
      <w:spacing w:before="120" w:after="120" w:line="220" w:lineRule="exact"/>
      <w:ind w:right="4876"/>
    </w:pPr>
    <w:rPr>
      <w:rFonts w:ascii="Times New Roman" w:hAnsi="Times New Roman"/>
      <w:sz w:val="19"/>
      <w:lang w:val="en-US"/>
    </w:rPr>
  </w:style>
  <w:style w:type="paragraph" w:customStyle="1" w:styleId="JGR-REFs">
    <w:name w:val="JGR-REFs"/>
    <w:basedOn w:val="Normal"/>
    <w:pPr>
      <w:tabs>
        <w:tab w:val="left" w:pos="0"/>
        <w:tab w:val="left" w:pos="215"/>
        <w:tab w:val="left" w:pos="964"/>
      </w:tabs>
      <w:spacing w:after="100" w:line="180" w:lineRule="exact"/>
      <w:ind w:left="215" w:right="4876" w:hanging="215"/>
    </w:pPr>
    <w:rPr>
      <w:rFonts w:ascii="Times New Roman" w:hAnsi="Times New Roman"/>
      <w:sz w:val="17"/>
      <w:lang w:val="en-US"/>
    </w:rPr>
  </w:style>
  <w:style w:type="paragraph" w:customStyle="1" w:styleId="JGR-HEAD3">
    <w:name w:val="JGR-HEAD3"/>
    <w:basedOn w:val="Heading3"/>
    <w:pPr>
      <w:numPr>
        <w:ilvl w:val="2"/>
        <w:numId w:val="6"/>
      </w:numPr>
    </w:pPr>
    <w:rPr>
      <w:vertAlign w:val="subscript"/>
    </w:rPr>
  </w:style>
  <w:style w:type="paragraph" w:customStyle="1" w:styleId="table">
    <w:name w:val="table"/>
    <w:basedOn w:val="TOC1"/>
    <w:semiHidden/>
    <w:pPr>
      <w:tabs>
        <w:tab w:val="left" w:pos="480"/>
        <w:tab w:val="left" w:pos="567"/>
        <w:tab w:val="left" w:pos="7938"/>
      </w:tabs>
    </w:pPr>
    <w:rPr>
      <w:rFonts w:ascii="Times New Roman" w:hAnsi="Times New Roman"/>
      <w:caps/>
      <w:noProof/>
      <w:sz w:val="20"/>
      <w:szCs w:val="20"/>
    </w:rPr>
  </w:style>
  <w:style w:type="paragraph" w:styleId="TOC1">
    <w:name w:val="toc 1"/>
    <w:basedOn w:val="Normal"/>
    <w:next w:val="Normal"/>
    <w:autoRedefine/>
    <w:semiHidden/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444"/>
      </w:tabs>
      <w:ind w:firstLine="444"/>
    </w:p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paragraph" w:customStyle="1" w:styleId="NewCenturySchl">
    <w:name w:val="New Century Schl"/>
    <w:basedOn w:val="Normal"/>
    <w:semiHidden/>
    <w:pPr>
      <w:ind w:right="6"/>
      <w:jc w:val="center"/>
    </w:pPr>
    <w:rPr>
      <w:sz w:val="20"/>
      <w:szCs w:val="20"/>
    </w:rPr>
  </w:style>
  <w:style w:type="paragraph" w:customStyle="1" w:styleId="Paraniveau2">
    <w:name w:val="Para. niveau 2"/>
    <w:basedOn w:val="Normal"/>
    <w:pPr>
      <w:spacing w:before="60" w:after="60"/>
      <w:ind w:left="567" w:right="6" w:hanging="284"/>
    </w:pPr>
    <w:rPr>
      <w:rFonts w:ascii="Times" w:hAnsi="Times" w:cs="Times"/>
      <w:sz w:val="20"/>
      <w:lang w:val="en-AU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customStyle="1" w:styleId="Listenomme">
    <w:name w:val="Liste nommée"/>
    <w:basedOn w:val="Normal"/>
    <w:pPr>
      <w:tabs>
        <w:tab w:val="left" w:pos="284"/>
      </w:tabs>
      <w:ind w:left="1984" w:right="6" w:hanging="1984"/>
      <w:jc w:val="center"/>
    </w:pPr>
    <w:rPr>
      <w:rFonts w:ascii="Times" w:hAnsi="Times" w:cs="Times"/>
      <w:sz w:val="20"/>
      <w:lang w:val="en-AU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IUPACheadline">
    <w:name w:val="IUPAC head line"/>
    <w:next w:val="Normal"/>
    <w:autoRedefine/>
    <w:rsid w:val="00CA6636"/>
    <w:pPr>
      <w:spacing w:after="60"/>
    </w:pPr>
    <w:rPr>
      <w:rFonts w:cs="Times"/>
      <w:b/>
      <w:bCs/>
      <w:sz w:val="24"/>
      <w:szCs w:val="24"/>
      <w:lang w:val="en-AU" w:eastAsia="en-US"/>
    </w:rPr>
  </w:style>
  <w:style w:type="paragraph" w:customStyle="1" w:styleId="IUPACtopparagraph">
    <w:name w:val="IUPAC top paragraph"/>
    <w:basedOn w:val="Normal"/>
    <w:autoRedefine/>
    <w:pPr>
      <w:pBdr>
        <w:bottom w:val="single" w:sz="4" w:space="1" w:color="auto"/>
      </w:pBdr>
      <w:ind w:right="-7"/>
    </w:pPr>
    <w:rPr>
      <w:rFonts w:ascii="Times New Roman" w:hAnsi="Times New Roman"/>
    </w:rPr>
  </w:style>
  <w:style w:type="paragraph" w:customStyle="1" w:styleId="IUPACTitlereaction">
    <w:name w:val="IUPAC Title reaction"/>
    <w:next w:val="Normal"/>
    <w:autoRedefine/>
    <w:pPr>
      <w:spacing w:before="240" w:after="48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Title">
    <w:name w:val="IUPAC Title"/>
    <w:next w:val="Normal"/>
    <w:autoRedefine/>
    <w:rsid w:val="00CA6636"/>
    <w:pPr>
      <w:keepNext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commenttext">
    <w:name w:val="IUPAC comment text"/>
    <w:autoRedefine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subtitle">
    <w:name w:val="IUPAC subtitle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eastAsia="en-US"/>
    </w:rPr>
  </w:style>
  <w:style w:type="paragraph" w:customStyle="1" w:styleId="IUPACreference">
    <w:name w:val="IUPAC reference"/>
    <w:autoRedefine/>
    <w:pPr>
      <w:keepLines/>
      <w:spacing w:after="60"/>
      <w:ind w:left="142" w:hanging="142"/>
      <w:jc w:val="both"/>
    </w:pPr>
    <w:rPr>
      <w:rFonts w:cs="Times"/>
      <w:sz w:val="24"/>
      <w:lang w:val="en-AU" w:eastAsia="en-US"/>
    </w:rPr>
  </w:style>
  <w:style w:type="paragraph" w:customStyle="1" w:styleId="IUPACexpcommenttext">
    <w:name w:val="IUPAC exp comment text"/>
    <w:autoRedefine/>
    <w:rsid w:val="00C417AC"/>
    <w:pPr>
      <w:numPr>
        <w:numId w:val="23"/>
      </w:numPr>
      <w:spacing w:after="120"/>
      <w:jc w:val="both"/>
    </w:pPr>
    <w:rPr>
      <w:rFonts w:cs="Times"/>
      <w:sz w:val="24"/>
      <w:szCs w:val="24"/>
      <w:lang w:eastAsia="en-US"/>
    </w:rPr>
  </w:style>
  <w:style w:type="paragraph" w:customStyle="1" w:styleId="IUPACpreferredcommentstext">
    <w:name w:val="IUPAC preferred comments text"/>
    <w:basedOn w:val="Normal"/>
    <w:autoRedefine/>
    <w:pPr>
      <w:spacing w:after="120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146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F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8D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spacing w:before="240" w:after="60" w:line="480" w:lineRule="auto"/>
      <w:outlineLvl w:val="1"/>
    </w:pPr>
    <w:rPr>
      <w:rFonts w:ascii="Times New Roman" w:hAnsi="Times New Roman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outlineLvl w:val="5"/>
    </w:pPr>
    <w:rPr>
      <w:b/>
      <w:bCs/>
      <w:szCs w:val="3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444"/>
        <w:tab w:val="left" w:pos="720"/>
      </w:tabs>
      <w:suppressAutoHyphens/>
      <w:spacing w:line="240" w:lineRule="atLeast"/>
      <w:jc w:val="center"/>
      <w:outlineLvl w:val="6"/>
    </w:pPr>
    <w:rPr>
      <w:i/>
      <w:iCs/>
      <w:spacing w:val="-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Heading1"/>
    <w:next w:val="Normal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right="4309"/>
      <w:outlineLvl w:val="9"/>
    </w:pPr>
    <w:rPr>
      <w:rFonts w:ascii="Times" w:hAnsi="Times"/>
      <w:i/>
      <w:caps/>
      <w:sz w:val="24"/>
    </w:rPr>
  </w:style>
  <w:style w:type="paragraph" w:customStyle="1" w:styleId="Style1">
    <w:name w:val="Style1"/>
    <w:pPr>
      <w:spacing w:before="360" w:after="120"/>
    </w:pPr>
    <w:rPr>
      <w:b/>
      <w:noProof/>
      <w:sz w:val="28"/>
      <w:lang w:eastAsia="en-US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Justified">
    <w:name w:val="Justified"/>
    <w:basedOn w:val="Normal"/>
    <w:pPr>
      <w:spacing w:after="100" w:line="360" w:lineRule="auto"/>
    </w:pPr>
    <w:rPr>
      <w:rFonts w:ascii="Times New Roman" w:hAnsi="Times New Roman"/>
      <w:sz w:val="24"/>
      <w:lang w:val="en-US"/>
    </w:rPr>
  </w:style>
  <w:style w:type="paragraph" w:customStyle="1" w:styleId="Centeredtext">
    <w:name w:val="Centered text"/>
    <w:pPr>
      <w:spacing w:before="120" w:after="120" w:line="480" w:lineRule="exact"/>
      <w:jc w:val="center"/>
    </w:pPr>
    <w:rPr>
      <w:rFonts w:ascii="Times" w:hAnsi="Times"/>
      <w:sz w:val="24"/>
      <w:lang w:eastAsia="en-US"/>
    </w:rPr>
  </w:style>
  <w:style w:type="paragraph" w:styleId="NormalIndent">
    <w:name w:val="Normal Indent"/>
    <w:basedOn w:val="Normal"/>
    <w:semiHidden/>
    <w:pPr>
      <w:spacing w:line="480" w:lineRule="auto"/>
      <w:ind w:firstLine="720"/>
    </w:pPr>
    <w:rPr>
      <w:rFonts w:ascii="Times New Roman" w:hAnsi="Times New Roman"/>
      <w:sz w:val="24"/>
    </w:rPr>
  </w:style>
  <w:style w:type="paragraph" w:customStyle="1" w:styleId="Reactions">
    <w:name w:val="Reactions"/>
    <w:semiHidden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eastAsia="en-US"/>
    </w:rPr>
  </w:style>
  <w:style w:type="paragraph" w:customStyle="1" w:styleId="Title2">
    <w:name w:val="Title2"/>
    <w:basedOn w:val="Titl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60"/>
      <w:ind w:right="0"/>
      <w:jc w:val="center"/>
    </w:pPr>
    <w:rPr>
      <w:i w:val="0"/>
      <w:caps w:val="0"/>
      <w:sz w:val="28"/>
    </w:rPr>
  </w:style>
  <w:style w:type="character" w:customStyle="1" w:styleId="HiddenText">
    <w:name w:val="Hidden Text"/>
    <w:rPr>
      <w:rFonts w:ascii="Times" w:hAnsi="Times"/>
      <w:vanish/>
      <w:sz w:val="20"/>
    </w:rPr>
  </w:style>
  <w:style w:type="paragraph" w:customStyle="1" w:styleId="Style2">
    <w:name w:val="Style2"/>
    <w:basedOn w:val="Normal"/>
    <w:pPr>
      <w:spacing w:line="360" w:lineRule="auto"/>
    </w:pPr>
    <w:rPr>
      <w:rFonts w:ascii="Times New Roman" w:hAnsi="Times New Roman"/>
      <w:color w:val="FF0000"/>
      <w:sz w:val="24"/>
    </w:rPr>
  </w:style>
  <w:style w:type="character" w:customStyle="1" w:styleId="redtext">
    <w:name w:val="red_text"/>
    <w:rPr>
      <w:rFonts w:ascii="Times New Roman" w:hAnsi="Times New Roman"/>
      <w:color w:val="FF0000"/>
      <w:sz w:val="24"/>
    </w:rPr>
  </w:style>
  <w:style w:type="paragraph" w:customStyle="1" w:styleId="JGR-text">
    <w:name w:val="JGR-text"/>
    <w:basedOn w:val="Normal"/>
    <w:pPr>
      <w:tabs>
        <w:tab w:val="left" w:pos="215"/>
      </w:tabs>
      <w:spacing w:after="100" w:line="220" w:lineRule="exact"/>
      <w:ind w:right="4876"/>
    </w:pPr>
    <w:rPr>
      <w:rFonts w:ascii="Times New Roman" w:hAnsi="Times New Roman"/>
      <w:sz w:val="19"/>
      <w:lang w:val="en-US"/>
    </w:rPr>
  </w:style>
  <w:style w:type="paragraph" w:customStyle="1" w:styleId="JGR-HEAD1">
    <w:name w:val="JGR-HEAD1"/>
    <w:basedOn w:val="Heading1"/>
    <w:pPr>
      <w:numPr>
        <w:numId w:val="6"/>
      </w:numPr>
      <w:spacing w:before="290" w:after="120" w:line="240" w:lineRule="exact"/>
    </w:pPr>
    <w:rPr>
      <w:rFonts w:ascii="Times New Roman" w:hAnsi="Times New Roman"/>
      <w:lang w:val="en-US"/>
    </w:rPr>
  </w:style>
  <w:style w:type="paragraph" w:customStyle="1" w:styleId="JGR-EQN">
    <w:name w:val="JGR-EQN"/>
    <w:basedOn w:val="Reactions"/>
    <w:pPr>
      <w:spacing w:before="120" w:after="120" w:line="220" w:lineRule="exact"/>
      <w:ind w:right="4876"/>
    </w:pPr>
    <w:rPr>
      <w:rFonts w:ascii="Times New Roman" w:hAnsi="Times New Roman"/>
      <w:sz w:val="19"/>
      <w:lang w:val="en-US"/>
    </w:rPr>
  </w:style>
  <w:style w:type="paragraph" w:customStyle="1" w:styleId="JGR-REFs">
    <w:name w:val="JGR-REFs"/>
    <w:basedOn w:val="Normal"/>
    <w:pPr>
      <w:tabs>
        <w:tab w:val="left" w:pos="0"/>
        <w:tab w:val="left" w:pos="215"/>
        <w:tab w:val="left" w:pos="964"/>
      </w:tabs>
      <w:spacing w:after="100" w:line="180" w:lineRule="exact"/>
      <w:ind w:left="215" w:right="4876" w:hanging="215"/>
    </w:pPr>
    <w:rPr>
      <w:rFonts w:ascii="Times New Roman" w:hAnsi="Times New Roman"/>
      <w:sz w:val="17"/>
      <w:lang w:val="en-US"/>
    </w:rPr>
  </w:style>
  <w:style w:type="paragraph" w:customStyle="1" w:styleId="JGR-HEAD3">
    <w:name w:val="JGR-HEAD3"/>
    <w:basedOn w:val="Heading3"/>
    <w:pPr>
      <w:numPr>
        <w:ilvl w:val="2"/>
        <w:numId w:val="6"/>
      </w:numPr>
    </w:pPr>
    <w:rPr>
      <w:vertAlign w:val="subscript"/>
    </w:rPr>
  </w:style>
  <w:style w:type="paragraph" w:customStyle="1" w:styleId="table">
    <w:name w:val="table"/>
    <w:basedOn w:val="TOC1"/>
    <w:semiHidden/>
    <w:pPr>
      <w:tabs>
        <w:tab w:val="left" w:pos="480"/>
        <w:tab w:val="left" w:pos="567"/>
        <w:tab w:val="left" w:pos="7938"/>
      </w:tabs>
    </w:pPr>
    <w:rPr>
      <w:rFonts w:ascii="Times New Roman" w:hAnsi="Times New Roman"/>
      <w:caps/>
      <w:noProof/>
      <w:sz w:val="20"/>
      <w:szCs w:val="20"/>
    </w:rPr>
  </w:style>
  <w:style w:type="paragraph" w:styleId="TOC1">
    <w:name w:val="toc 1"/>
    <w:basedOn w:val="Normal"/>
    <w:next w:val="Normal"/>
    <w:autoRedefine/>
    <w:semiHidden/>
  </w:style>
  <w:style w:type="paragraph" w:styleId="BodyTextIndent">
    <w:name w:val="Body Text Indent"/>
    <w:basedOn w:val="Normal"/>
    <w:semiHidden/>
    <w:pPr>
      <w:tabs>
        <w:tab w:val="left" w:pos="-1440"/>
        <w:tab w:val="left" w:pos="-720"/>
        <w:tab w:val="left" w:pos="444"/>
      </w:tabs>
      <w:ind w:firstLine="444"/>
    </w:p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paragraph" w:customStyle="1" w:styleId="NewCenturySchl">
    <w:name w:val="New Century Schl"/>
    <w:basedOn w:val="Normal"/>
    <w:semiHidden/>
    <w:pPr>
      <w:ind w:right="6"/>
      <w:jc w:val="center"/>
    </w:pPr>
    <w:rPr>
      <w:sz w:val="20"/>
      <w:szCs w:val="20"/>
    </w:rPr>
  </w:style>
  <w:style w:type="paragraph" w:customStyle="1" w:styleId="Paraniveau2">
    <w:name w:val="Para. niveau 2"/>
    <w:basedOn w:val="Normal"/>
    <w:pPr>
      <w:spacing w:before="60" w:after="60"/>
      <w:ind w:left="567" w:right="6" w:hanging="284"/>
    </w:pPr>
    <w:rPr>
      <w:rFonts w:ascii="Times" w:hAnsi="Times" w:cs="Times"/>
      <w:sz w:val="20"/>
      <w:lang w:val="en-AU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customStyle="1" w:styleId="Listenomme">
    <w:name w:val="Liste nommée"/>
    <w:basedOn w:val="Normal"/>
    <w:pPr>
      <w:tabs>
        <w:tab w:val="left" w:pos="284"/>
      </w:tabs>
      <w:ind w:left="1984" w:right="6" w:hanging="1984"/>
      <w:jc w:val="center"/>
    </w:pPr>
    <w:rPr>
      <w:rFonts w:ascii="Times" w:hAnsi="Times" w:cs="Times"/>
      <w:sz w:val="20"/>
      <w:lang w:val="en-AU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IUPACheadline">
    <w:name w:val="IUPAC head line"/>
    <w:next w:val="Normal"/>
    <w:autoRedefine/>
    <w:rsid w:val="00CA6636"/>
    <w:pPr>
      <w:spacing w:after="60"/>
    </w:pPr>
    <w:rPr>
      <w:rFonts w:cs="Times"/>
      <w:b/>
      <w:bCs/>
      <w:sz w:val="24"/>
      <w:szCs w:val="24"/>
      <w:lang w:val="en-AU" w:eastAsia="en-US"/>
    </w:rPr>
  </w:style>
  <w:style w:type="paragraph" w:customStyle="1" w:styleId="IUPACtopparagraph">
    <w:name w:val="IUPAC top paragraph"/>
    <w:basedOn w:val="Normal"/>
    <w:autoRedefine/>
    <w:pPr>
      <w:pBdr>
        <w:bottom w:val="single" w:sz="4" w:space="1" w:color="auto"/>
      </w:pBdr>
      <w:ind w:right="-7"/>
    </w:pPr>
    <w:rPr>
      <w:rFonts w:ascii="Times New Roman" w:hAnsi="Times New Roman"/>
    </w:rPr>
  </w:style>
  <w:style w:type="paragraph" w:customStyle="1" w:styleId="IUPACTitlereaction">
    <w:name w:val="IUPAC Title reaction"/>
    <w:next w:val="Normal"/>
    <w:autoRedefine/>
    <w:pPr>
      <w:spacing w:before="240" w:after="48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Title">
    <w:name w:val="IUPAC Title"/>
    <w:next w:val="Normal"/>
    <w:autoRedefine/>
    <w:rsid w:val="00CA6636"/>
    <w:pPr>
      <w:keepNext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commenttext">
    <w:name w:val="IUPAC comment text"/>
    <w:autoRedefine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subtitle">
    <w:name w:val="IUPAC subtitle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eastAsia="en-US"/>
    </w:rPr>
  </w:style>
  <w:style w:type="paragraph" w:customStyle="1" w:styleId="IUPACreference">
    <w:name w:val="IUPAC reference"/>
    <w:autoRedefine/>
    <w:pPr>
      <w:keepLines/>
      <w:spacing w:after="60"/>
      <w:ind w:left="142" w:hanging="142"/>
      <w:jc w:val="both"/>
    </w:pPr>
    <w:rPr>
      <w:rFonts w:cs="Times"/>
      <w:sz w:val="24"/>
      <w:lang w:val="en-AU" w:eastAsia="en-US"/>
    </w:rPr>
  </w:style>
  <w:style w:type="paragraph" w:customStyle="1" w:styleId="IUPACexpcommenttext">
    <w:name w:val="IUPAC exp comment text"/>
    <w:autoRedefine/>
    <w:rsid w:val="00C417AC"/>
    <w:pPr>
      <w:numPr>
        <w:numId w:val="23"/>
      </w:numPr>
      <w:spacing w:after="120"/>
      <w:jc w:val="both"/>
    </w:pPr>
    <w:rPr>
      <w:rFonts w:cs="Times"/>
      <w:sz w:val="24"/>
      <w:szCs w:val="24"/>
      <w:lang w:eastAsia="en-US"/>
    </w:rPr>
  </w:style>
  <w:style w:type="paragraph" w:customStyle="1" w:styleId="IUPACpreferredcommentstext">
    <w:name w:val="IUPAC preferred comments text"/>
    <w:basedOn w:val="Normal"/>
    <w:autoRedefine/>
    <w:pPr>
      <w:spacing w:after="120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146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F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upac.pole-ether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69C25C5-1614-40E9-96DE-46607C7B5B2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 + CH3OH  HCl + CH2OH</vt:lpstr>
    </vt:vector>
  </TitlesOfParts>
  <Company>MPI-Chemie</Company>
  <LinksUpToDate>false</LinksUpToDate>
  <CharactersWithSpaces>6183</CharactersWithSpaces>
  <SharedDoc>false</SharedDoc>
  <HLinks>
    <vt:vector size="12" baseType="variant">
      <vt:variant>
        <vt:i4>4390923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+ CH3OH  HCl + CH2OH</dc:title>
  <dc:creator>John Crowley</dc:creator>
  <cp:lastModifiedBy>Crowley</cp:lastModifiedBy>
  <cp:revision>39</cp:revision>
  <cp:lastPrinted>2009-06-10T10:59:00Z</cp:lastPrinted>
  <dcterms:created xsi:type="dcterms:W3CDTF">2016-05-31T07:39:00Z</dcterms:created>
  <dcterms:modified xsi:type="dcterms:W3CDTF">2016-12-01T08:06:00Z</dcterms:modified>
</cp:coreProperties>
</file>