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85" w:rsidRPr="00CA6636" w:rsidRDefault="006E7C85" w:rsidP="00CA6636">
      <w:pPr>
        <w:pStyle w:val="IUPACheadline"/>
      </w:pPr>
      <w:r w:rsidRPr="00CA6636">
        <w:t>IUPAC Task Group on Atmospheric Chemical Kinetic Data Evaluation</w:t>
      </w:r>
      <w:r w:rsidR="00CA6636">
        <w:t xml:space="preserve"> - </w:t>
      </w:r>
      <w:r w:rsidR="002F5C5A" w:rsidRPr="00CA6636">
        <w:t xml:space="preserve">Data Sheet </w:t>
      </w:r>
      <w:r w:rsidR="00D76951">
        <w:t>Het_Org</w:t>
      </w:r>
      <w:bookmarkStart w:id="0" w:name="_GoBack"/>
      <w:bookmarkEnd w:id="0"/>
      <w:r w:rsidR="00CA6636" w:rsidRPr="00CA6636">
        <w:t>1</w:t>
      </w:r>
    </w:p>
    <w:p w:rsidR="00044E48" w:rsidRPr="00BF3262" w:rsidRDefault="00044E48" w:rsidP="00044E48">
      <w:pPr>
        <w:suppressAutoHyphens/>
        <w:spacing w:after="0"/>
        <w:rPr>
          <w:rFonts w:ascii="Times New Roman" w:eastAsia="Times New Roman" w:hAnsi="Times New Roman"/>
          <w:sz w:val="24"/>
          <w:szCs w:val="20"/>
          <w:lang w:eastAsia="zh-CN"/>
        </w:rPr>
      </w:pPr>
      <w:r w:rsidRPr="00BF3262">
        <w:rPr>
          <w:rFonts w:ascii="Times New Roman" w:eastAsia="Times New Roman" w:hAnsi="Times New Roman"/>
          <w:sz w:val="24"/>
          <w:szCs w:val="20"/>
          <w:lang w:eastAsia="zh-CN"/>
        </w:rPr>
        <w:t>Data sheets can be downloaded for personal use only and must not be retransmitted or disseminated either electronically or in hard copy without explicit written permission.</w:t>
      </w:r>
    </w:p>
    <w:p w:rsidR="006E7C85" w:rsidRPr="006E7C85" w:rsidRDefault="00044E48" w:rsidP="006E7C85">
      <w:pPr>
        <w:suppressAutoHyphens/>
        <w:spacing w:after="0"/>
        <w:rPr>
          <w:rFonts w:ascii="Times New Roman" w:eastAsia="Times New Roman" w:hAnsi="Times New Roman"/>
          <w:sz w:val="24"/>
          <w:szCs w:val="20"/>
          <w:lang w:eastAsia="zh-CN"/>
        </w:rPr>
      </w:pPr>
      <w:r w:rsidRPr="00BF3262">
        <w:rPr>
          <w:rFonts w:ascii="Times New Roman" w:eastAsia="Times New Roman" w:hAnsi="Times New Roman"/>
          <w:sz w:val="24"/>
          <w:szCs w:val="20"/>
          <w:lang w:eastAsia="zh-CN"/>
        </w:rPr>
        <w:t xml:space="preserve">The citation for this data sheet is: </w:t>
      </w:r>
      <w:r w:rsidRPr="00BF3262">
        <w:rPr>
          <w:rFonts w:ascii="Times New Roman" w:eastAsia="Times New Roman" w:hAnsi="Times New Roman"/>
          <w:sz w:val="24"/>
          <w:szCs w:val="20"/>
          <w:lang w:val="en-US" w:eastAsia="zh-CN"/>
        </w:rPr>
        <w:t xml:space="preserve">IUPAC Task Group on Atmospheric chemical Kinetic Data Evaluation, </w:t>
      </w:r>
      <w:hyperlink r:id="rId7" w:history="1">
        <w:r w:rsidRPr="00BF3262">
          <w:rPr>
            <w:rStyle w:val="Hyperlink"/>
            <w:rFonts w:ascii="Times New Roman" w:eastAsia="Times New Roman" w:hAnsi="Times New Roman"/>
            <w:sz w:val="24"/>
            <w:szCs w:val="20"/>
            <w:lang w:eastAsia="zh-CN"/>
          </w:rPr>
          <w:t>http://iupac.pole-ether.fr</w:t>
        </w:r>
      </w:hyperlink>
      <w:r w:rsidRPr="00BF3262">
        <w:rPr>
          <w:rFonts w:ascii="Times New Roman" w:eastAsia="Times New Roman" w:hAnsi="Times New Roman"/>
          <w:sz w:val="24"/>
          <w:szCs w:val="20"/>
          <w:u w:val="single"/>
          <w:lang w:val="en-US" w:eastAsia="zh-CN"/>
        </w:rPr>
        <w:t>.</w:t>
      </w:r>
    </w:p>
    <w:p w:rsidR="006E7C85" w:rsidRPr="006E7C85" w:rsidRDefault="006E7C85" w:rsidP="006E7C85">
      <w:pPr>
        <w:suppressAutoHyphens/>
        <w:spacing w:after="0"/>
        <w:rPr>
          <w:rFonts w:ascii="Times New Roman" w:eastAsia="Times New Roman" w:hAnsi="Times New Roman"/>
          <w:sz w:val="24"/>
          <w:szCs w:val="20"/>
          <w:lang w:eastAsia="zh-CN"/>
        </w:rPr>
      </w:pPr>
      <w:r w:rsidRPr="006E7C85">
        <w:rPr>
          <w:rFonts w:ascii="Times New Roman" w:eastAsia="Times New Roman" w:hAnsi="Times New Roman"/>
          <w:sz w:val="24"/>
          <w:szCs w:val="20"/>
          <w:lang w:eastAsia="zh-CN"/>
        </w:rPr>
        <w:t xml:space="preserve">This data sheet evaluated: </w:t>
      </w:r>
      <w:r>
        <w:rPr>
          <w:rFonts w:ascii="Times New Roman" w:eastAsia="Times New Roman" w:hAnsi="Times New Roman"/>
          <w:sz w:val="24"/>
          <w:szCs w:val="20"/>
          <w:lang w:eastAsia="zh-CN"/>
        </w:rPr>
        <w:t>June 2016</w:t>
      </w:r>
      <w:r w:rsidRPr="006E7C85">
        <w:rPr>
          <w:rFonts w:ascii="Times New Roman" w:eastAsia="Times New Roman" w:hAnsi="Times New Roman"/>
          <w:sz w:val="24"/>
          <w:szCs w:val="20"/>
          <w:lang w:eastAsia="zh-CN"/>
        </w:rPr>
        <w:t xml:space="preserve">; last change in preferred values: </w:t>
      </w:r>
      <w:r>
        <w:rPr>
          <w:rFonts w:ascii="Times New Roman" w:eastAsia="Times New Roman" w:hAnsi="Times New Roman"/>
          <w:sz w:val="24"/>
          <w:szCs w:val="20"/>
          <w:lang w:eastAsia="zh-CN"/>
        </w:rPr>
        <w:t>June 2016</w:t>
      </w:r>
      <w:r w:rsidRPr="006E7C85">
        <w:rPr>
          <w:rFonts w:ascii="Times New Roman" w:eastAsia="Times New Roman" w:hAnsi="Times New Roman"/>
          <w:sz w:val="24"/>
          <w:szCs w:val="20"/>
          <w:lang w:eastAsia="zh-CN"/>
        </w:rPr>
        <w:t>.</w:t>
      </w:r>
    </w:p>
    <w:p w:rsidR="006E7C85" w:rsidRPr="006E7C85" w:rsidRDefault="005A45AD" w:rsidP="006E7C85">
      <w:pPr>
        <w:suppressAutoHyphens/>
        <w:spacing w:after="0"/>
        <w:ind w:left="346" w:right="470"/>
        <w:jc w:val="left"/>
        <w:rPr>
          <w:rFonts w:ascii="Times New Roman" w:eastAsia="Times New Roman" w:hAnsi="Times New Roman"/>
          <w:sz w:val="24"/>
          <w:szCs w:val="20"/>
          <w:lang w:eastAsia="zh-CN"/>
        </w:rPr>
      </w:pPr>
      <w:r>
        <w:rPr>
          <w:rFonts w:ascii="Times New Roman" w:eastAsia="Times New Roman" w:hAnsi="Times New Roman"/>
          <w:noProof/>
          <w:sz w:val="24"/>
          <w:szCs w:val="20"/>
          <w:lang w:eastAsia="en-GB"/>
        </w:rPr>
        <mc:AlternateContent>
          <mc:Choice Requires="wps">
            <w:drawing>
              <wp:anchor distT="0" distB="0" distL="114300" distR="114300" simplePos="0" relativeHeight="251657728" behindDoc="0" locked="0" layoutInCell="1" allowOverlap="1">
                <wp:simplePos x="0" y="0"/>
                <wp:positionH relativeFrom="column">
                  <wp:posOffset>-667385</wp:posOffset>
                </wp:positionH>
                <wp:positionV relativeFrom="paragraph">
                  <wp:posOffset>173355</wp:posOffset>
                </wp:positionV>
                <wp:extent cx="75596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3.65pt" to="542.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" strokeweight=".26mm">
                <v:stroke joinstyle="miter" endcap="square"/>
              </v:line>
            </w:pict>
          </mc:Fallback>
        </mc:AlternateContent>
      </w:r>
    </w:p>
    <w:p w:rsidR="006E7C85" w:rsidRPr="006E7C85" w:rsidRDefault="006E7C85" w:rsidP="006E7C85">
      <w:pPr>
        <w:tabs>
          <w:tab w:val="center" w:pos="4680"/>
        </w:tabs>
        <w:suppressAutoHyphens/>
        <w:spacing w:after="0"/>
        <w:jc w:val="left"/>
        <w:rPr>
          <w:rFonts w:ascii="Times New Roman" w:eastAsia="Times New Roman" w:hAnsi="Times New Roman"/>
          <w:b/>
          <w:sz w:val="24"/>
          <w:szCs w:val="20"/>
          <w:lang w:eastAsia="zh-CN"/>
        </w:rPr>
      </w:pPr>
    </w:p>
    <w:p w:rsidR="006E7C85" w:rsidRPr="006E7C85" w:rsidRDefault="006E7C85" w:rsidP="006E7C85">
      <w:pPr>
        <w:tabs>
          <w:tab w:val="center" w:pos="4680"/>
        </w:tabs>
        <w:suppressAutoHyphens/>
        <w:spacing w:after="0"/>
        <w:ind w:left="113" w:right="113"/>
        <w:jc w:val="center"/>
        <w:rPr>
          <w:rFonts w:ascii="Times New Roman" w:eastAsia="Times New Roman" w:hAnsi="Times New Roman"/>
          <w:sz w:val="24"/>
          <w:szCs w:val="20"/>
          <w:lang w:eastAsia="zh-CN"/>
        </w:rPr>
      </w:pPr>
      <w:r w:rsidRPr="006E7C85">
        <w:rPr>
          <w:rFonts w:ascii="Times New Roman" w:eastAsia="Times New Roman" w:hAnsi="Times New Roman"/>
          <w:b/>
          <w:sz w:val="24"/>
          <w:szCs w:val="20"/>
          <w:lang w:eastAsia="zh-CN"/>
        </w:rPr>
        <w:t xml:space="preserve">  NO</w:t>
      </w:r>
      <w:r>
        <w:rPr>
          <w:rFonts w:ascii="Times New Roman" w:eastAsia="Times New Roman" w:hAnsi="Times New Roman"/>
          <w:b/>
          <w:sz w:val="24"/>
          <w:szCs w:val="20"/>
          <w:vertAlign w:val="subscript"/>
          <w:lang w:eastAsia="zh-CN"/>
        </w:rPr>
        <w:t>3</w:t>
      </w:r>
      <w:r w:rsidRPr="006E7C85">
        <w:rPr>
          <w:rFonts w:ascii="Times New Roman" w:eastAsia="Times New Roman" w:hAnsi="Times New Roman"/>
          <w:b/>
          <w:sz w:val="24"/>
          <w:szCs w:val="20"/>
          <w:lang w:eastAsia="zh-CN"/>
        </w:rPr>
        <w:t xml:space="preserve"> + </w:t>
      </w:r>
      <w:r w:rsidR="00304A1A">
        <w:rPr>
          <w:rFonts w:ascii="Times New Roman" w:eastAsia="Times New Roman" w:hAnsi="Times New Roman"/>
          <w:b/>
          <w:sz w:val="24"/>
          <w:szCs w:val="20"/>
          <w:lang w:eastAsia="zh-CN"/>
        </w:rPr>
        <w:t>alkanes</w:t>
      </w:r>
    </w:p>
    <w:p w:rsidR="006E7C85" w:rsidRPr="006E7C85" w:rsidRDefault="006E7C85" w:rsidP="006E7C85">
      <w:pPr>
        <w:keepNext/>
        <w:suppressAutoHyphens/>
        <w:spacing w:before="240" w:after="60" w:line="360" w:lineRule="auto"/>
        <w:ind w:left="113" w:right="113"/>
        <w:jc w:val="center"/>
        <w:outlineLvl w:val="0"/>
        <w:rPr>
          <w:rFonts w:ascii="Times New Roman" w:eastAsia="Times New Roman" w:hAnsi="Times New Roman"/>
          <w:b/>
          <w:i/>
          <w:spacing w:val="-2"/>
          <w:kern w:val="1"/>
          <w:sz w:val="20"/>
          <w:szCs w:val="20"/>
          <w:lang w:eastAsia="zh-CN"/>
        </w:rPr>
      </w:pPr>
      <w:r w:rsidRPr="006E7C85">
        <w:rPr>
          <w:rFonts w:ascii="Times New Roman" w:eastAsia="Times New Roman" w:hAnsi="Times New Roman"/>
          <w:b/>
          <w:kern w:val="1"/>
          <w:sz w:val="24"/>
          <w:szCs w:val="20"/>
          <w:lang w:eastAsia="zh-CN"/>
        </w:rPr>
        <w:t>Experimental data</w:t>
      </w:r>
    </w:p>
    <w:tbl>
      <w:tblPr>
        <w:tblW w:w="0" w:type="auto"/>
        <w:tblLayout w:type="fixed"/>
        <w:tblLook w:val="0000" w:firstRow="0" w:lastRow="0" w:firstColumn="0" w:lastColumn="0" w:noHBand="0" w:noVBand="0"/>
      </w:tblPr>
      <w:tblGrid>
        <w:gridCol w:w="3794"/>
        <w:gridCol w:w="1134"/>
        <w:gridCol w:w="2551"/>
        <w:gridCol w:w="1843"/>
      </w:tblGrid>
      <w:tr w:rsidR="002F5C5A" w:rsidRPr="00A61F8D" w:rsidTr="00ED3391">
        <w:tc>
          <w:tcPr>
            <w:tcW w:w="3794" w:type="dxa"/>
            <w:tcBorders>
              <w:top w:val="double" w:sz="4" w:space="0" w:color="auto"/>
              <w:bottom w:val="single" w:sz="4" w:space="0" w:color="auto"/>
            </w:tcBorders>
          </w:tcPr>
          <w:p w:rsidR="002F5C5A" w:rsidRPr="00A61F8D" w:rsidRDefault="002F5C5A" w:rsidP="006E7C85">
            <w:pPr>
              <w:suppressAutoHyphens/>
              <w:spacing w:before="120" w:after="120" w:line="264" w:lineRule="auto"/>
              <w:ind w:left="113" w:right="113"/>
              <w:rPr>
                <w:spacing w:val="-2"/>
                <w:sz w:val="20"/>
              </w:rPr>
            </w:pPr>
            <w:r w:rsidRPr="00A61F8D">
              <w:rPr>
                <w:i/>
                <w:spacing w:val="-2"/>
                <w:sz w:val="20"/>
              </w:rPr>
              <w:t>Parameter</w:t>
            </w:r>
            <w:r w:rsidRPr="00A61F8D">
              <w:rPr>
                <w:spacing w:val="-2"/>
                <w:sz w:val="20"/>
              </w:rPr>
              <w:t xml:space="preserve"> </w:t>
            </w:r>
          </w:p>
        </w:tc>
        <w:tc>
          <w:tcPr>
            <w:tcW w:w="1134" w:type="dxa"/>
            <w:tcBorders>
              <w:top w:val="double" w:sz="4" w:space="0" w:color="auto"/>
              <w:bottom w:val="single" w:sz="4" w:space="0" w:color="auto"/>
            </w:tcBorders>
          </w:tcPr>
          <w:p w:rsidR="002F5C5A" w:rsidRPr="00A61F8D" w:rsidRDefault="002F5C5A" w:rsidP="006E7C85">
            <w:pPr>
              <w:suppressAutoHyphens/>
              <w:spacing w:before="120" w:after="120" w:line="264" w:lineRule="auto"/>
              <w:ind w:left="113" w:right="113"/>
              <w:rPr>
                <w:spacing w:val="-2"/>
                <w:sz w:val="20"/>
              </w:rPr>
            </w:pPr>
            <w:r w:rsidRPr="00A61F8D">
              <w:rPr>
                <w:spacing w:val="-2"/>
                <w:sz w:val="20"/>
              </w:rPr>
              <w:t>Temp./K</w:t>
            </w:r>
          </w:p>
        </w:tc>
        <w:tc>
          <w:tcPr>
            <w:tcW w:w="2551" w:type="dxa"/>
            <w:tcBorders>
              <w:top w:val="double" w:sz="4" w:space="0" w:color="auto"/>
              <w:bottom w:val="single" w:sz="4" w:space="0" w:color="auto"/>
            </w:tcBorders>
          </w:tcPr>
          <w:p w:rsidR="002F5C5A" w:rsidRPr="00A61F8D" w:rsidRDefault="002F5C5A" w:rsidP="006E7C85">
            <w:pPr>
              <w:pStyle w:val="Heading2"/>
              <w:spacing w:before="120" w:after="120"/>
              <w:ind w:left="113" w:right="113"/>
              <w:rPr>
                <w:b w:val="0"/>
                <w:i w:val="0"/>
                <w:sz w:val="20"/>
              </w:rPr>
            </w:pPr>
            <w:r w:rsidRPr="00A61F8D">
              <w:rPr>
                <w:b w:val="0"/>
                <w:i w:val="0"/>
                <w:sz w:val="20"/>
              </w:rPr>
              <w:t>Reference</w:t>
            </w:r>
          </w:p>
        </w:tc>
        <w:tc>
          <w:tcPr>
            <w:tcW w:w="1843" w:type="dxa"/>
            <w:tcBorders>
              <w:top w:val="double" w:sz="4" w:space="0" w:color="auto"/>
              <w:bottom w:val="single" w:sz="4" w:space="0" w:color="auto"/>
            </w:tcBorders>
          </w:tcPr>
          <w:p w:rsidR="002F5C5A" w:rsidRPr="00A61F8D" w:rsidRDefault="002F5C5A" w:rsidP="006E7C85">
            <w:pPr>
              <w:suppressAutoHyphens/>
              <w:spacing w:before="120" w:after="120" w:line="264" w:lineRule="auto"/>
              <w:ind w:left="113" w:right="113"/>
              <w:rPr>
                <w:spacing w:val="-2"/>
                <w:sz w:val="20"/>
              </w:rPr>
            </w:pPr>
            <w:r w:rsidRPr="00A61F8D">
              <w:rPr>
                <w:spacing w:val="-2"/>
                <w:sz w:val="20"/>
              </w:rPr>
              <w:t>Technique/ Comments</w:t>
            </w:r>
          </w:p>
        </w:tc>
      </w:tr>
      <w:tr w:rsidR="002F5C5A" w:rsidRPr="00A61F8D" w:rsidTr="00ED3391">
        <w:tc>
          <w:tcPr>
            <w:tcW w:w="3794" w:type="dxa"/>
          </w:tcPr>
          <w:p w:rsidR="002F5C5A" w:rsidRPr="00A61F8D" w:rsidRDefault="002F5C5A" w:rsidP="006E7C85">
            <w:pPr>
              <w:pStyle w:val="table"/>
              <w:tabs>
                <w:tab w:val="clear" w:pos="480"/>
                <w:tab w:val="clear" w:pos="567"/>
                <w:tab w:val="clear" w:pos="7938"/>
              </w:tabs>
              <w:spacing w:line="264" w:lineRule="auto"/>
              <w:ind w:left="113" w:right="113"/>
              <w:rPr>
                <w:caps w:val="0"/>
                <w:noProof w:val="0"/>
                <w:spacing w:val="-2"/>
              </w:rPr>
            </w:pPr>
            <w:r w:rsidRPr="00A61F8D">
              <w:rPr>
                <w:spacing w:val="-2"/>
              </w:rPr>
              <w:sym w:font="Symbol" w:char="F067"/>
            </w:r>
            <w:r w:rsidR="0070324E" w:rsidRPr="0070324E">
              <w:rPr>
                <w:spacing w:val="-2"/>
                <w:vertAlign w:val="subscript"/>
              </w:rPr>
              <w:t>0</w:t>
            </w:r>
            <w:r w:rsidRPr="00A61F8D">
              <w:rPr>
                <w:spacing w:val="-2"/>
              </w:rPr>
              <w:t xml:space="preserve"> </w:t>
            </w:r>
          </w:p>
        </w:tc>
        <w:tc>
          <w:tcPr>
            <w:tcW w:w="1134" w:type="dxa"/>
          </w:tcPr>
          <w:p w:rsidR="002F5C5A" w:rsidRPr="00A61F8D" w:rsidRDefault="002F5C5A" w:rsidP="006E7C85">
            <w:pPr>
              <w:spacing w:line="264" w:lineRule="auto"/>
              <w:ind w:left="113" w:right="113"/>
              <w:rPr>
                <w:sz w:val="20"/>
              </w:rPr>
            </w:pPr>
          </w:p>
        </w:tc>
        <w:tc>
          <w:tcPr>
            <w:tcW w:w="2551" w:type="dxa"/>
          </w:tcPr>
          <w:p w:rsidR="002F5C5A" w:rsidRPr="00A61F8D" w:rsidRDefault="002F5C5A" w:rsidP="006E7C85">
            <w:pPr>
              <w:pStyle w:val="table"/>
              <w:tabs>
                <w:tab w:val="clear" w:pos="480"/>
                <w:tab w:val="clear" w:pos="567"/>
                <w:tab w:val="clear" w:pos="7938"/>
              </w:tabs>
              <w:spacing w:line="264" w:lineRule="auto"/>
              <w:ind w:left="113" w:right="113"/>
              <w:rPr>
                <w:caps w:val="0"/>
              </w:rPr>
            </w:pPr>
          </w:p>
        </w:tc>
        <w:tc>
          <w:tcPr>
            <w:tcW w:w="1843" w:type="dxa"/>
          </w:tcPr>
          <w:p w:rsidR="002F5C5A" w:rsidRPr="00A61F8D" w:rsidRDefault="002F5C5A" w:rsidP="006E7C85">
            <w:pPr>
              <w:spacing w:line="264" w:lineRule="auto"/>
              <w:ind w:left="113" w:right="113"/>
              <w:rPr>
                <w:sz w:val="20"/>
              </w:rPr>
            </w:pPr>
          </w:p>
        </w:tc>
      </w:tr>
      <w:tr w:rsidR="002F5C5A" w:rsidRPr="00A61F8D" w:rsidTr="00ED3391">
        <w:tc>
          <w:tcPr>
            <w:tcW w:w="3794" w:type="dxa"/>
          </w:tcPr>
          <w:p w:rsidR="002F5C5A" w:rsidRPr="00A61F8D" w:rsidRDefault="002F5C5A" w:rsidP="004A7EDE">
            <w:pPr>
              <w:pStyle w:val="table"/>
              <w:tabs>
                <w:tab w:val="clear" w:pos="480"/>
                <w:tab w:val="clear" w:pos="567"/>
                <w:tab w:val="clear" w:pos="7938"/>
              </w:tabs>
              <w:spacing w:after="0"/>
              <w:ind w:right="113"/>
              <w:rPr>
                <w:caps w:val="0"/>
                <w:noProof w:val="0"/>
                <w:spacing w:val="-2"/>
              </w:rPr>
            </w:pPr>
            <w:r w:rsidRPr="00A61F8D">
              <w:rPr>
                <w:caps w:val="0"/>
                <w:noProof w:val="0"/>
                <w:spacing w:val="-2"/>
              </w:rPr>
              <w:t xml:space="preserve">(2.6 </w:t>
            </w:r>
            <w:r w:rsidRPr="00A61F8D">
              <w:rPr>
                <w:caps w:val="0"/>
                <w:noProof w:val="0"/>
                <w:spacing w:val="-2"/>
              </w:rPr>
              <w:sym w:font="Symbol" w:char="F0B1"/>
            </w:r>
            <w:r w:rsidRPr="00A61F8D">
              <w:rPr>
                <w:caps w:val="0"/>
                <w:noProof w:val="0"/>
                <w:spacing w:val="-2"/>
              </w:rPr>
              <w:t xml:space="preserve"> 0.8) </w:t>
            </w:r>
            <w:r w:rsidRPr="00A61F8D">
              <w:rPr>
                <w:caps w:val="0"/>
                <w:noProof w:val="0"/>
                <w:spacing w:val="-2"/>
              </w:rPr>
              <w:sym w:font="Symbol" w:char="F0B4"/>
            </w:r>
            <w:r w:rsidRPr="00A61F8D">
              <w:rPr>
                <w:caps w:val="0"/>
                <w:noProof w:val="0"/>
                <w:spacing w:val="-2"/>
              </w:rPr>
              <w:t xml:space="preserve"> 10</w:t>
            </w:r>
            <w:r w:rsidRPr="00A61F8D">
              <w:rPr>
                <w:caps w:val="0"/>
                <w:noProof w:val="0"/>
                <w:spacing w:val="-2"/>
                <w:vertAlign w:val="superscript"/>
              </w:rPr>
              <w:t>-3</w:t>
            </w:r>
            <w:r w:rsidRPr="00A61F8D">
              <w:rPr>
                <w:caps w:val="0"/>
                <w:noProof w:val="0"/>
                <w:spacing w:val="-2"/>
              </w:rPr>
              <w:t xml:space="preserve"> (n-hexadecane)</w:t>
            </w:r>
          </w:p>
        </w:tc>
        <w:tc>
          <w:tcPr>
            <w:tcW w:w="1134" w:type="dxa"/>
          </w:tcPr>
          <w:p w:rsidR="002F5C5A" w:rsidRPr="00A61F8D" w:rsidRDefault="002F5C5A" w:rsidP="004A7EDE">
            <w:pPr>
              <w:spacing w:after="0"/>
              <w:ind w:left="-108" w:right="-108" w:firstLine="221"/>
              <w:rPr>
                <w:sz w:val="20"/>
              </w:rPr>
            </w:pPr>
            <w:r w:rsidRPr="00A61F8D">
              <w:rPr>
                <w:sz w:val="20"/>
              </w:rPr>
              <w:t>293</w:t>
            </w:r>
          </w:p>
        </w:tc>
        <w:tc>
          <w:tcPr>
            <w:tcW w:w="2551" w:type="dxa"/>
          </w:tcPr>
          <w:p w:rsidR="002F5C5A" w:rsidRPr="00A61F8D" w:rsidRDefault="002F5C5A" w:rsidP="004A7EDE">
            <w:pPr>
              <w:pStyle w:val="table"/>
              <w:tabs>
                <w:tab w:val="clear" w:pos="480"/>
                <w:tab w:val="clear" w:pos="567"/>
                <w:tab w:val="clear" w:pos="7938"/>
              </w:tabs>
              <w:spacing w:after="0"/>
              <w:rPr>
                <w:caps w:val="0"/>
              </w:rPr>
            </w:pPr>
            <w:r w:rsidRPr="00A61F8D">
              <w:rPr>
                <w:caps w:val="0"/>
              </w:rPr>
              <w:t>Moise et al., 2002</w:t>
            </w:r>
          </w:p>
        </w:tc>
        <w:tc>
          <w:tcPr>
            <w:tcW w:w="1843" w:type="dxa"/>
          </w:tcPr>
          <w:p w:rsidR="002F5C5A" w:rsidRPr="00A61F8D" w:rsidRDefault="002F5C5A" w:rsidP="006E7C85">
            <w:pPr>
              <w:spacing w:after="0"/>
              <w:ind w:left="113" w:right="113"/>
              <w:rPr>
                <w:sz w:val="20"/>
              </w:rPr>
            </w:pPr>
            <w:r w:rsidRPr="00A61F8D">
              <w:rPr>
                <w:sz w:val="20"/>
              </w:rPr>
              <w:t>CWFT-AS (a)</w:t>
            </w:r>
          </w:p>
        </w:tc>
      </w:tr>
      <w:tr w:rsidR="00C02919" w:rsidRPr="00A61F8D" w:rsidTr="00ED3391">
        <w:tc>
          <w:tcPr>
            <w:tcW w:w="3794" w:type="dxa"/>
          </w:tcPr>
          <w:p w:rsidR="00C02919" w:rsidRPr="00C02919" w:rsidRDefault="00C02919" w:rsidP="004A7EDE">
            <w:pPr>
              <w:pStyle w:val="table"/>
              <w:tabs>
                <w:tab w:val="clear" w:pos="480"/>
                <w:tab w:val="clear" w:pos="567"/>
                <w:tab w:val="clear" w:pos="7938"/>
              </w:tabs>
              <w:spacing w:after="0"/>
              <w:ind w:right="113"/>
              <w:rPr>
                <w:caps w:val="0"/>
                <w:noProof w:val="0"/>
                <w:spacing w:val="-2"/>
              </w:rPr>
            </w:pPr>
            <w:r>
              <w:t xml:space="preserve">(14 </w:t>
            </w:r>
            <w:r>
              <w:sym w:font="Symbol" w:char="F0B1"/>
            </w:r>
            <w:r>
              <w:t xml:space="preserve"> 2) </w:t>
            </w:r>
            <w:r>
              <w:sym w:font="Symbol" w:char="F0B4"/>
            </w:r>
            <w:r>
              <w:t xml:space="preserve"> 10</w:t>
            </w:r>
            <w:r w:rsidRPr="00FD01BD">
              <w:rPr>
                <w:vertAlign w:val="superscript"/>
              </w:rPr>
              <w:t>-3</w:t>
            </w:r>
            <w:r>
              <w:rPr>
                <w:vertAlign w:val="superscript"/>
              </w:rPr>
              <w:t xml:space="preserve"> </w:t>
            </w:r>
            <w:r w:rsidRPr="00A61F8D">
              <w:rPr>
                <w:caps w:val="0"/>
                <w:noProof w:val="0"/>
                <w:spacing w:val="-2"/>
              </w:rPr>
              <w:t>(n-hexadecane</w:t>
            </w:r>
            <w:r w:rsidR="00222EE9">
              <w:rPr>
                <w:caps w:val="0"/>
                <w:noProof w:val="0"/>
                <w:spacing w:val="-2"/>
              </w:rPr>
              <w:t>, SAM</w:t>
            </w:r>
            <w:r w:rsidRPr="00A61F8D">
              <w:rPr>
                <w:caps w:val="0"/>
                <w:noProof w:val="0"/>
                <w:spacing w:val="-2"/>
              </w:rPr>
              <w:t>)</w:t>
            </w:r>
          </w:p>
        </w:tc>
        <w:tc>
          <w:tcPr>
            <w:tcW w:w="1134" w:type="dxa"/>
          </w:tcPr>
          <w:p w:rsidR="00C02919" w:rsidRDefault="00C02919" w:rsidP="006E7C85">
            <w:pPr>
              <w:spacing w:after="0"/>
              <w:ind w:left="113" w:right="113"/>
              <w:rPr>
                <w:sz w:val="20"/>
              </w:rPr>
            </w:pPr>
            <w:r>
              <w:rPr>
                <w:sz w:val="20"/>
              </w:rPr>
              <w:t>293</w:t>
            </w:r>
          </w:p>
        </w:tc>
        <w:tc>
          <w:tcPr>
            <w:tcW w:w="2551" w:type="dxa"/>
          </w:tcPr>
          <w:p w:rsidR="00C02919" w:rsidRPr="00C02919" w:rsidRDefault="00C02919" w:rsidP="00C02919">
            <w:pPr>
              <w:pStyle w:val="table"/>
              <w:tabs>
                <w:tab w:val="clear" w:pos="480"/>
                <w:tab w:val="clear" w:pos="567"/>
                <w:tab w:val="clear" w:pos="7938"/>
              </w:tabs>
              <w:spacing w:after="0"/>
              <w:rPr>
                <w:caps w:val="0"/>
              </w:rPr>
            </w:pPr>
            <w:r>
              <w:rPr>
                <w:caps w:val="0"/>
              </w:rPr>
              <w:t>Knopf et al. 2006</w:t>
            </w:r>
          </w:p>
        </w:tc>
        <w:tc>
          <w:tcPr>
            <w:tcW w:w="1843" w:type="dxa"/>
          </w:tcPr>
          <w:p w:rsidR="00C02919" w:rsidRDefault="00C02919" w:rsidP="006E7C85">
            <w:pPr>
              <w:spacing w:after="0"/>
              <w:ind w:left="113" w:right="113"/>
              <w:rPr>
                <w:sz w:val="20"/>
              </w:rPr>
            </w:pPr>
            <w:r>
              <w:rPr>
                <w:sz w:val="20"/>
              </w:rPr>
              <w:t>CWFT-CIMS (b)</w:t>
            </w:r>
          </w:p>
        </w:tc>
      </w:tr>
      <w:tr w:rsidR="009D34C5" w:rsidRPr="00A61F8D" w:rsidTr="00ED3391">
        <w:tc>
          <w:tcPr>
            <w:tcW w:w="3794" w:type="dxa"/>
          </w:tcPr>
          <w:p w:rsidR="009D34C5" w:rsidRPr="009D34C5" w:rsidRDefault="009D34C5" w:rsidP="004A7EDE">
            <w:pPr>
              <w:pStyle w:val="table"/>
              <w:tabs>
                <w:tab w:val="clear" w:pos="480"/>
                <w:tab w:val="clear" w:pos="567"/>
                <w:tab w:val="clear" w:pos="7938"/>
              </w:tabs>
              <w:spacing w:after="0"/>
              <w:ind w:right="113"/>
              <w:rPr>
                <w:caps w:val="0"/>
                <w:noProof w:val="0"/>
                <w:spacing w:val="-2"/>
              </w:rPr>
            </w:pPr>
            <w:r>
              <w:t xml:space="preserve">(8.8 </w:t>
            </w:r>
            <w:r>
              <w:sym w:font="Symbol" w:char="F0B1"/>
            </w:r>
            <w:r>
              <w:t xml:space="preserve"> 2.5) </w:t>
            </w:r>
            <w:r>
              <w:sym w:font="Symbol" w:char="F0B4"/>
            </w:r>
            <w:r>
              <w:t xml:space="preserve"> 10</w:t>
            </w:r>
            <w:r>
              <w:rPr>
                <w:vertAlign w:val="superscript"/>
              </w:rPr>
              <w:t xml:space="preserve">-4 </w:t>
            </w:r>
            <w:r w:rsidRPr="009D34C5">
              <w:rPr>
                <w:caps w:val="0"/>
              </w:rPr>
              <w:t>(octadecanethiol</w:t>
            </w:r>
            <w:r w:rsidR="00222EE9">
              <w:rPr>
                <w:caps w:val="0"/>
              </w:rPr>
              <w:t>, SAM</w:t>
            </w:r>
            <w:r w:rsidRPr="009D34C5">
              <w:rPr>
                <w:caps w:val="0"/>
              </w:rPr>
              <w:t>)</w:t>
            </w:r>
          </w:p>
        </w:tc>
        <w:tc>
          <w:tcPr>
            <w:tcW w:w="1134" w:type="dxa"/>
          </w:tcPr>
          <w:p w:rsidR="009D34C5" w:rsidRDefault="009D34C5" w:rsidP="006E7C85">
            <w:pPr>
              <w:spacing w:after="0"/>
              <w:ind w:left="113" w:right="113"/>
              <w:rPr>
                <w:sz w:val="20"/>
              </w:rPr>
            </w:pPr>
            <w:r>
              <w:rPr>
                <w:sz w:val="20"/>
              </w:rPr>
              <w:t>298</w:t>
            </w:r>
          </w:p>
        </w:tc>
        <w:tc>
          <w:tcPr>
            <w:tcW w:w="2551" w:type="dxa"/>
          </w:tcPr>
          <w:p w:rsidR="009D34C5" w:rsidRDefault="009D34C5" w:rsidP="004A7EDE">
            <w:pPr>
              <w:pStyle w:val="table"/>
              <w:tabs>
                <w:tab w:val="clear" w:pos="480"/>
                <w:tab w:val="clear" w:pos="567"/>
                <w:tab w:val="clear" w:pos="7938"/>
              </w:tabs>
              <w:spacing w:after="0"/>
              <w:rPr>
                <w:caps w:val="0"/>
              </w:rPr>
            </w:pPr>
          </w:p>
        </w:tc>
        <w:tc>
          <w:tcPr>
            <w:tcW w:w="1843" w:type="dxa"/>
          </w:tcPr>
          <w:p w:rsidR="009D34C5" w:rsidRDefault="009D34C5" w:rsidP="006E7C85">
            <w:pPr>
              <w:spacing w:after="0"/>
              <w:ind w:left="113" w:right="113"/>
              <w:rPr>
                <w:sz w:val="20"/>
              </w:rPr>
            </w:pPr>
          </w:p>
        </w:tc>
      </w:tr>
      <w:tr w:rsidR="002F5C5A" w:rsidRPr="00A61F8D" w:rsidTr="00ED3391">
        <w:tc>
          <w:tcPr>
            <w:tcW w:w="3794" w:type="dxa"/>
          </w:tcPr>
          <w:p w:rsidR="002F5C5A" w:rsidRPr="00A61F8D" w:rsidRDefault="004E4292" w:rsidP="004A7EDE">
            <w:pPr>
              <w:pStyle w:val="table"/>
              <w:tabs>
                <w:tab w:val="clear" w:pos="480"/>
                <w:tab w:val="clear" w:pos="567"/>
                <w:tab w:val="clear" w:pos="7938"/>
              </w:tabs>
              <w:spacing w:after="0"/>
              <w:ind w:right="113"/>
              <w:rPr>
                <w:caps w:val="0"/>
                <w:noProof w:val="0"/>
                <w:spacing w:val="-2"/>
              </w:rPr>
            </w:pPr>
            <w:r>
              <w:rPr>
                <w:caps w:val="0"/>
                <w:noProof w:val="0"/>
                <w:spacing w:val="-2"/>
              </w:rPr>
              <w:t xml:space="preserve">(5.2 </w:t>
            </w:r>
            <w:r w:rsidRPr="004E4292">
              <w:rPr>
                <w:caps w:val="0"/>
                <w:noProof w:val="0"/>
                <w:spacing w:val="-2"/>
              </w:rPr>
              <w:sym w:font="Symbol" w:char="F0B1"/>
            </w:r>
            <w:r>
              <w:rPr>
                <w:caps w:val="0"/>
                <w:noProof w:val="0"/>
                <w:spacing w:val="-2"/>
              </w:rPr>
              <w:t xml:space="preserve"> 0.4) </w:t>
            </w:r>
            <w:r w:rsidRPr="00A61F8D">
              <w:rPr>
                <w:caps w:val="0"/>
                <w:noProof w:val="0"/>
                <w:spacing w:val="-2"/>
              </w:rPr>
              <w:sym w:font="Symbol" w:char="F0B4"/>
            </w:r>
            <w:r w:rsidRPr="00A61F8D">
              <w:rPr>
                <w:caps w:val="0"/>
                <w:noProof w:val="0"/>
                <w:spacing w:val="-2"/>
              </w:rPr>
              <w:t xml:space="preserve"> 10</w:t>
            </w:r>
            <w:r w:rsidRPr="00A61F8D">
              <w:rPr>
                <w:caps w:val="0"/>
                <w:noProof w:val="0"/>
                <w:spacing w:val="-2"/>
                <w:vertAlign w:val="superscript"/>
              </w:rPr>
              <w:t>-3</w:t>
            </w:r>
            <w:r>
              <w:rPr>
                <w:caps w:val="0"/>
                <w:noProof w:val="0"/>
                <w:spacing w:val="-2"/>
              </w:rPr>
              <w:t xml:space="preserve"> (squalane)</w:t>
            </w:r>
          </w:p>
        </w:tc>
        <w:tc>
          <w:tcPr>
            <w:tcW w:w="1134" w:type="dxa"/>
          </w:tcPr>
          <w:p w:rsidR="002F5C5A" w:rsidRPr="00A61F8D" w:rsidRDefault="007F51EA" w:rsidP="006E7C85">
            <w:pPr>
              <w:spacing w:after="0"/>
              <w:ind w:left="113" w:right="113"/>
              <w:rPr>
                <w:sz w:val="20"/>
              </w:rPr>
            </w:pPr>
            <w:r>
              <w:rPr>
                <w:sz w:val="20"/>
              </w:rPr>
              <w:t>278</w:t>
            </w:r>
          </w:p>
        </w:tc>
        <w:tc>
          <w:tcPr>
            <w:tcW w:w="2551" w:type="dxa"/>
          </w:tcPr>
          <w:p w:rsidR="002F5C5A" w:rsidRPr="00A61F8D" w:rsidRDefault="004E4292" w:rsidP="004A7EDE">
            <w:pPr>
              <w:pStyle w:val="table"/>
              <w:tabs>
                <w:tab w:val="clear" w:pos="480"/>
                <w:tab w:val="clear" w:pos="567"/>
                <w:tab w:val="clear" w:pos="7938"/>
              </w:tabs>
              <w:spacing w:after="0"/>
              <w:rPr>
                <w:caps w:val="0"/>
              </w:rPr>
            </w:pPr>
            <w:r>
              <w:rPr>
                <w:caps w:val="0"/>
              </w:rPr>
              <w:t>Xiao and Bertram, 2011</w:t>
            </w:r>
          </w:p>
        </w:tc>
        <w:tc>
          <w:tcPr>
            <w:tcW w:w="1843" w:type="dxa"/>
          </w:tcPr>
          <w:p w:rsidR="002F5C5A" w:rsidRPr="00A61F8D" w:rsidRDefault="004E4292" w:rsidP="006E7C85">
            <w:pPr>
              <w:spacing w:after="0"/>
              <w:ind w:left="113" w:right="113"/>
              <w:rPr>
                <w:sz w:val="20"/>
              </w:rPr>
            </w:pPr>
            <w:r>
              <w:rPr>
                <w:sz w:val="20"/>
              </w:rPr>
              <w:t>CWFT-</w:t>
            </w:r>
            <w:r w:rsidR="00C35E43">
              <w:rPr>
                <w:sz w:val="20"/>
              </w:rPr>
              <w:t xml:space="preserve"> CIMS</w:t>
            </w:r>
            <w:r w:rsidR="00C015E9">
              <w:rPr>
                <w:sz w:val="20"/>
              </w:rPr>
              <w:t xml:space="preserve"> </w:t>
            </w:r>
            <w:r w:rsidR="009D34C5">
              <w:rPr>
                <w:sz w:val="20"/>
              </w:rPr>
              <w:t>(c</w:t>
            </w:r>
            <w:r w:rsidR="00C015E9">
              <w:rPr>
                <w:sz w:val="20"/>
              </w:rPr>
              <w:t>)</w:t>
            </w:r>
          </w:p>
        </w:tc>
      </w:tr>
      <w:tr w:rsidR="002F5C5A" w:rsidRPr="00A61F8D" w:rsidTr="00ED3391">
        <w:tc>
          <w:tcPr>
            <w:tcW w:w="3794" w:type="dxa"/>
          </w:tcPr>
          <w:p w:rsidR="002F5C5A" w:rsidRPr="00A61F8D" w:rsidRDefault="004E4292" w:rsidP="006E7C85">
            <w:pPr>
              <w:pStyle w:val="table"/>
              <w:tabs>
                <w:tab w:val="clear" w:pos="480"/>
                <w:tab w:val="clear" w:pos="567"/>
                <w:tab w:val="clear" w:pos="7938"/>
              </w:tabs>
              <w:spacing w:after="0"/>
              <w:rPr>
                <w:caps w:val="0"/>
                <w:noProof w:val="0"/>
                <w:spacing w:val="-2"/>
              </w:rPr>
            </w:pPr>
            <w:r>
              <w:rPr>
                <w:caps w:val="0"/>
                <w:noProof w:val="0"/>
                <w:spacing w:val="-2"/>
              </w:rPr>
              <w:t xml:space="preserve">&lt; 7.8 </w:t>
            </w:r>
            <w:r w:rsidRPr="004E4292">
              <w:rPr>
                <w:caps w:val="0"/>
                <w:noProof w:val="0"/>
                <w:spacing w:val="-2"/>
              </w:rPr>
              <w:sym w:font="Symbol" w:char="F0B4"/>
            </w:r>
            <w:r>
              <w:rPr>
                <w:caps w:val="0"/>
                <w:noProof w:val="0"/>
                <w:spacing w:val="-2"/>
              </w:rPr>
              <w:t xml:space="preserve"> 10</w:t>
            </w:r>
            <w:r w:rsidRPr="004E4292">
              <w:rPr>
                <w:caps w:val="0"/>
                <w:noProof w:val="0"/>
                <w:spacing w:val="-2"/>
                <w:vertAlign w:val="superscript"/>
              </w:rPr>
              <w:t>-3</w:t>
            </w:r>
            <w:r>
              <w:rPr>
                <w:caps w:val="0"/>
                <w:noProof w:val="0"/>
                <w:spacing w:val="-2"/>
              </w:rPr>
              <w:t xml:space="preserve"> (squalane) </w:t>
            </w:r>
          </w:p>
        </w:tc>
        <w:tc>
          <w:tcPr>
            <w:tcW w:w="1134" w:type="dxa"/>
          </w:tcPr>
          <w:p w:rsidR="002F5C5A" w:rsidRPr="00A61F8D" w:rsidRDefault="004E4292" w:rsidP="004E4292">
            <w:pPr>
              <w:spacing w:after="0"/>
              <w:ind w:left="113" w:right="113"/>
              <w:rPr>
                <w:sz w:val="20"/>
              </w:rPr>
            </w:pPr>
            <w:r>
              <w:rPr>
                <w:sz w:val="20"/>
              </w:rPr>
              <w:t>293</w:t>
            </w:r>
          </w:p>
        </w:tc>
        <w:tc>
          <w:tcPr>
            <w:tcW w:w="2551" w:type="dxa"/>
          </w:tcPr>
          <w:p w:rsidR="002F5C5A" w:rsidRPr="00A61F8D" w:rsidRDefault="004E4292" w:rsidP="004A7EDE">
            <w:pPr>
              <w:pStyle w:val="table"/>
              <w:tabs>
                <w:tab w:val="clear" w:pos="480"/>
                <w:tab w:val="clear" w:pos="567"/>
                <w:tab w:val="clear" w:pos="7938"/>
              </w:tabs>
              <w:spacing w:after="0"/>
              <w:rPr>
                <w:caps w:val="0"/>
              </w:rPr>
            </w:pPr>
            <w:r>
              <w:rPr>
                <w:caps w:val="0"/>
              </w:rPr>
              <w:t>Lee et al., 2013</w:t>
            </w:r>
          </w:p>
        </w:tc>
        <w:tc>
          <w:tcPr>
            <w:tcW w:w="1843" w:type="dxa"/>
          </w:tcPr>
          <w:p w:rsidR="002F5C5A" w:rsidRPr="00A61F8D" w:rsidRDefault="00C05E1E" w:rsidP="004E4292">
            <w:pPr>
              <w:spacing w:after="0"/>
              <w:ind w:left="113" w:right="113"/>
              <w:rPr>
                <w:sz w:val="20"/>
              </w:rPr>
            </w:pPr>
            <w:r>
              <w:rPr>
                <w:sz w:val="20"/>
              </w:rPr>
              <w:t xml:space="preserve">AFT </w:t>
            </w:r>
            <w:r w:rsidR="00395672">
              <w:rPr>
                <w:sz w:val="20"/>
              </w:rPr>
              <w:t xml:space="preserve">–AMS </w:t>
            </w:r>
            <w:r w:rsidR="009D34C5">
              <w:rPr>
                <w:sz w:val="20"/>
              </w:rPr>
              <w:t>(d</w:t>
            </w:r>
            <w:r w:rsidR="00C015E9">
              <w:rPr>
                <w:sz w:val="20"/>
              </w:rPr>
              <w:t>)</w:t>
            </w:r>
          </w:p>
        </w:tc>
      </w:tr>
      <w:tr w:rsidR="004E4292" w:rsidRPr="00A61F8D" w:rsidTr="00ED3391">
        <w:tc>
          <w:tcPr>
            <w:tcW w:w="3794" w:type="dxa"/>
          </w:tcPr>
          <w:p w:rsidR="004E4292" w:rsidRDefault="004E4292" w:rsidP="004E4292">
            <w:pPr>
              <w:pStyle w:val="table"/>
              <w:tabs>
                <w:tab w:val="clear" w:pos="480"/>
                <w:tab w:val="clear" w:pos="567"/>
                <w:tab w:val="clear" w:pos="7938"/>
              </w:tabs>
              <w:spacing w:after="0"/>
              <w:rPr>
                <w:caps w:val="0"/>
                <w:noProof w:val="0"/>
                <w:spacing w:val="-2"/>
              </w:rPr>
            </w:pPr>
            <w:r>
              <w:rPr>
                <w:caps w:val="0"/>
                <w:noProof w:val="0"/>
                <w:spacing w:val="-2"/>
              </w:rPr>
              <w:t xml:space="preserve">(2.1 </w:t>
            </w:r>
            <w:r w:rsidRPr="004E4292">
              <w:rPr>
                <w:caps w:val="0"/>
                <w:noProof w:val="0"/>
                <w:spacing w:val="-2"/>
              </w:rPr>
              <w:sym w:font="Symbol" w:char="F0B1"/>
            </w:r>
            <w:r>
              <w:rPr>
                <w:caps w:val="0"/>
                <w:noProof w:val="0"/>
                <w:spacing w:val="-2"/>
              </w:rPr>
              <w:t xml:space="preserve"> 0.8) </w:t>
            </w:r>
            <w:r w:rsidRPr="004E4292">
              <w:rPr>
                <w:caps w:val="0"/>
                <w:noProof w:val="0"/>
                <w:spacing w:val="-2"/>
              </w:rPr>
              <w:sym w:font="Symbol" w:char="F0B4"/>
            </w:r>
            <w:r>
              <w:rPr>
                <w:caps w:val="0"/>
                <w:noProof w:val="0"/>
                <w:spacing w:val="-2"/>
              </w:rPr>
              <w:t xml:space="preserve"> </w:t>
            </w:r>
            <w:r w:rsidRPr="004E4292">
              <w:rPr>
                <w:caps w:val="0"/>
                <w:noProof w:val="0"/>
                <w:spacing w:val="-2"/>
              </w:rPr>
              <w:t>10</w:t>
            </w:r>
            <w:r w:rsidRPr="004E4292">
              <w:rPr>
                <w:caps w:val="0"/>
                <w:noProof w:val="0"/>
                <w:spacing w:val="-2"/>
                <w:vertAlign w:val="superscript"/>
              </w:rPr>
              <w:t>-3</w:t>
            </w:r>
            <w:r>
              <w:rPr>
                <w:caps w:val="0"/>
                <w:noProof w:val="0"/>
                <w:spacing w:val="-2"/>
              </w:rPr>
              <w:t xml:space="preserve"> (heptamethylnonane)</w:t>
            </w:r>
          </w:p>
        </w:tc>
        <w:tc>
          <w:tcPr>
            <w:tcW w:w="1134" w:type="dxa"/>
          </w:tcPr>
          <w:p w:rsidR="004E4292" w:rsidRPr="00A61F8D" w:rsidRDefault="00CA6636" w:rsidP="004A7EDE">
            <w:pPr>
              <w:spacing w:after="0"/>
              <w:ind w:left="113" w:right="113"/>
              <w:rPr>
                <w:sz w:val="20"/>
              </w:rPr>
            </w:pPr>
            <w:r>
              <w:rPr>
                <w:sz w:val="20"/>
              </w:rPr>
              <w:t>253</w:t>
            </w:r>
          </w:p>
        </w:tc>
        <w:tc>
          <w:tcPr>
            <w:tcW w:w="2551" w:type="dxa"/>
          </w:tcPr>
          <w:p w:rsidR="004E4292" w:rsidRPr="00A61F8D" w:rsidRDefault="004E4292" w:rsidP="006E7C85">
            <w:pPr>
              <w:pStyle w:val="table"/>
              <w:tabs>
                <w:tab w:val="clear" w:pos="480"/>
                <w:tab w:val="clear" w:pos="567"/>
                <w:tab w:val="clear" w:pos="7938"/>
              </w:tabs>
              <w:spacing w:after="0"/>
              <w:rPr>
                <w:caps w:val="0"/>
              </w:rPr>
            </w:pPr>
            <w:r>
              <w:rPr>
                <w:caps w:val="0"/>
              </w:rPr>
              <w:t>Moise et al., 2002</w:t>
            </w:r>
          </w:p>
        </w:tc>
        <w:tc>
          <w:tcPr>
            <w:tcW w:w="1843" w:type="dxa"/>
          </w:tcPr>
          <w:p w:rsidR="004E4292" w:rsidRPr="00A61F8D" w:rsidRDefault="00C015E9" w:rsidP="00BC0A62">
            <w:pPr>
              <w:spacing w:after="0"/>
              <w:ind w:left="113" w:right="113"/>
              <w:rPr>
                <w:sz w:val="20"/>
              </w:rPr>
            </w:pPr>
            <w:r w:rsidRPr="00A61F8D">
              <w:rPr>
                <w:sz w:val="20"/>
              </w:rPr>
              <w:t>CWFT-AS (a)</w:t>
            </w:r>
          </w:p>
        </w:tc>
      </w:tr>
      <w:tr w:rsidR="002F5C5A" w:rsidRPr="00A61F8D" w:rsidTr="00ED3391">
        <w:tc>
          <w:tcPr>
            <w:tcW w:w="3794" w:type="dxa"/>
            <w:tcBorders>
              <w:bottom w:val="single" w:sz="4" w:space="0" w:color="auto"/>
            </w:tcBorders>
          </w:tcPr>
          <w:p w:rsidR="002F5C5A" w:rsidRPr="00A61F8D" w:rsidRDefault="002F5C5A" w:rsidP="001D6205">
            <w:pPr>
              <w:pStyle w:val="table"/>
              <w:tabs>
                <w:tab w:val="clear" w:pos="480"/>
                <w:tab w:val="clear" w:pos="567"/>
                <w:tab w:val="clear" w:pos="7938"/>
              </w:tabs>
              <w:spacing w:after="0"/>
              <w:rPr>
                <w:caps w:val="0"/>
                <w:noProof w:val="0"/>
                <w:spacing w:val="-2"/>
              </w:rPr>
            </w:pPr>
          </w:p>
        </w:tc>
        <w:tc>
          <w:tcPr>
            <w:tcW w:w="1134" w:type="dxa"/>
            <w:tcBorders>
              <w:bottom w:val="single" w:sz="4" w:space="0" w:color="auto"/>
            </w:tcBorders>
          </w:tcPr>
          <w:p w:rsidR="002F5C5A" w:rsidRPr="00A61F8D" w:rsidRDefault="002F5C5A">
            <w:pPr>
              <w:spacing w:line="264" w:lineRule="auto"/>
              <w:rPr>
                <w:sz w:val="20"/>
              </w:rPr>
            </w:pPr>
          </w:p>
        </w:tc>
        <w:tc>
          <w:tcPr>
            <w:tcW w:w="2551" w:type="dxa"/>
            <w:tcBorders>
              <w:bottom w:val="single" w:sz="4" w:space="0" w:color="auto"/>
            </w:tcBorders>
          </w:tcPr>
          <w:p w:rsidR="002F5C5A" w:rsidRPr="00A61F8D" w:rsidRDefault="002F5C5A">
            <w:pPr>
              <w:pStyle w:val="table"/>
              <w:tabs>
                <w:tab w:val="clear" w:pos="480"/>
                <w:tab w:val="clear" w:pos="567"/>
                <w:tab w:val="clear" w:pos="7938"/>
              </w:tabs>
              <w:spacing w:line="264" w:lineRule="auto"/>
              <w:rPr>
                <w:caps w:val="0"/>
              </w:rPr>
            </w:pPr>
          </w:p>
        </w:tc>
        <w:tc>
          <w:tcPr>
            <w:tcW w:w="1843" w:type="dxa"/>
            <w:tcBorders>
              <w:bottom w:val="single" w:sz="4" w:space="0" w:color="auto"/>
            </w:tcBorders>
          </w:tcPr>
          <w:p w:rsidR="002F5C5A" w:rsidRPr="00A61F8D" w:rsidRDefault="002F5C5A">
            <w:pPr>
              <w:spacing w:line="264" w:lineRule="auto"/>
              <w:rPr>
                <w:sz w:val="20"/>
              </w:rPr>
            </w:pPr>
          </w:p>
        </w:tc>
      </w:tr>
    </w:tbl>
    <w:p w:rsidR="00CA6636" w:rsidRPr="00CA6636" w:rsidRDefault="00CA6636" w:rsidP="00CA6636">
      <w:pPr>
        <w:rPr>
          <w:rFonts w:ascii="Times New Roman" w:hAnsi="Times New Roman"/>
          <w:lang w:val="en-AU"/>
        </w:rPr>
      </w:pPr>
      <w:r w:rsidRPr="00CA6636">
        <w:rPr>
          <w:rFonts w:ascii="Times New Roman" w:hAnsi="Times New Roman"/>
          <w:spacing w:val="-2"/>
        </w:rPr>
        <w:t xml:space="preserve">Squalane is </w:t>
      </w:r>
      <w:r w:rsidRPr="00CA6636">
        <w:rPr>
          <w:rFonts w:ascii="Times New Roman" w:hAnsi="Times New Roman"/>
        </w:rPr>
        <w:t>C</w:t>
      </w:r>
      <w:r w:rsidRPr="00CA6636">
        <w:rPr>
          <w:rFonts w:ascii="Times New Roman" w:hAnsi="Times New Roman"/>
          <w:vertAlign w:val="subscript"/>
        </w:rPr>
        <w:t>30</w:t>
      </w:r>
      <w:r w:rsidRPr="00CA6636">
        <w:rPr>
          <w:rFonts w:ascii="Times New Roman" w:hAnsi="Times New Roman"/>
        </w:rPr>
        <w:t>H</w:t>
      </w:r>
      <w:r w:rsidRPr="00CA6636">
        <w:rPr>
          <w:rFonts w:ascii="Times New Roman" w:hAnsi="Times New Roman"/>
          <w:vertAlign w:val="subscript"/>
        </w:rPr>
        <w:t xml:space="preserve">62 </w:t>
      </w:r>
      <w:r w:rsidRPr="00CA6636">
        <w:rPr>
          <w:rFonts w:ascii="Times New Roman" w:hAnsi="Times New Roman"/>
        </w:rPr>
        <w:t>(2,6,10,15,19,23-Hexamethyltetracosane)</w:t>
      </w:r>
      <w:r w:rsidR="001D6205">
        <w:rPr>
          <w:rFonts w:ascii="Times New Roman" w:hAnsi="Times New Roman"/>
        </w:rPr>
        <w:t xml:space="preserve">. </w:t>
      </w:r>
      <w:r w:rsidR="00222EE9">
        <w:rPr>
          <w:rFonts w:ascii="Times New Roman" w:hAnsi="Times New Roman"/>
        </w:rPr>
        <w:t>SAM = self-assembled monolayer.</w:t>
      </w:r>
    </w:p>
    <w:p w:rsidR="00CA6636" w:rsidRDefault="002F5C5A" w:rsidP="00CA6636">
      <w:pPr>
        <w:pStyle w:val="IUPACTitle"/>
      </w:pPr>
      <w:r>
        <w:t>Comments</w:t>
      </w:r>
    </w:p>
    <w:p w:rsidR="00CA6636" w:rsidRPr="00CA6636" w:rsidRDefault="00CA6636" w:rsidP="00CA6636">
      <w:pPr>
        <w:rPr>
          <w:lang w:val="en-AU"/>
        </w:rPr>
      </w:pPr>
    </w:p>
    <w:p w:rsidR="002F5C5A" w:rsidRPr="00C02919" w:rsidRDefault="002F5C5A" w:rsidP="00B017DC">
      <w:pPr>
        <w:pStyle w:val="IUPACexpcommenttext"/>
        <w:numPr>
          <w:ilvl w:val="0"/>
          <w:numId w:val="23"/>
        </w:numPr>
        <w:rPr>
          <w:lang w:val="en-GB"/>
        </w:rPr>
      </w:pPr>
      <w:r>
        <w:rPr>
          <w:lang w:val="en-GB"/>
        </w:rPr>
        <w:t>Rotating</w:t>
      </w:r>
      <w:r w:rsidR="007F51EA">
        <w:rPr>
          <w:lang w:val="en-GB"/>
        </w:rPr>
        <w:t>,</w:t>
      </w:r>
      <w:r>
        <w:rPr>
          <w:lang w:val="en-GB"/>
        </w:rPr>
        <w:t xml:space="preserve"> coated wall flow tube. NO</w:t>
      </w:r>
      <w:r>
        <w:rPr>
          <w:vertAlign w:val="subscript"/>
          <w:lang w:val="en-GB"/>
        </w:rPr>
        <w:t>3</w:t>
      </w:r>
      <w:r>
        <w:rPr>
          <w:lang w:val="en-GB"/>
        </w:rPr>
        <w:t xml:space="preserve"> (5-50 </w:t>
      </w:r>
      <w:r>
        <w:rPr>
          <w:lang w:val="en-GB"/>
        </w:rPr>
        <w:sym w:font="Symbol" w:char="F0B4"/>
      </w:r>
      <w:r>
        <w:rPr>
          <w:lang w:val="en-GB"/>
        </w:rPr>
        <w:t xml:space="preserve"> 10</w:t>
      </w:r>
      <w:r>
        <w:rPr>
          <w:vertAlign w:val="superscript"/>
          <w:lang w:val="en-GB"/>
        </w:rPr>
        <w:t>11</w:t>
      </w:r>
      <w:r>
        <w:rPr>
          <w:lang w:val="en-GB"/>
        </w:rPr>
        <w:t xml:space="preserve"> molecule cm</w:t>
      </w:r>
      <w:r>
        <w:rPr>
          <w:vertAlign w:val="superscript"/>
          <w:lang w:val="en-GB"/>
        </w:rPr>
        <w:noBreakHyphen/>
        <w:t>3</w:t>
      </w:r>
      <w:r>
        <w:rPr>
          <w:lang w:val="en-GB"/>
        </w:rPr>
        <w:t>) was formed by the thermal dissociation of N</w:t>
      </w:r>
      <w:r>
        <w:rPr>
          <w:vertAlign w:val="subscript"/>
          <w:lang w:val="en-GB"/>
        </w:rPr>
        <w:t>2</w:t>
      </w:r>
      <w:r>
        <w:rPr>
          <w:lang w:val="en-GB"/>
        </w:rPr>
        <w:t>O</w:t>
      </w:r>
      <w:r>
        <w:rPr>
          <w:vertAlign w:val="subscript"/>
          <w:lang w:val="en-GB"/>
        </w:rPr>
        <w:t>5</w:t>
      </w:r>
      <w:r>
        <w:rPr>
          <w:lang w:val="en-GB"/>
        </w:rPr>
        <w:t xml:space="preserve"> and detected by diode laser absorption at 662 nm. </w:t>
      </w:r>
    </w:p>
    <w:p w:rsidR="00C02919" w:rsidRDefault="00C02919" w:rsidP="00C02919">
      <w:pPr>
        <w:pStyle w:val="IUPACexpcommenttext"/>
        <w:numPr>
          <w:ilvl w:val="0"/>
          <w:numId w:val="23"/>
        </w:numPr>
        <w:rPr>
          <w:lang w:val="en-GB"/>
        </w:rPr>
      </w:pPr>
      <w:r>
        <w:rPr>
          <w:lang w:val="en-GB"/>
        </w:rPr>
        <w:t xml:space="preserve">Coated wall flow tube with n-hexadecane </w:t>
      </w:r>
      <w:r w:rsidR="009D34C5">
        <w:rPr>
          <w:lang w:val="en-GB"/>
        </w:rPr>
        <w:t xml:space="preserve">or octadecanethiol </w:t>
      </w:r>
      <w:r>
        <w:rPr>
          <w:lang w:val="en-GB"/>
        </w:rPr>
        <w:t>present as self-assembeld monolayer</w:t>
      </w:r>
      <w:r w:rsidR="009D34C5">
        <w:rPr>
          <w:lang w:val="en-GB"/>
        </w:rPr>
        <w:t>s</w:t>
      </w:r>
      <w:r>
        <w:rPr>
          <w:lang w:val="en-GB"/>
        </w:rPr>
        <w:t xml:space="preserve">. </w:t>
      </w:r>
      <w:r w:rsidRPr="00C35E43">
        <w:rPr>
          <w:lang w:val="en-GB"/>
        </w:rPr>
        <w:t>NO</w:t>
      </w:r>
      <w:r w:rsidRPr="00C35E43">
        <w:rPr>
          <w:vertAlign w:val="subscript"/>
          <w:lang w:val="en-GB"/>
        </w:rPr>
        <w:t>3</w:t>
      </w:r>
      <w:r>
        <w:rPr>
          <w:lang w:val="en-GB"/>
        </w:rPr>
        <w:t xml:space="preserve"> (2-4 </w:t>
      </w:r>
      <w:r>
        <w:rPr>
          <w:lang w:val="en-GB"/>
        </w:rPr>
        <w:sym w:font="Symbol" w:char="F0B4"/>
      </w:r>
      <w:r>
        <w:rPr>
          <w:lang w:val="en-GB"/>
        </w:rPr>
        <w:t xml:space="preserve"> 10</w:t>
      </w:r>
      <w:r>
        <w:rPr>
          <w:vertAlign w:val="superscript"/>
          <w:lang w:val="en-GB"/>
        </w:rPr>
        <w:t>11</w:t>
      </w:r>
      <w:r>
        <w:rPr>
          <w:lang w:val="en-GB"/>
        </w:rPr>
        <w:t xml:space="preserve"> molecule cm</w:t>
      </w:r>
      <w:r>
        <w:rPr>
          <w:vertAlign w:val="superscript"/>
          <w:lang w:val="en-GB"/>
        </w:rPr>
        <w:noBreakHyphen/>
        <w:t>3</w:t>
      </w:r>
      <w:r>
        <w:rPr>
          <w:lang w:val="en-GB"/>
        </w:rPr>
        <w:t>) was formed by the thermal dissociation of N</w:t>
      </w:r>
      <w:r>
        <w:rPr>
          <w:vertAlign w:val="subscript"/>
          <w:lang w:val="en-GB"/>
        </w:rPr>
        <w:t>2</w:t>
      </w:r>
      <w:r>
        <w:rPr>
          <w:lang w:val="en-GB"/>
        </w:rPr>
        <w:t>O</w:t>
      </w:r>
      <w:r>
        <w:rPr>
          <w:vertAlign w:val="subscript"/>
          <w:lang w:val="en-GB"/>
        </w:rPr>
        <w:t>5</w:t>
      </w:r>
      <w:r>
        <w:rPr>
          <w:lang w:val="en-GB"/>
        </w:rPr>
        <w:t xml:space="preserve"> and detected following ionisation by I</w:t>
      </w:r>
      <w:r w:rsidRPr="00C35E43">
        <w:rPr>
          <w:vertAlign w:val="superscript"/>
          <w:lang w:val="en-GB"/>
        </w:rPr>
        <w:t>-</w:t>
      </w:r>
      <w:r>
        <w:rPr>
          <w:lang w:val="en-GB"/>
        </w:rPr>
        <w:t>.</w:t>
      </w:r>
      <w:r w:rsidR="009D34C5">
        <w:rPr>
          <w:lang w:val="en-GB"/>
        </w:rPr>
        <w:t xml:space="preserve"> </w:t>
      </w:r>
    </w:p>
    <w:p w:rsidR="00C35E43" w:rsidRDefault="00C35E43" w:rsidP="00B017DC">
      <w:pPr>
        <w:pStyle w:val="IUPACexpcommenttext"/>
        <w:numPr>
          <w:ilvl w:val="0"/>
          <w:numId w:val="23"/>
        </w:numPr>
        <w:rPr>
          <w:lang w:val="en-GB"/>
        </w:rPr>
      </w:pPr>
      <w:r w:rsidRPr="00C35E43">
        <w:rPr>
          <w:lang w:val="en-GB"/>
        </w:rPr>
        <w:t>NO</w:t>
      </w:r>
      <w:r w:rsidRPr="00C35E43">
        <w:rPr>
          <w:vertAlign w:val="subscript"/>
          <w:lang w:val="en-GB"/>
        </w:rPr>
        <w:t>3</w:t>
      </w:r>
      <w:r>
        <w:rPr>
          <w:lang w:val="en-GB"/>
        </w:rPr>
        <w:t xml:space="preserve"> (3-16 </w:t>
      </w:r>
      <w:r>
        <w:rPr>
          <w:lang w:val="en-GB"/>
        </w:rPr>
        <w:sym w:font="Symbol" w:char="F0B4"/>
      </w:r>
      <w:r>
        <w:rPr>
          <w:lang w:val="en-GB"/>
        </w:rPr>
        <w:t xml:space="preserve"> 10</w:t>
      </w:r>
      <w:r>
        <w:rPr>
          <w:vertAlign w:val="superscript"/>
          <w:lang w:val="en-GB"/>
        </w:rPr>
        <w:t>10</w:t>
      </w:r>
      <w:r>
        <w:rPr>
          <w:lang w:val="en-GB"/>
        </w:rPr>
        <w:t xml:space="preserve"> molecule cm</w:t>
      </w:r>
      <w:r>
        <w:rPr>
          <w:vertAlign w:val="superscript"/>
          <w:lang w:val="en-GB"/>
        </w:rPr>
        <w:noBreakHyphen/>
        <w:t>3</w:t>
      </w:r>
      <w:r>
        <w:rPr>
          <w:lang w:val="en-GB"/>
        </w:rPr>
        <w:t>) was formed by the thermal dissociation of N</w:t>
      </w:r>
      <w:r>
        <w:rPr>
          <w:vertAlign w:val="subscript"/>
          <w:lang w:val="en-GB"/>
        </w:rPr>
        <w:t>2</w:t>
      </w:r>
      <w:r>
        <w:rPr>
          <w:lang w:val="en-GB"/>
        </w:rPr>
        <w:t>O</w:t>
      </w:r>
      <w:r>
        <w:rPr>
          <w:vertAlign w:val="subscript"/>
          <w:lang w:val="en-GB"/>
        </w:rPr>
        <w:t>5</w:t>
      </w:r>
      <w:r>
        <w:rPr>
          <w:lang w:val="en-GB"/>
        </w:rPr>
        <w:t xml:space="preserve"> and detected following ionisation by I</w:t>
      </w:r>
      <w:r w:rsidRPr="00C35E43">
        <w:rPr>
          <w:vertAlign w:val="superscript"/>
          <w:lang w:val="en-GB"/>
        </w:rPr>
        <w:t>-</w:t>
      </w:r>
      <w:r>
        <w:rPr>
          <w:lang w:val="en-GB"/>
        </w:rPr>
        <w:t>.</w:t>
      </w:r>
    </w:p>
    <w:p w:rsidR="004B6229" w:rsidRDefault="00836397" w:rsidP="00B017DC">
      <w:pPr>
        <w:pStyle w:val="IUPACexpcommenttext"/>
        <w:numPr>
          <w:ilvl w:val="0"/>
          <w:numId w:val="23"/>
        </w:numPr>
        <w:rPr>
          <w:lang w:val="en-GB"/>
        </w:rPr>
      </w:pPr>
      <w:r>
        <w:rPr>
          <w:lang w:val="en-GB"/>
        </w:rPr>
        <w:t xml:space="preserve">~ 100 nm particles of squalane. Measurements performed using a mixture of </w:t>
      </w:r>
      <w:r w:rsidRPr="00836397">
        <w:rPr>
          <w:lang w:val="en-GB"/>
        </w:rPr>
        <w:t>NO</w:t>
      </w:r>
      <w:r w:rsidRPr="00836397">
        <w:rPr>
          <w:vertAlign w:val="subscript"/>
          <w:lang w:val="en-GB"/>
        </w:rPr>
        <w:t>3</w:t>
      </w:r>
      <w:r>
        <w:rPr>
          <w:lang w:val="en-GB"/>
        </w:rPr>
        <w:t xml:space="preserve"> and </w:t>
      </w:r>
      <w:r w:rsidRPr="00836397">
        <w:rPr>
          <w:lang w:val="en-GB"/>
        </w:rPr>
        <w:t>N</w:t>
      </w:r>
      <w:r w:rsidRPr="00836397">
        <w:rPr>
          <w:vertAlign w:val="subscript"/>
          <w:lang w:val="en-GB"/>
        </w:rPr>
        <w:t>2</w:t>
      </w:r>
      <w:r w:rsidRPr="00836397">
        <w:rPr>
          <w:lang w:val="en-GB"/>
        </w:rPr>
        <w:t>O</w:t>
      </w:r>
      <w:r w:rsidRPr="00836397">
        <w:rPr>
          <w:vertAlign w:val="subscript"/>
          <w:lang w:val="en-GB"/>
        </w:rPr>
        <w:t>5</w:t>
      </w:r>
      <w:r>
        <w:rPr>
          <w:lang w:val="en-GB"/>
        </w:rPr>
        <w:t xml:space="preserve">, with </w:t>
      </w:r>
      <w:r w:rsidRPr="00836397">
        <w:rPr>
          <w:lang w:val="en-GB"/>
        </w:rPr>
        <w:t>N</w:t>
      </w:r>
      <w:r w:rsidRPr="00836397">
        <w:rPr>
          <w:vertAlign w:val="subscript"/>
          <w:lang w:val="en-GB"/>
        </w:rPr>
        <w:t>2</w:t>
      </w:r>
      <w:r w:rsidRPr="00836397">
        <w:rPr>
          <w:lang w:val="en-GB"/>
        </w:rPr>
        <w:t>O</w:t>
      </w:r>
      <w:r w:rsidRPr="00836397">
        <w:rPr>
          <w:vertAlign w:val="subscript"/>
          <w:lang w:val="en-GB"/>
        </w:rPr>
        <w:t>5</w:t>
      </w:r>
      <w:r>
        <w:rPr>
          <w:lang w:val="en-GB"/>
        </w:rPr>
        <w:t xml:space="preserve"> monitored as </w:t>
      </w:r>
      <w:r w:rsidRPr="00836397">
        <w:rPr>
          <w:lang w:val="en-GB"/>
        </w:rPr>
        <w:t>NO</w:t>
      </w:r>
      <w:r w:rsidRPr="00836397">
        <w:rPr>
          <w:vertAlign w:val="subscript"/>
          <w:lang w:val="en-GB"/>
        </w:rPr>
        <w:t>2</w:t>
      </w:r>
      <w:r>
        <w:rPr>
          <w:lang w:val="en-GB"/>
        </w:rPr>
        <w:t xml:space="preserve"> following thermal dissociation. The uptake coefficient for </w:t>
      </w:r>
      <w:r w:rsidRPr="00836397">
        <w:rPr>
          <w:lang w:val="en-GB"/>
        </w:rPr>
        <w:t>NO</w:t>
      </w:r>
      <w:r w:rsidRPr="00836397">
        <w:rPr>
          <w:vertAlign w:val="subscript"/>
          <w:lang w:val="en-GB"/>
        </w:rPr>
        <w:t>3</w:t>
      </w:r>
      <w:r>
        <w:rPr>
          <w:lang w:val="en-GB"/>
        </w:rPr>
        <w:t xml:space="preserve"> reacting with the squalane </w:t>
      </w:r>
      <w:r w:rsidR="00C30251">
        <w:rPr>
          <w:lang w:val="en-GB"/>
        </w:rPr>
        <w:t xml:space="preserve">was calculated </w:t>
      </w:r>
      <w:r>
        <w:rPr>
          <w:lang w:val="en-GB"/>
        </w:rPr>
        <w:t>assum</w:t>
      </w:r>
      <w:r w:rsidR="00C30251">
        <w:rPr>
          <w:lang w:val="en-GB"/>
        </w:rPr>
        <w:t>ing</w:t>
      </w:r>
      <w:r>
        <w:rPr>
          <w:lang w:val="en-GB"/>
        </w:rPr>
        <w:t xml:space="preserve"> no heterogeneous loss of </w:t>
      </w:r>
      <w:r w:rsidRPr="00836397">
        <w:rPr>
          <w:lang w:val="en-GB"/>
        </w:rPr>
        <w:t>N</w:t>
      </w:r>
      <w:r w:rsidRPr="00836397">
        <w:rPr>
          <w:vertAlign w:val="subscript"/>
          <w:lang w:val="en-GB"/>
        </w:rPr>
        <w:t>2</w:t>
      </w:r>
      <w:r w:rsidRPr="00836397">
        <w:rPr>
          <w:lang w:val="en-GB"/>
        </w:rPr>
        <w:t>O</w:t>
      </w:r>
      <w:r w:rsidRPr="00836397">
        <w:rPr>
          <w:vertAlign w:val="subscript"/>
          <w:lang w:val="en-GB"/>
        </w:rPr>
        <w:t>5</w:t>
      </w:r>
      <w:r>
        <w:rPr>
          <w:lang w:val="en-GB"/>
        </w:rPr>
        <w:t xml:space="preserve"> </w:t>
      </w:r>
      <w:r w:rsidR="00C30251">
        <w:rPr>
          <w:lang w:val="en-GB"/>
        </w:rPr>
        <w:t>a</w:t>
      </w:r>
      <w:r>
        <w:rPr>
          <w:lang w:val="en-GB"/>
        </w:rPr>
        <w:t>nd is thus an upper limit.</w:t>
      </w:r>
      <w:r w:rsidR="00F064C0">
        <w:rPr>
          <w:lang w:val="en-GB"/>
        </w:rPr>
        <w:t xml:space="preserve"> </w:t>
      </w:r>
    </w:p>
    <w:p w:rsidR="002F5C5A" w:rsidRDefault="002F5C5A">
      <w:pPr>
        <w:pStyle w:val="IUPACexpcommenttext"/>
        <w:rPr>
          <w:color w:val="000000"/>
          <w:lang w:val="en-GB"/>
        </w:rPr>
      </w:pPr>
    </w:p>
    <w:p w:rsidR="00812E83" w:rsidRPr="00812E83" w:rsidRDefault="00812E83" w:rsidP="00812E83">
      <w:pPr>
        <w:keepNext/>
        <w:spacing w:before="240" w:after="120"/>
        <w:jc w:val="center"/>
        <w:rPr>
          <w:rFonts w:ascii="Times New Roman" w:eastAsia="Times New Roman" w:hAnsi="Times New Roman" w:cs="Times"/>
          <w:b/>
          <w:sz w:val="24"/>
          <w:szCs w:val="24"/>
          <w:lang w:val="en-AU"/>
        </w:rPr>
      </w:pPr>
      <w:r w:rsidRPr="00812E83">
        <w:rPr>
          <w:rFonts w:ascii="Times New Roman" w:eastAsia="Times New Roman" w:hAnsi="Times New Roman" w:cs="Times"/>
          <w:b/>
          <w:sz w:val="24"/>
          <w:szCs w:val="24"/>
          <w:lang w:val="en-AU"/>
        </w:rPr>
        <w:t>Preferred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5030"/>
        <w:gridCol w:w="2172"/>
      </w:tblGrid>
      <w:tr w:rsidR="00812E83" w:rsidRPr="00812E83" w:rsidTr="0036588E">
        <w:tc>
          <w:tcPr>
            <w:tcW w:w="2085" w:type="dxa"/>
            <w:tcBorders>
              <w:top w:val="single" w:sz="4" w:space="0" w:color="auto"/>
              <w:left w:val="nil"/>
              <w:bottom w:val="nil"/>
              <w:right w:val="nil"/>
            </w:tcBorders>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b/>
                <w:spacing w:val="-3"/>
                <w:sz w:val="24"/>
                <w:szCs w:val="24"/>
                <w:lang w:val="en-US"/>
              </w:rPr>
            </w:pPr>
            <w:r w:rsidRPr="00812E83">
              <w:rPr>
                <w:rFonts w:ascii="Times" w:eastAsia="Times New Roman" w:hAnsi="Times" w:cs="Times"/>
                <w:b/>
                <w:spacing w:val="-3"/>
                <w:sz w:val="24"/>
                <w:szCs w:val="24"/>
                <w:lang w:val="en-US"/>
              </w:rPr>
              <w:t>Parameter</w:t>
            </w:r>
          </w:p>
        </w:tc>
        <w:tc>
          <w:tcPr>
            <w:tcW w:w="5030" w:type="dxa"/>
            <w:tcBorders>
              <w:top w:val="single" w:sz="4" w:space="0" w:color="auto"/>
              <w:left w:val="nil"/>
              <w:bottom w:val="nil"/>
              <w:right w:val="nil"/>
            </w:tcBorders>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b/>
                <w:spacing w:val="-3"/>
                <w:sz w:val="24"/>
                <w:szCs w:val="24"/>
                <w:lang w:val="en-US"/>
              </w:rPr>
            </w:pPr>
            <w:r w:rsidRPr="00812E83">
              <w:rPr>
                <w:rFonts w:ascii="Times" w:eastAsia="Times New Roman" w:hAnsi="Times" w:cs="Times"/>
                <w:b/>
                <w:spacing w:val="-3"/>
                <w:sz w:val="24"/>
                <w:szCs w:val="24"/>
                <w:lang w:val="en-US"/>
              </w:rPr>
              <w:t>Value</w:t>
            </w:r>
          </w:p>
        </w:tc>
        <w:tc>
          <w:tcPr>
            <w:tcW w:w="2172" w:type="dxa"/>
            <w:tcBorders>
              <w:top w:val="single" w:sz="4" w:space="0" w:color="auto"/>
              <w:left w:val="nil"/>
              <w:bottom w:val="nil"/>
              <w:right w:val="nil"/>
            </w:tcBorders>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b/>
                <w:spacing w:val="-3"/>
                <w:sz w:val="24"/>
                <w:szCs w:val="24"/>
                <w:lang w:val="en-US"/>
              </w:rPr>
            </w:pPr>
            <w:r w:rsidRPr="00812E83">
              <w:rPr>
                <w:rFonts w:ascii="Times" w:eastAsia="Times New Roman" w:hAnsi="Times" w:cs="Times"/>
                <w:b/>
                <w:spacing w:val="-3"/>
                <w:sz w:val="24"/>
                <w:szCs w:val="24"/>
                <w:lang w:val="en-US"/>
              </w:rPr>
              <w:t>T/K</w:t>
            </w:r>
          </w:p>
        </w:tc>
      </w:tr>
      <w:tr w:rsidR="00812E83" w:rsidRPr="00812E83" w:rsidTr="0036588E">
        <w:tc>
          <w:tcPr>
            <w:tcW w:w="2085" w:type="dxa"/>
            <w:tcBorders>
              <w:top w:val="nil"/>
              <w:left w:val="nil"/>
              <w:bottom w:val="nil"/>
              <w:right w:val="nil"/>
            </w:tcBorders>
          </w:tcPr>
          <w:p w:rsidR="00812E83" w:rsidRPr="00812E83" w:rsidRDefault="00812E83" w:rsidP="00812E83">
            <w:pPr>
              <w:spacing w:after="0" w:line="264" w:lineRule="auto"/>
              <w:jc w:val="left"/>
              <w:rPr>
                <w:rFonts w:ascii="Times" w:eastAsia="Times New Roman" w:hAnsi="Times" w:cs="Times"/>
                <w:i/>
                <w:spacing w:val="-2"/>
                <w:sz w:val="24"/>
                <w:szCs w:val="24"/>
                <w:lang w:val="en-US"/>
              </w:rPr>
            </w:pPr>
            <w:r w:rsidRPr="00812E83">
              <w:rPr>
                <w:rFonts w:ascii="Times" w:eastAsia="Times New Roman" w:hAnsi="Times" w:cs="Times"/>
                <w:i/>
                <w:spacing w:val="-3"/>
                <w:sz w:val="24"/>
                <w:szCs w:val="24"/>
                <w:lang w:val="en-US"/>
              </w:rPr>
              <w:t>α</w:t>
            </w:r>
            <w:r>
              <w:rPr>
                <w:rFonts w:ascii="Times" w:eastAsia="Times New Roman" w:hAnsi="Times" w:cs="Times"/>
                <w:spacing w:val="-3"/>
                <w:sz w:val="24"/>
                <w:szCs w:val="24"/>
                <w:vertAlign w:val="subscript"/>
                <w:lang w:val="en-US"/>
              </w:rPr>
              <w:t>b</w:t>
            </w:r>
          </w:p>
        </w:tc>
        <w:tc>
          <w:tcPr>
            <w:tcW w:w="5030" w:type="dxa"/>
            <w:tcBorders>
              <w:top w:val="nil"/>
              <w:left w:val="nil"/>
              <w:bottom w:val="nil"/>
              <w:right w:val="nil"/>
            </w:tcBorders>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r>
              <w:rPr>
                <w:rFonts w:ascii="Times" w:eastAsia="Times New Roman" w:hAnsi="Times" w:cs="Times"/>
                <w:spacing w:val="-3"/>
                <w:sz w:val="24"/>
                <w:szCs w:val="24"/>
                <w:lang w:val="en-US"/>
              </w:rPr>
              <w:t>1</w:t>
            </w:r>
          </w:p>
        </w:tc>
        <w:tc>
          <w:tcPr>
            <w:tcW w:w="2172" w:type="dxa"/>
            <w:tcBorders>
              <w:top w:val="nil"/>
              <w:left w:val="nil"/>
              <w:bottom w:val="nil"/>
              <w:right w:val="nil"/>
            </w:tcBorders>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p>
        </w:tc>
      </w:tr>
      <w:tr w:rsidR="007C2602" w:rsidRPr="00812E83" w:rsidTr="0036588E">
        <w:tc>
          <w:tcPr>
            <w:tcW w:w="2085" w:type="dxa"/>
            <w:tcBorders>
              <w:top w:val="nil"/>
              <w:left w:val="nil"/>
              <w:bottom w:val="single" w:sz="4" w:space="0" w:color="auto"/>
              <w:right w:val="nil"/>
            </w:tcBorders>
          </w:tcPr>
          <w:p w:rsidR="007C2602" w:rsidRPr="00812E83" w:rsidRDefault="007C2602" w:rsidP="0036588E">
            <w:pPr>
              <w:spacing w:after="0" w:line="264" w:lineRule="auto"/>
              <w:jc w:val="left"/>
              <w:rPr>
                <w:rFonts w:ascii="Times" w:eastAsia="Times New Roman" w:hAnsi="Times" w:cs="Times"/>
                <w:spacing w:val="-2"/>
                <w:sz w:val="24"/>
                <w:szCs w:val="24"/>
                <w:lang w:val="en-US"/>
              </w:rPr>
            </w:pPr>
            <w:r w:rsidRPr="00812E83">
              <w:rPr>
                <w:rFonts w:ascii="Times" w:eastAsia="Times New Roman" w:hAnsi="Times" w:cs="Times"/>
                <w:i/>
                <w:spacing w:val="-2"/>
                <w:sz w:val="24"/>
                <w:szCs w:val="24"/>
                <w:lang w:val="en-US"/>
              </w:rPr>
              <w:t>k</w:t>
            </w:r>
            <w:r w:rsidRPr="00812E83">
              <w:rPr>
                <w:rFonts w:ascii="Times" w:eastAsia="Times New Roman" w:hAnsi="Times" w:cs="Times"/>
                <w:spacing w:val="-2"/>
                <w:sz w:val="24"/>
                <w:szCs w:val="24"/>
                <w:vertAlign w:val="subscript"/>
                <w:lang w:val="en-US"/>
              </w:rPr>
              <w:t>b</w:t>
            </w:r>
            <w:r w:rsidRPr="00812E83">
              <w:rPr>
                <w:rFonts w:ascii="Times" w:eastAsia="Times New Roman" w:hAnsi="Times" w:cs="Times"/>
                <w:spacing w:val="-2"/>
                <w:sz w:val="24"/>
                <w:szCs w:val="24"/>
                <w:lang w:val="en-US"/>
              </w:rPr>
              <w:t xml:space="preserve"> (M</w:t>
            </w:r>
            <w:r w:rsidRPr="00812E83">
              <w:rPr>
                <w:rFonts w:ascii="Times" w:eastAsia="Times New Roman" w:hAnsi="Times" w:cs="Times"/>
                <w:spacing w:val="-2"/>
                <w:sz w:val="24"/>
                <w:szCs w:val="24"/>
                <w:vertAlign w:val="superscript"/>
                <w:lang w:val="en-US"/>
              </w:rPr>
              <w:t>-1</w:t>
            </w:r>
            <w:r w:rsidRPr="00812E83">
              <w:rPr>
                <w:rFonts w:ascii="Times" w:eastAsia="Times New Roman" w:hAnsi="Times" w:cs="Times"/>
                <w:spacing w:val="-2"/>
                <w:sz w:val="24"/>
                <w:szCs w:val="24"/>
                <w:lang w:val="en-US"/>
              </w:rPr>
              <w:t xml:space="preserve"> s</w:t>
            </w:r>
            <w:r w:rsidRPr="00812E83">
              <w:rPr>
                <w:rFonts w:ascii="Times" w:eastAsia="Times New Roman" w:hAnsi="Times" w:cs="Times"/>
                <w:spacing w:val="-2"/>
                <w:sz w:val="24"/>
                <w:szCs w:val="24"/>
                <w:vertAlign w:val="superscript"/>
                <w:lang w:val="en-US"/>
              </w:rPr>
              <w:t>-1</w:t>
            </w:r>
            <w:r w:rsidRPr="00812E83">
              <w:rPr>
                <w:rFonts w:ascii="Times" w:eastAsia="Times New Roman" w:hAnsi="Times" w:cs="Times"/>
                <w:spacing w:val="-2"/>
                <w:sz w:val="24"/>
                <w:szCs w:val="24"/>
                <w:lang w:val="en-US"/>
              </w:rPr>
              <w:t>)</w:t>
            </w:r>
          </w:p>
        </w:tc>
        <w:tc>
          <w:tcPr>
            <w:tcW w:w="5030" w:type="dxa"/>
            <w:tcBorders>
              <w:top w:val="nil"/>
              <w:left w:val="nil"/>
              <w:bottom w:val="single" w:sz="4" w:space="0" w:color="auto"/>
              <w:right w:val="nil"/>
            </w:tcBorders>
          </w:tcPr>
          <w:p w:rsidR="007C2602" w:rsidRPr="00812E83" w:rsidRDefault="007C2602" w:rsidP="0036588E">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r>
              <w:rPr>
                <w:rFonts w:ascii="Times" w:eastAsia="Times New Roman" w:hAnsi="Times" w:cs="Times"/>
                <w:spacing w:val="-3"/>
                <w:sz w:val="24"/>
                <w:szCs w:val="24"/>
                <w:lang w:val="en-US"/>
              </w:rPr>
              <w:t xml:space="preserve">6 </w:t>
            </w:r>
            <w:r w:rsidRPr="00812E83">
              <w:rPr>
                <w:rFonts w:ascii="Times New Roman" w:eastAsia="Times New Roman" w:hAnsi="Times New Roman" w:cs="Times"/>
                <w:spacing w:val="-3"/>
                <w:sz w:val="24"/>
                <w:szCs w:val="24"/>
              </w:rPr>
              <w:sym w:font="Symbol" w:char="F0B4"/>
            </w:r>
            <w:r>
              <w:rPr>
                <w:rFonts w:ascii="Times" w:eastAsia="Times New Roman" w:hAnsi="Times" w:cs="Times"/>
                <w:spacing w:val="-3"/>
                <w:sz w:val="24"/>
                <w:szCs w:val="24"/>
                <w:lang w:val="en-US"/>
              </w:rPr>
              <w:t xml:space="preserve"> 10</w:t>
            </w:r>
            <w:r w:rsidRPr="00812E83">
              <w:rPr>
                <w:rFonts w:ascii="Times" w:eastAsia="Times New Roman" w:hAnsi="Times" w:cs="Times"/>
                <w:spacing w:val="-3"/>
                <w:sz w:val="24"/>
                <w:szCs w:val="24"/>
                <w:vertAlign w:val="superscript"/>
                <w:lang w:val="en-US"/>
              </w:rPr>
              <w:t>4</w:t>
            </w:r>
          </w:p>
        </w:tc>
        <w:tc>
          <w:tcPr>
            <w:tcW w:w="2172" w:type="dxa"/>
            <w:tcBorders>
              <w:top w:val="nil"/>
              <w:left w:val="nil"/>
              <w:bottom w:val="single" w:sz="4" w:space="0" w:color="auto"/>
              <w:right w:val="nil"/>
            </w:tcBorders>
          </w:tcPr>
          <w:p w:rsidR="007C2602" w:rsidRPr="00812E83" w:rsidRDefault="00EF3AB2" w:rsidP="00EF3AB2">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r>
              <w:rPr>
                <w:rFonts w:ascii="Times" w:eastAsia="Times New Roman" w:hAnsi="Times" w:cs="Times"/>
                <w:spacing w:val="-3"/>
                <w:sz w:val="24"/>
                <w:szCs w:val="24"/>
                <w:lang w:val="en-US"/>
              </w:rPr>
              <w:t>280 - 300</w:t>
            </w:r>
          </w:p>
        </w:tc>
      </w:tr>
    </w:tbl>
    <w:p w:rsidR="00812E83" w:rsidRPr="00812E83" w:rsidRDefault="00812E83" w:rsidP="00812E83">
      <w:pPr>
        <w:keepNext/>
        <w:tabs>
          <w:tab w:val="left" w:pos="-1440"/>
          <w:tab w:val="left" w:pos="-720"/>
          <w:tab w:val="left" w:pos="444"/>
        </w:tabs>
        <w:spacing w:before="240" w:after="120"/>
        <w:rPr>
          <w:rFonts w:ascii="Times" w:eastAsia="Times New Roman" w:hAnsi="Times" w:cs="Times"/>
          <w:i/>
          <w:sz w:val="24"/>
          <w:szCs w:val="24"/>
        </w:rPr>
      </w:pPr>
      <w:r w:rsidRPr="00812E83">
        <w:rPr>
          <w:rFonts w:ascii="Times" w:eastAsia="Times New Roman" w:hAnsi="Times" w:cs="Times"/>
          <w:i/>
          <w:sz w:val="24"/>
          <w:szCs w:val="24"/>
        </w:rPr>
        <w:t>Reliability</w:t>
      </w:r>
    </w:p>
    <w:tbl>
      <w:tblPr>
        <w:tblW w:w="0" w:type="auto"/>
        <w:tblBorders>
          <w:top w:val="single" w:sz="4" w:space="0" w:color="auto"/>
          <w:bottom w:val="single" w:sz="4" w:space="0" w:color="auto"/>
        </w:tblBorders>
        <w:tblLook w:val="01E0" w:firstRow="1" w:lastRow="1" w:firstColumn="1" w:lastColumn="1" w:noHBand="0" w:noVBand="0"/>
      </w:tblPr>
      <w:tblGrid>
        <w:gridCol w:w="2085"/>
        <w:gridCol w:w="5030"/>
        <w:gridCol w:w="2172"/>
      </w:tblGrid>
      <w:tr w:rsidR="00812E83" w:rsidRPr="00812E83" w:rsidTr="0036588E">
        <w:tc>
          <w:tcPr>
            <w:tcW w:w="2085" w:type="dxa"/>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p>
        </w:tc>
        <w:tc>
          <w:tcPr>
            <w:tcW w:w="5030" w:type="dxa"/>
          </w:tcPr>
          <w:p w:rsidR="00812E83" w:rsidRPr="00812E83" w:rsidRDefault="00812E83" w:rsidP="00812E83">
            <w:pPr>
              <w:tabs>
                <w:tab w:val="left" w:pos="0"/>
                <w:tab w:val="left" w:pos="444"/>
                <w:tab w:val="left" w:pos="720"/>
              </w:tabs>
              <w:suppressAutoHyphens/>
              <w:spacing w:after="0" w:line="240" w:lineRule="atLeast"/>
              <w:jc w:val="left"/>
              <w:rPr>
                <w:rFonts w:ascii="Times" w:eastAsia="Times New Roman" w:hAnsi="Times" w:cs="Times"/>
                <w:spacing w:val="-3"/>
                <w:sz w:val="24"/>
                <w:szCs w:val="24"/>
                <w:lang w:val="en-US"/>
              </w:rPr>
            </w:pPr>
          </w:p>
        </w:tc>
        <w:tc>
          <w:tcPr>
            <w:tcW w:w="2172" w:type="dxa"/>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p>
        </w:tc>
      </w:tr>
      <w:tr w:rsidR="00812E83" w:rsidRPr="00812E83" w:rsidTr="0036588E">
        <w:tc>
          <w:tcPr>
            <w:tcW w:w="2085" w:type="dxa"/>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i/>
                <w:spacing w:val="-3"/>
                <w:sz w:val="24"/>
                <w:szCs w:val="24"/>
                <w:lang w:val="en-US"/>
              </w:rPr>
            </w:pPr>
            <w:r w:rsidRPr="00812E83">
              <w:rPr>
                <w:rFonts w:ascii="Times" w:eastAsia="Times New Roman" w:hAnsi="Times" w:cs="Times"/>
                <w:spacing w:val="-3"/>
                <w:sz w:val="24"/>
                <w:szCs w:val="24"/>
                <w:lang w:val="en-US"/>
              </w:rPr>
              <w:sym w:font="Symbol" w:char="F044"/>
            </w:r>
            <w:r w:rsidRPr="00812E83">
              <w:rPr>
                <w:rFonts w:ascii="Times" w:eastAsia="Times New Roman" w:hAnsi="Times" w:cs="Times"/>
                <w:spacing w:val="-3"/>
                <w:sz w:val="24"/>
                <w:szCs w:val="24"/>
                <w:lang w:val="en-US"/>
              </w:rPr>
              <w:t xml:space="preserve"> log</w:t>
            </w:r>
            <w:r w:rsidRPr="00812E83">
              <w:rPr>
                <w:rFonts w:ascii="Times" w:eastAsia="Times New Roman" w:hAnsi="Times" w:cs="Times"/>
                <w:i/>
                <w:spacing w:val="-3"/>
                <w:sz w:val="24"/>
                <w:szCs w:val="24"/>
                <w:lang w:val="en-US"/>
              </w:rPr>
              <w:t xml:space="preserve"> </w:t>
            </w:r>
            <w:r w:rsidRPr="00812E83">
              <w:rPr>
                <w:rFonts w:ascii="Times" w:eastAsia="Times New Roman" w:hAnsi="Times" w:cs="Times"/>
                <w:spacing w:val="-3"/>
                <w:sz w:val="24"/>
                <w:szCs w:val="24"/>
                <w:lang w:val="en-US"/>
              </w:rPr>
              <w:t>(</w:t>
            </w:r>
            <w:r w:rsidRPr="00812E83">
              <w:rPr>
                <w:rFonts w:ascii="Times" w:eastAsia="Times New Roman" w:hAnsi="Times" w:cs="Times"/>
                <w:i/>
                <w:spacing w:val="-2"/>
                <w:sz w:val="24"/>
                <w:szCs w:val="24"/>
                <w:lang w:val="en-US"/>
              </w:rPr>
              <w:t>k</w:t>
            </w:r>
            <w:r w:rsidRPr="00812E83">
              <w:rPr>
                <w:rFonts w:ascii="Times" w:eastAsia="Times New Roman" w:hAnsi="Times" w:cs="Times"/>
                <w:spacing w:val="-2"/>
                <w:sz w:val="24"/>
                <w:szCs w:val="24"/>
                <w:vertAlign w:val="subscript"/>
                <w:lang w:val="en-US"/>
              </w:rPr>
              <w:t>b</w:t>
            </w:r>
            <w:r w:rsidRPr="00812E83">
              <w:rPr>
                <w:rFonts w:ascii="Times" w:eastAsia="Times New Roman" w:hAnsi="Times" w:cs="Times"/>
                <w:spacing w:val="-3"/>
                <w:sz w:val="24"/>
                <w:szCs w:val="24"/>
                <w:lang w:val="en-US"/>
              </w:rPr>
              <w:t>)</w:t>
            </w:r>
          </w:p>
        </w:tc>
        <w:tc>
          <w:tcPr>
            <w:tcW w:w="5030" w:type="dxa"/>
          </w:tcPr>
          <w:p w:rsidR="00812E83" w:rsidRPr="00812E83" w:rsidRDefault="007C2602" w:rsidP="00812E83">
            <w:pPr>
              <w:tabs>
                <w:tab w:val="left" w:pos="0"/>
                <w:tab w:val="left" w:pos="444"/>
                <w:tab w:val="left" w:pos="720"/>
              </w:tabs>
              <w:suppressAutoHyphens/>
              <w:spacing w:after="0" w:line="240" w:lineRule="atLeast"/>
              <w:jc w:val="left"/>
              <w:rPr>
                <w:rFonts w:ascii="Times" w:eastAsia="Times New Roman" w:hAnsi="Times" w:cs="Times"/>
                <w:spacing w:val="-3"/>
                <w:sz w:val="24"/>
                <w:szCs w:val="24"/>
                <w:lang w:val="en-US"/>
              </w:rPr>
            </w:pPr>
            <w:r>
              <w:rPr>
                <w:rFonts w:ascii="Times" w:eastAsia="Times New Roman" w:hAnsi="Times" w:cs="Times"/>
                <w:spacing w:val="-3"/>
                <w:sz w:val="24"/>
                <w:szCs w:val="24"/>
                <w:lang w:val="en-US"/>
              </w:rPr>
              <w:t>0.7</w:t>
            </w:r>
          </w:p>
        </w:tc>
        <w:tc>
          <w:tcPr>
            <w:tcW w:w="2172" w:type="dxa"/>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p>
        </w:tc>
      </w:tr>
      <w:tr w:rsidR="00812E83" w:rsidRPr="00812E83" w:rsidTr="0036588E">
        <w:tc>
          <w:tcPr>
            <w:tcW w:w="2085" w:type="dxa"/>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p>
        </w:tc>
        <w:tc>
          <w:tcPr>
            <w:tcW w:w="5030" w:type="dxa"/>
          </w:tcPr>
          <w:p w:rsidR="00812E83" w:rsidRPr="00812E83" w:rsidRDefault="00812E83" w:rsidP="00812E83">
            <w:pPr>
              <w:tabs>
                <w:tab w:val="left" w:pos="0"/>
                <w:tab w:val="left" w:pos="444"/>
                <w:tab w:val="left" w:pos="720"/>
              </w:tabs>
              <w:suppressAutoHyphens/>
              <w:spacing w:after="0" w:line="240" w:lineRule="atLeast"/>
              <w:jc w:val="left"/>
              <w:rPr>
                <w:rFonts w:ascii="Times" w:eastAsia="Times New Roman" w:hAnsi="Times" w:cs="Times"/>
                <w:spacing w:val="-3"/>
                <w:sz w:val="24"/>
                <w:szCs w:val="24"/>
                <w:lang w:val="en-US"/>
              </w:rPr>
            </w:pPr>
          </w:p>
        </w:tc>
        <w:tc>
          <w:tcPr>
            <w:tcW w:w="2172" w:type="dxa"/>
          </w:tcPr>
          <w:p w:rsidR="00812E83" w:rsidRPr="00812E83" w:rsidRDefault="00812E83" w:rsidP="00812E83">
            <w:pPr>
              <w:tabs>
                <w:tab w:val="left" w:pos="0"/>
                <w:tab w:val="left" w:pos="444"/>
                <w:tab w:val="left" w:pos="720"/>
              </w:tabs>
              <w:suppressAutoHyphens/>
              <w:spacing w:after="0" w:line="240" w:lineRule="atLeast"/>
              <w:jc w:val="center"/>
              <w:rPr>
                <w:rFonts w:ascii="Times" w:eastAsia="Times New Roman" w:hAnsi="Times" w:cs="Times"/>
                <w:spacing w:val="-3"/>
                <w:sz w:val="24"/>
                <w:szCs w:val="24"/>
                <w:lang w:val="en-US"/>
              </w:rPr>
            </w:pPr>
          </w:p>
        </w:tc>
      </w:tr>
    </w:tbl>
    <w:p w:rsidR="00812E83" w:rsidRDefault="00812E83">
      <w:pPr>
        <w:keepNext/>
        <w:keepLines/>
        <w:widowControl w:val="0"/>
      </w:pPr>
    </w:p>
    <w:p w:rsidR="002F5C5A" w:rsidRDefault="002F5C5A">
      <w:pPr>
        <w:pStyle w:val="IUPACsubtitle"/>
      </w:pPr>
      <w:r>
        <w:t>Comments on Preferred Values</w:t>
      </w:r>
    </w:p>
    <w:p w:rsidR="001E2BCA" w:rsidRDefault="00D169BC" w:rsidP="001E2BCA">
      <w:pPr>
        <w:pStyle w:val="IUPACpreferredcommentstext"/>
      </w:pPr>
      <w:r>
        <w:t>Uptake to</w:t>
      </w:r>
      <w:r w:rsidR="00FD01BD">
        <w:t xml:space="preserve"> liquid</w:t>
      </w:r>
      <w:r>
        <w:t xml:space="preserve"> saturated hydrocarbons is relatively slow with </w:t>
      </w:r>
      <w:r w:rsidR="009725C0">
        <w:t xml:space="preserve">initial </w:t>
      </w:r>
      <w:r>
        <w:t xml:space="preserve">uptake coefficients </w:t>
      </w:r>
      <w:r w:rsidR="00A0330E">
        <w:t xml:space="preserve">between </w:t>
      </w:r>
      <w:r>
        <w:t>10</w:t>
      </w:r>
      <w:r w:rsidRPr="0022306B">
        <w:rPr>
          <w:vertAlign w:val="superscript"/>
        </w:rPr>
        <w:t>-3</w:t>
      </w:r>
      <w:r w:rsidR="00A0330E">
        <w:t xml:space="preserve"> and 10</w:t>
      </w:r>
      <w:r w:rsidR="00A0330E" w:rsidRPr="00A0330E">
        <w:rPr>
          <w:vertAlign w:val="superscript"/>
        </w:rPr>
        <w:t>-2</w:t>
      </w:r>
      <w:r w:rsidR="00A0330E">
        <w:t xml:space="preserve">. </w:t>
      </w:r>
      <w:r>
        <w:t xml:space="preserve">Moise et al </w:t>
      </w:r>
      <w:r>
        <w:fldChar w:fldCharType="begin"/>
      </w:r>
      <w:r>
        <w:instrText xml:space="preserve"> ADDIN EN.CITE &lt;EndNote&gt;&lt;Cite&gt;&lt;Author&gt;Moise&lt;/Author&gt;&lt;Year&gt;2002&lt;/Year&gt;&lt;RecNum&gt;3475&lt;/RecNum&gt;&lt;DisplayText&gt;(Moise et al., 2002)&lt;/DisplayText&gt;&lt;record&gt;&lt;rec-number&gt;3475&lt;/rec-number&gt;&lt;foreign-keys&gt;&lt;key app="EN" db-id="z2tse2s5ewzp0uewz5e59efcztw0w9pw2eev"&gt;3475&lt;/key&gt;&lt;/foreign-keys&gt;&lt;ref-type name="Journal Article"&gt;17&lt;/ref-type&gt;&lt;contributors&gt;&lt;authors&gt;&lt;author&gt;Moise, T.&lt;/author&gt;&lt;author&gt;Talukdar, R. K.&lt;/author&gt;&lt;author&gt;Frost, G. J.&lt;/author&gt;&lt;author&gt;Fox, R. W.&lt;/author&gt;&lt;author&gt;Rudich, Y.&lt;/author&gt;&lt;/authors&gt;&lt;/contributors&gt;&lt;titles&gt;&lt;title&gt;Reactive uptake of NO3 by liquid and frozen organics&lt;/title&gt;&lt;secondary-title&gt;Journal of Geophysical Research-Atmospheres&lt;/secondary-title&gt;&lt;/titles&gt;&lt;periodical&gt;&lt;full-title&gt;Journal of Geophysical Research-Atmospheres&lt;/full-title&gt;&lt;abbr-1&gt;J. Geophys. Res.-Atmos.&lt;/abbr-1&gt;&lt;abbr-2&gt;J Geophys Res -Atmos.&lt;/abbr-2&gt;&lt;/periodical&gt;&lt;volume&gt;107&lt;/volume&gt;&lt;number&gt;D1-D2&lt;/number&gt;&lt;keywords&gt;&lt;keyword&gt;nitrate radical&lt;/keyword&gt;&lt;keyword&gt;organic aerosols&lt;/keyword&gt;&lt;keyword&gt;aerosol processing&lt;/keyword&gt;&lt;keyword&gt;atmospheric particulate matter&lt;/keyword&gt;&lt;keyword&gt;air partition-coefficient&lt;/keyword&gt;&lt;keyword&gt;sulfuric-acid&lt;/keyword&gt;&lt;keyword&gt;gas-phase&lt;/keyword&gt;&lt;keyword&gt;heterogeneous reaction&lt;/keyword&gt;&lt;keyword&gt;aerosol-particles&lt;/keyword&gt;&lt;keyword&gt;ozone&lt;/keyword&gt;&lt;keyword&gt;surface&lt;/keyword&gt;&lt;keyword&gt;pollution&lt;/keyword&gt;&lt;keyword&gt;films&lt;/keyword&gt;&lt;/keywords&gt;&lt;dates&gt;&lt;year&gt;2002&lt;/year&gt;&lt;pub-dates&gt;&lt;date&gt;Jan&lt;/date&gt;&lt;/pub-dates&gt;&lt;/dates&gt;&lt;isbn&gt;0747-7309&lt;/isbn&gt;&lt;accession-num&gt;ISI:000178889800008&lt;/accession-num&gt;&lt;label&gt;28&lt;/label&gt;&lt;urls&gt;&lt;related-urls&gt;&lt;url&gt;&amp;lt;Go to ISI&amp;gt;://000178889800008&lt;/url&gt;&lt;/related-urls&gt;&lt;/urls&gt;&lt;electronic-resource-num&gt;4014&amp;#xD;10.1029/2001jd000334&lt;/electronic-resource-num&gt;&lt;/record&gt;&lt;/Cite&gt;&lt;/EndNote&gt;</w:instrText>
      </w:r>
      <w:r>
        <w:fldChar w:fldCharType="separate"/>
      </w:r>
      <w:r>
        <w:rPr>
          <w:noProof/>
        </w:rPr>
        <w:t>(</w:t>
      </w:r>
      <w:hyperlink w:anchor="_ENREF_29" w:tooltip="Moise, 2002 #3475" w:history="1">
        <w:r>
          <w:rPr>
            <w:noProof/>
          </w:rPr>
          <w:t>Moise et al., 2002</w:t>
        </w:r>
      </w:hyperlink>
      <w:r>
        <w:rPr>
          <w:noProof/>
        </w:rPr>
        <w:t>)</w:t>
      </w:r>
      <w:r>
        <w:fldChar w:fldCharType="end"/>
      </w:r>
      <w:r>
        <w:t xml:space="preserve"> found that (for a solid sample) uptake to a branched chain alkane was more efficient than for a branched alkane, which is consistent with known trends in gas-phase reactivity of NO</w:t>
      </w:r>
      <w:r>
        <w:rPr>
          <w:vertAlign w:val="subscript"/>
        </w:rPr>
        <w:t>3</w:t>
      </w:r>
      <w:r>
        <w:t xml:space="preserve">. </w:t>
      </w:r>
      <w:r w:rsidR="001E2BCA" w:rsidRPr="001E2BCA">
        <w:t>The uptake coefficient decreased significantly when the surface was frozen at lower temperatures, which was attributed to the reduced rate of diffusion of NO</w:t>
      </w:r>
      <w:r w:rsidR="001E2BCA" w:rsidRPr="001E2BCA">
        <w:rPr>
          <w:vertAlign w:val="subscript"/>
        </w:rPr>
        <w:t>3</w:t>
      </w:r>
      <w:r w:rsidR="001E2BCA" w:rsidRPr="001E2BCA">
        <w:t xml:space="preserve"> into the bulk sample.</w:t>
      </w:r>
    </w:p>
    <w:p w:rsidR="005146FD" w:rsidRDefault="005146FD" w:rsidP="001E2BCA">
      <w:pPr>
        <w:pStyle w:val="IUPACpreferredcommentstext"/>
      </w:pPr>
      <w:r>
        <w:t>If the reaction between NO</w:t>
      </w:r>
      <w:r>
        <w:rPr>
          <w:vertAlign w:val="subscript"/>
        </w:rPr>
        <w:t>3</w:t>
      </w:r>
      <w:r>
        <w:t xml:space="preserve"> and the </w:t>
      </w:r>
      <w:r w:rsidR="0088524C">
        <w:t>alkane</w:t>
      </w:r>
      <w:r>
        <w:t xml:space="preserve"> (of </w:t>
      </w:r>
      <w:r w:rsidR="00541707">
        <w:t>concentration [HC], in</w:t>
      </w:r>
      <w:r w:rsidR="00304A1A">
        <w:t xml:space="preserve"> units</w:t>
      </w:r>
      <w:r w:rsidR="00541707">
        <w:t xml:space="preserve"> of mol L</w:t>
      </w:r>
      <w:r w:rsidR="00541707" w:rsidRPr="00541707">
        <w:rPr>
          <w:vertAlign w:val="superscript"/>
        </w:rPr>
        <w:t>-1</w:t>
      </w:r>
      <w:r w:rsidR="00304A1A">
        <w:t>)</w:t>
      </w:r>
      <w:r>
        <w:t xml:space="preserve"> takes place throughout the particle, the uptake coefficient can be described by </w:t>
      </w:r>
    </w:p>
    <w:p w:rsidR="00911F24" w:rsidRDefault="005146FD">
      <w:pPr>
        <w:pStyle w:val="Reactions"/>
        <w:spacing w:line="360" w:lineRule="auto"/>
      </w:pPr>
      <m:oMathPara>
        <m:oMath>
          <m:r>
            <w:rPr>
              <w:rFonts w:ascii="Cambria Math" w:hAnsi="Cambria Math"/>
            </w:rPr>
            <m:t>γ=</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α</m:t>
                          </m:r>
                        </m:e>
                        <m:sub>
                          <m:r>
                            <w:rPr>
                              <w:rFonts w:ascii="Cambria Math" w:hAnsi="Cambria Math"/>
                            </w:rPr>
                            <m:t>b</m:t>
                          </m:r>
                        </m:sub>
                      </m:sSub>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c</m:t>
                          </m:r>
                        </m:e>
                      </m:acc>
                    </m:num>
                    <m:den>
                      <m:r>
                        <w:rPr>
                          <w:rFonts w:ascii="Cambria Math" w:hAnsi="Cambria Math"/>
                        </w:rPr>
                        <m:t>4HRT</m:t>
                      </m:r>
                      <m:rad>
                        <m:radPr>
                          <m:degHide m:val="1"/>
                          <m:ctrlPr>
                            <w:rPr>
                              <w:rFonts w:ascii="Cambria Math" w:hAnsi="Cambria Math"/>
                              <w:i/>
                            </w:rPr>
                          </m:ctrlPr>
                        </m:radPr>
                        <m:deg/>
                        <m:e>
                          <m:r>
                            <m:rPr>
                              <m:sty m:val="p"/>
                            </m:rPr>
                            <w:rPr>
                              <w:rFonts w:ascii="Cambria Math" w:hAnsi="Cambria Math"/>
                            </w:rPr>
                            <m:t>Σ</m:t>
                          </m:r>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b(i)</m:t>
                              </m:r>
                            </m:sub>
                          </m:sSub>
                          <m:sSub>
                            <m:sSubPr>
                              <m:ctrlPr>
                                <w:rPr>
                                  <w:rFonts w:ascii="Cambria Math" w:hAnsi="Cambria Math"/>
                                  <w:i/>
                                </w:rPr>
                              </m:ctrlPr>
                            </m:sSubPr>
                            <m:e>
                              <m:r>
                                <w:rPr>
                                  <w:rFonts w:ascii="Cambria Math" w:hAnsi="Cambria Math"/>
                                </w:rPr>
                                <m:t>[</m:t>
                              </m:r>
                              <m:r>
                                <m:rPr>
                                  <m:sty m:val="p"/>
                                </m:rPr>
                                <w:rPr>
                                  <w:rFonts w:ascii="Cambria Math" w:hAnsi="Cambria Math"/>
                                </w:rPr>
                                <m:t>HC</m:t>
                              </m:r>
                              <m:r>
                                <w:rPr>
                                  <w:rFonts w:ascii="Cambria Math" w:hAnsi="Cambria Math"/>
                                </w:rPr>
                                <m:t>]</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l</m:t>
                              </m:r>
                            </m:sub>
                          </m:sSub>
                        </m:e>
                      </m:rad>
                    </m:den>
                  </m:f>
                </m:e>
              </m:d>
            </m:e>
            <m:sup>
              <m:r>
                <w:rPr>
                  <w:rFonts w:ascii="Cambria Math" w:hAnsi="Cambria Math"/>
                </w:rPr>
                <m:t>-1</m:t>
              </m:r>
            </m:sup>
          </m:sSup>
        </m:oMath>
      </m:oMathPara>
    </w:p>
    <w:p w:rsidR="005C21B0" w:rsidRDefault="005146FD" w:rsidP="001E2BCA">
      <w:pPr>
        <w:pStyle w:val="IUPACpreferredcommentstext"/>
      </w:pPr>
      <w:r>
        <w:t xml:space="preserve">Where </w:t>
      </w:r>
      <w:r w:rsidRPr="005146FD">
        <w:rPr>
          <w:i/>
        </w:rPr>
        <w:t>k</w:t>
      </w:r>
      <w:r w:rsidR="007C2602" w:rsidRPr="005C21B0">
        <w:rPr>
          <w:vertAlign w:val="subscript"/>
        </w:rPr>
        <w:t>b</w:t>
      </w:r>
      <w:r w:rsidR="005C21B0" w:rsidRPr="005C21B0">
        <w:rPr>
          <w:vertAlign w:val="subscript"/>
        </w:rPr>
        <w:t>(</w:t>
      </w:r>
      <w:r w:rsidRPr="005C21B0">
        <w:rPr>
          <w:vertAlign w:val="subscript"/>
        </w:rPr>
        <w:t>i</w:t>
      </w:r>
      <w:r w:rsidR="005C21B0" w:rsidRPr="005C21B0">
        <w:rPr>
          <w:vertAlign w:val="subscript"/>
        </w:rPr>
        <w:t>)</w:t>
      </w:r>
      <w:r>
        <w:t xml:space="preserve"> is the</w:t>
      </w:r>
      <w:r w:rsidR="005C21B0">
        <w:t xml:space="preserve"> liquid-phase </w:t>
      </w:r>
      <w:r>
        <w:t>rate coefficient for reaction of NO</w:t>
      </w:r>
      <w:r>
        <w:rPr>
          <w:vertAlign w:val="subscript"/>
        </w:rPr>
        <w:t>3</w:t>
      </w:r>
      <w:r>
        <w:t xml:space="preserve"> with organic species </w:t>
      </w:r>
      <w:r w:rsidR="00757357">
        <w:t>(</w:t>
      </w:r>
      <w:r w:rsidR="00304A1A" w:rsidRPr="005C21B0">
        <w:t>i</w:t>
      </w:r>
      <w:r w:rsidR="00757357">
        <w:t>)</w:t>
      </w:r>
      <w:r w:rsidR="00304A1A">
        <w:t>,</w:t>
      </w:r>
      <w:r>
        <w:t xml:space="preserve"> </w:t>
      </w:r>
      <w:r w:rsidR="006E7D65" w:rsidRPr="00304A1A">
        <w:rPr>
          <w:i/>
        </w:rPr>
        <w:t>D</w:t>
      </w:r>
      <w:r w:rsidR="006E7D65" w:rsidRPr="00304A1A">
        <w:rPr>
          <w:i/>
          <w:vertAlign w:val="subscript"/>
        </w:rPr>
        <w:t>l</w:t>
      </w:r>
      <w:r w:rsidR="006E7D65" w:rsidRPr="00304A1A">
        <w:rPr>
          <w:i/>
        </w:rPr>
        <w:t xml:space="preserve"> </w:t>
      </w:r>
      <w:r w:rsidR="006E7D65">
        <w:t>its diffusion coefficient</w:t>
      </w:r>
      <w:r w:rsidR="00304A1A">
        <w:t xml:space="preserve"> through the organic matrix</w:t>
      </w:r>
      <w:r w:rsidR="00A0330E">
        <w:t xml:space="preserve"> and </w:t>
      </w:r>
      <w:r w:rsidR="00A0330E" w:rsidRPr="00A0330E">
        <w:rPr>
          <w:i/>
        </w:rPr>
        <w:t>H</w:t>
      </w:r>
      <w:r w:rsidR="00A0330E">
        <w:t xml:space="preserve"> its solubility</w:t>
      </w:r>
      <w:r w:rsidR="006E7D65">
        <w:t xml:space="preserve">. </w:t>
      </w:r>
    </w:p>
    <w:p w:rsidR="005C21B0" w:rsidRDefault="005C21B0" w:rsidP="001E2BCA">
      <w:pPr>
        <w:pStyle w:val="IUPACpreferredcommentstext"/>
      </w:pPr>
      <w:r w:rsidRPr="00CC4D7C">
        <w:rPr>
          <w:color w:val="000000" w:themeColor="text1"/>
        </w:rPr>
        <w:t xml:space="preserve">A rough estimate for </w:t>
      </w:r>
      <w:r>
        <w:rPr>
          <w:color w:val="000000" w:themeColor="text1"/>
        </w:rPr>
        <w:t xml:space="preserve">a generic uptake coefficient </w:t>
      </w:r>
      <w:r w:rsidRPr="00CC4D7C">
        <w:rPr>
          <w:color w:val="000000" w:themeColor="text1"/>
        </w:rPr>
        <w:t>for NO</w:t>
      </w:r>
      <w:r w:rsidRPr="00CC4D7C">
        <w:rPr>
          <w:color w:val="000000" w:themeColor="text1"/>
          <w:vertAlign w:val="subscript"/>
        </w:rPr>
        <w:t>3</w:t>
      </w:r>
      <w:r w:rsidRPr="00CC4D7C">
        <w:rPr>
          <w:color w:val="000000" w:themeColor="text1"/>
        </w:rPr>
        <w:t xml:space="preserve"> upta</w:t>
      </w:r>
      <w:r>
        <w:rPr>
          <w:color w:val="000000" w:themeColor="text1"/>
        </w:rPr>
        <w:t>ke to an alka</w:t>
      </w:r>
      <w:r w:rsidRPr="00CC4D7C">
        <w:rPr>
          <w:color w:val="000000" w:themeColor="text1"/>
        </w:rPr>
        <w:t xml:space="preserve">ne can be made using </w:t>
      </w:r>
      <w:r w:rsidR="00A0330E">
        <w:rPr>
          <w:i/>
        </w:rPr>
        <w:t>k</w:t>
      </w:r>
      <w:r>
        <w:rPr>
          <w:vertAlign w:val="subscript"/>
        </w:rPr>
        <w:t>b</w:t>
      </w:r>
      <w:r w:rsidR="00A0330E">
        <w:rPr>
          <w:vertAlign w:val="subscript"/>
        </w:rPr>
        <w:t xml:space="preserve"> </w:t>
      </w:r>
      <w:r w:rsidR="00A0330E">
        <w:t xml:space="preserve">= 6 </w:t>
      </w:r>
      <w:r w:rsidR="00A0330E">
        <w:sym w:font="Symbol" w:char="F0B4"/>
      </w:r>
      <w:r w:rsidR="00A0330E">
        <w:t xml:space="preserve"> 10</w:t>
      </w:r>
      <w:r w:rsidR="00A0330E" w:rsidRPr="006E7D65">
        <w:rPr>
          <w:vertAlign w:val="superscript"/>
        </w:rPr>
        <w:t>4</w:t>
      </w:r>
      <w:r w:rsidR="00A0330E">
        <w:t xml:space="preserve"> M</w:t>
      </w:r>
      <w:r w:rsidR="00A0330E" w:rsidRPr="006E7D65">
        <w:rPr>
          <w:vertAlign w:val="superscript"/>
        </w:rPr>
        <w:t>-1</w:t>
      </w:r>
      <w:r w:rsidR="00A0330E">
        <w:t xml:space="preserve"> </w:t>
      </w:r>
      <w:r w:rsidR="00A0330E" w:rsidRPr="00541707">
        <w:t>s</w:t>
      </w:r>
      <w:r w:rsidR="00A0330E" w:rsidRPr="006E7D65">
        <w:rPr>
          <w:vertAlign w:val="superscript"/>
        </w:rPr>
        <w:t>-1</w:t>
      </w:r>
      <w:r w:rsidR="00A0330E">
        <w:t xml:space="preserve"> which is equivalent to a gas-phase rate constant of 1 </w:t>
      </w:r>
      <w:r w:rsidR="00A0330E">
        <w:sym w:font="Symbol" w:char="F0B4"/>
      </w:r>
      <w:r w:rsidR="00A0330E">
        <w:t xml:space="preserve"> 10</w:t>
      </w:r>
      <w:r w:rsidR="00A0330E" w:rsidRPr="006E7D65">
        <w:rPr>
          <w:vertAlign w:val="superscript"/>
        </w:rPr>
        <w:t>-16</w:t>
      </w:r>
      <w:r w:rsidR="00A0330E">
        <w:t xml:space="preserve"> cm</w:t>
      </w:r>
      <w:r w:rsidR="00A0330E">
        <w:rPr>
          <w:vertAlign w:val="superscript"/>
        </w:rPr>
        <w:t>3</w:t>
      </w:r>
      <w:r w:rsidR="00A0330E">
        <w:t xml:space="preserve"> molecule</w:t>
      </w:r>
      <w:r w:rsidR="00A0330E">
        <w:rPr>
          <w:vertAlign w:val="superscript"/>
        </w:rPr>
        <w:t>-1</w:t>
      </w:r>
      <w:r w:rsidR="00A0330E">
        <w:t xml:space="preserve"> s</w:t>
      </w:r>
      <w:r w:rsidR="00A0330E">
        <w:rPr>
          <w:vertAlign w:val="superscript"/>
        </w:rPr>
        <w:noBreakHyphen/>
        <w:t>1</w:t>
      </w:r>
      <w:r w:rsidR="00A0330E">
        <w:t xml:space="preserve">, </w:t>
      </w:r>
      <w:r w:rsidR="005146FD">
        <w:rPr>
          <w:i/>
        </w:rPr>
        <w:t>D</w:t>
      </w:r>
      <w:r w:rsidR="005146FD" w:rsidRPr="00304A1A">
        <w:rPr>
          <w:i/>
          <w:vertAlign w:val="subscript"/>
        </w:rPr>
        <w:t>l</w:t>
      </w:r>
      <w:r w:rsidR="005146FD">
        <w:t xml:space="preserve">, </w:t>
      </w:r>
      <w:r w:rsidR="006E7D65">
        <w:t>=</w:t>
      </w:r>
      <w:r w:rsidR="005146FD">
        <w:t xml:space="preserve"> 2 </w:t>
      </w:r>
      <w:r w:rsidR="005146FD">
        <w:sym w:font="Symbol" w:char="F0B4"/>
      </w:r>
      <w:r w:rsidR="005146FD">
        <w:t xml:space="preserve"> 10</w:t>
      </w:r>
      <w:r w:rsidR="005146FD">
        <w:rPr>
          <w:vertAlign w:val="superscript"/>
        </w:rPr>
        <w:t>-5</w:t>
      </w:r>
      <w:r w:rsidR="005146FD">
        <w:t xml:space="preserve"> cm</w:t>
      </w:r>
      <w:r w:rsidR="005146FD">
        <w:rPr>
          <w:vertAlign w:val="superscript"/>
        </w:rPr>
        <w:t>2</w:t>
      </w:r>
      <w:r w:rsidR="005146FD">
        <w:t xml:space="preserve"> s</w:t>
      </w:r>
      <w:r w:rsidR="005146FD">
        <w:rPr>
          <w:vertAlign w:val="superscript"/>
        </w:rPr>
        <w:t>-1</w:t>
      </w:r>
      <w:r w:rsidR="006E7D65">
        <w:t xml:space="preserve">, and </w:t>
      </w:r>
      <w:r w:rsidR="006E7D65" w:rsidRPr="00304A1A">
        <w:rPr>
          <w:i/>
        </w:rPr>
        <w:t>H</w:t>
      </w:r>
      <w:r w:rsidR="006E7D65">
        <w:t xml:space="preserve"> = 0.8 Matm</w:t>
      </w:r>
      <w:r w:rsidR="006E7D65" w:rsidRPr="006E7D65">
        <w:rPr>
          <w:vertAlign w:val="superscript"/>
        </w:rPr>
        <w:t>-1</w:t>
      </w:r>
      <w:r w:rsidR="00304A1A">
        <w:t>.</w:t>
      </w:r>
      <w:r w:rsidR="00A0330E">
        <w:t xml:space="preserve"> This results in a value of </w:t>
      </w:r>
      <w:r w:rsidR="00A0330E" w:rsidRPr="00F801C1">
        <w:rPr>
          <w:color w:val="000000" w:themeColor="text1"/>
          <w:szCs w:val="24"/>
        </w:rPr>
        <w:sym w:font="Symbol" w:char="F067"/>
      </w:r>
      <w:r w:rsidR="00A0330E">
        <w:t xml:space="preserve"> = 5 </w:t>
      </w:r>
      <w:r w:rsidR="00A0330E">
        <w:sym w:font="Symbol" w:char="F0B4"/>
      </w:r>
      <w:r w:rsidR="00A0330E">
        <w:t xml:space="preserve"> 10</w:t>
      </w:r>
      <w:r w:rsidR="00A0330E" w:rsidRPr="00A0330E">
        <w:rPr>
          <w:vertAlign w:val="superscript"/>
        </w:rPr>
        <w:t>-3</w:t>
      </w:r>
      <w:r w:rsidR="00A0330E">
        <w:t>, which  is consistent with the experimental data</w:t>
      </w:r>
      <w:r w:rsidR="009725C0">
        <w:t xml:space="preserve"> within the uncertainty assigned to </w:t>
      </w:r>
      <w:r w:rsidR="009725C0" w:rsidRPr="009725C0">
        <w:rPr>
          <w:i/>
        </w:rPr>
        <w:t>k</w:t>
      </w:r>
      <w:r w:rsidR="009725C0" w:rsidRPr="009725C0">
        <w:rPr>
          <w:vertAlign w:val="subscript"/>
        </w:rPr>
        <w:t>b</w:t>
      </w:r>
      <w:r w:rsidR="009725C0">
        <w:t>.</w:t>
      </w:r>
      <w:r w:rsidR="00A0330E">
        <w:t xml:space="preserve"> </w:t>
      </w:r>
      <w:r w:rsidR="00421678">
        <w:t xml:space="preserve">The large uncertainty associated with use of a generic rate constant, </w:t>
      </w:r>
      <w:r w:rsidR="00421678" w:rsidRPr="001D5B1F">
        <w:rPr>
          <w:i/>
        </w:rPr>
        <w:t>k</w:t>
      </w:r>
      <w:r w:rsidR="00421678" w:rsidRPr="001D5B1F">
        <w:rPr>
          <w:vertAlign w:val="subscript"/>
        </w:rPr>
        <w:t>b</w:t>
      </w:r>
      <w:r w:rsidR="00421678">
        <w:t xml:space="preserve">, and also use of potentially inappropriate values of </w:t>
      </w:r>
      <w:r w:rsidR="00421678" w:rsidRPr="007C2602">
        <w:rPr>
          <w:i/>
        </w:rPr>
        <w:t>H</w:t>
      </w:r>
      <w:r w:rsidR="00421678">
        <w:t xml:space="preserve"> and </w:t>
      </w:r>
      <w:r w:rsidR="00421678" w:rsidRPr="007C2602">
        <w:rPr>
          <w:i/>
        </w:rPr>
        <w:t>D</w:t>
      </w:r>
      <w:r w:rsidR="00421678" w:rsidRPr="007C2602">
        <w:rPr>
          <w:i/>
          <w:vertAlign w:val="subscript"/>
        </w:rPr>
        <w:t>l</w:t>
      </w:r>
      <w:r w:rsidR="00421678">
        <w:rPr>
          <w:i/>
          <w:vertAlign w:val="subscript"/>
        </w:rPr>
        <w:t xml:space="preserve"> </w:t>
      </w:r>
      <w:r w:rsidR="00421678">
        <w:t xml:space="preserve"> is taken into account by assigning a large uncertainty to </w:t>
      </w:r>
      <w:r w:rsidR="00421678" w:rsidRPr="007C2602">
        <w:rPr>
          <w:i/>
        </w:rPr>
        <w:t>k</w:t>
      </w:r>
      <w:r w:rsidR="00421678" w:rsidRPr="007C2602">
        <w:rPr>
          <w:i/>
          <w:vertAlign w:val="subscript"/>
        </w:rPr>
        <w:t>b</w:t>
      </w:r>
      <w:r w:rsidR="00421678">
        <w:t>.</w:t>
      </w:r>
    </w:p>
    <w:p w:rsidR="00997CCB" w:rsidRDefault="00421678" w:rsidP="001E2BCA">
      <w:pPr>
        <w:pStyle w:val="IUPACpreferredcommentstext"/>
      </w:pPr>
      <w:r>
        <w:t>Uptake to m</w:t>
      </w:r>
      <w:r w:rsidR="00997CCB">
        <w:t xml:space="preserve">ulticomponent organic mixtures can be </w:t>
      </w:r>
      <w:r>
        <w:t xml:space="preserve">approximated </w:t>
      </w:r>
      <w:r w:rsidR="00997CCB">
        <w:t xml:space="preserve">by summing the product </w:t>
      </w:r>
      <w:r w:rsidR="00997CCB" w:rsidRPr="007C2602">
        <w:rPr>
          <w:i/>
        </w:rPr>
        <w:t>k</w:t>
      </w:r>
      <w:r w:rsidR="00997CCB" w:rsidRPr="007C2602">
        <w:rPr>
          <w:vertAlign w:val="subscript"/>
        </w:rPr>
        <w:t>b</w:t>
      </w:r>
      <w:r w:rsidR="009F76AE">
        <w:rPr>
          <w:vertAlign w:val="subscript"/>
        </w:rPr>
        <w:t>(</w:t>
      </w:r>
      <w:r w:rsidR="00997CCB" w:rsidRPr="007C2602">
        <w:rPr>
          <w:vertAlign w:val="subscript"/>
        </w:rPr>
        <w:t>i</w:t>
      </w:r>
      <w:r w:rsidR="009F76AE">
        <w:rPr>
          <w:vertAlign w:val="subscript"/>
        </w:rPr>
        <w:t>)</w:t>
      </w:r>
      <w:r w:rsidR="00997CCB">
        <w:t>[HC]</w:t>
      </w:r>
      <w:r w:rsidR="00997CCB" w:rsidRPr="00547231">
        <w:rPr>
          <w:vertAlign w:val="subscript"/>
        </w:rPr>
        <w:t>(</w:t>
      </w:r>
      <w:r w:rsidR="00997CCB" w:rsidRPr="007C2602">
        <w:rPr>
          <w:vertAlign w:val="subscript"/>
        </w:rPr>
        <w:t>i</w:t>
      </w:r>
      <w:r w:rsidR="00997CCB">
        <w:rPr>
          <w:vertAlign w:val="subscript"/>
        </w:rPr>
        <w:t xml:space="preserve">) </w:t>
      </w:r>
      <w:r w:rsidR="00997CCB">
        <w:t xml:space="preserve">and using an average value for </w:t>
      </w:r>
      <w:r w:rsidR="00997CCB" w:rsidRPr="007C2602">
        <w:rPr>
          <w:i/>
        </w:rPr>
        <w:t>H</w:t>
      </w:r>
      <w:r w:rsidR="00997CCB">
        <w:t xml:space="preserve"> and </w:t>
      </w:r>
      <w:r w:rsidR="00997CCB" w:rsidRPr="007C2602">
        <w:rPr>
          <w:i/>
        </w:rPr>
        <w:t>D</w:t>
      </w:r>
      <w:r w:rsidR="00997CCB" w:rsidRPr="007C2602">
        <w:rPr>
          <w:i/>
          <w:vertAlign w:val="subscript"/>
        </w:rPr>
        <w:t>l</w:t>
      </w:r>
      <w:r w:rsidR="00997CCB">
        <w:t>. For unreactive or very small particles a correction for the diffuso-reactive length may be important (see guide to datasheets), whereas for very reactive particles, the reaction my be limited  to the surface layers of the sample. This may result in uptake coefficients that decrease with exposure time if mixing in the particle is hindered by high viscosity.</w:t>
      </w:r>
    </w:p>
    <w:p w:rsidR="001E2BCA" w:rsidRDefault="001E2BCA" w:rsidP="001E2BCA">
      <w:pPr>
        <w:pStyle w:val="IUPACpreferredcommentstext"/>
      </w:pPr>
      <w:r>
        <w:t xml:space="preserve">In their experiments on octadecanethiol, Knopf et al. (2006) observed formation of condensed phase carbonyl species and no evidence for  significant volatilisation of the organic substrate. In further experiments, the same group (Gross and Bertram, 2009) observed formation of organonitrate products for the same alkane. In contrast, gas-phase product analysis in the experiments of Lee et al. (2013) on squalene showed that </w:t>
      </w:r>
      <w:r w:rsidRPr="00F064C0">
        <w:t>NO</w:t>
      </w:r>
      <w:r w:rsidRPr="00F064C0">
        <w:rPr>
          <w:vertAlign w:val="subscript"/>
        </w:rPr>
        <w:t>3</w:t>
      </w:r>
      <w:r>
        <w:t xml:space="preserve"> was converted stoichiometrically to </w:t>
      </w:r>
      <w:r w:rsidRPr="00F064C0">
        <w:t>NO</w:t>
      </w:r>
      <w:r w:rsidRPr="00F064C0">
        <w:rPr>
          <w:vertAlign w:val="subscript"/>
        </w:rPr>
        <w:t>2</w:t>
      </w:r>
      <w:r>
        <w:t>.</w:t>
      </w:r>
    </w:p>
    <w:p w:rsidR="002F5C5A" w:rsidRDefault="002F5C5A" w:rsidP="001E2BCA">
      <w:pPr>
        <w:pStyle w:val="IUPACpreferredcommentstext"/>
      </w:pPr>
    </w:p>
    <w:p w:rsidR="002F5C5A" w:rsidRDefault="002F5C5A" w:rsidP="00CA6636">
      <w:pPr>
        <w:pStyle w:val="IUPACTitle"/>
      </w:pPr>
      <w:r>
        <w:t>References</w:t>
      </w:r>
    </w:p>
    <w:p w:rsidR="00A81E2D" w:rsidRPr="00A81E2D" w:rsidRDefault="00A81E2D" w:rsidP="00A81E2D">
      <w:pPr>
        <w:rPr>
          <w:lang w:val="en-AU"/>
        </w:rPr>
      </w:pPr>
    </w:p>
    <w:p w:rsidR="002F5C5A" w:rsidRDefault="002F5C5A">
      <w:pPr>
        <w:pStyle w:val="IUPACreference"/>
        <w:rPr>
          <w:lang w:val="en-GB"/>
        </w:rPr>
      </w:pPr>
      <w:r>
        <w:rPr>
          <w:lang w:val="en-GB"/>
        </w:rPr>
        <w:t>Gross, S. and Bertram, A. K.: J. Geophys. Res. 114, D02307, doi: 10.1029/2008JD010987, 2009.</w:t>
      </w:r>
    </w:p>
    <w:p w:rsidR="002F5C5A" w:rsidRDefault="002F5C5A">
      <w:pPr>
        <w:pStyle w:val="IUPACreference"/>
        <w:rPr>
          <w:lang w:val="en-GB"/>
        </w:rPr>
      </w:pPr>
      <w:r>
        <w:rPr>
          <w:lang w:val="en-GB"/>
        </w:rPr>
        <w:t>Knopf, D. A., Mak, J., Gross, S. and Bertram, A. K.: Geophys. Res. Lett. 33,</w:t>
      </w:r>
      <w:r>
        <w:rPr>
          <w:i/>
          <w:lang w:val="en-GB"/>
        </w:rPr>
        <w:t xml:space="preserve"> </w:t>
      </w:r>
      <w:r>
        <w:rPr>
          <w:lang w:val="en-GB"/>
        </w:rPr>
        <w:t>2006.</w:t>
      </w:r>
    </w:p>
    <w:p w:rsidR="002F5C5A" w:rsidRDefault="002F5C5A">
      <w:pPr>
        <w:pStyle w:val="IUPACreference"/>
        <w:rPr>
          <w:lang w:val="en-GB"/>
        </w:rPr>
      </w:pPr>
      <w:r>
        <w:rPr>
          <w:lang w:val="en-GB"/>
        </w:rPr>
        <w:t>Moise, T., Talukdar, R. K., Frost, G. J., Fox, R. W. and Rudich, Y.: J. Geophys. Res.-Atmos. 107, D2, doi: 10.1029/2001JD000334,</w:t>
      </w:r>
      <w:r>
        <w:rPr>
          <w:i/>
          <w:lang w:val="en-GB"/>
        </w:rPr>
        <w:t xml:space="preserve"> </w:t>
      </w:r>
      <w:r>
        <w:rPr>
          <w:lang w:val="en-GB"/>
        </w:rPr>
        <w:t>2002.</w:t>
      </w:r>
    </w:p>
    <w:p w:rsidR="002F5C5A" w:rsidRDefault="002F5C5A">
      <w:pPr>
        <w:pStyle w:val="IUPACreference"/>
        <w:rPr>
          <w:lang w:val="en-GB"/>
        </w:rPr>
      </w:pPr>
      <w:r>
        <w:rPr>
          <w:lang w:val="en-GB"/>
        </w:rPr>
        <w:t>Xiao, S., and Bertram, A.K.: Phys. Chem. Chem. Phys. 13, 6628-6636, 2011.</w:t>
      </w:r>
    </w:p>
    <w:p w:rsidR="002F5C5A" w:rsidRDefault="002F5C5A">
      <w:pPr>
        <w:pStyle w:val="Justified"/>
        <w:spacing w:after="0" w:line="240" w:lineRule="auto"/>
        <w:ind w:hanging="170"/>
        <w:rPr>
          <w:lang w:val="en-GB"/>
        </w:rPr>
      </w:pPr>
    </w:p>
    <w:p w:rsidR="002F5C5A" w:rsidRDefault="002F5C5A">
      <w:pPr>
        <w:pStyle w:val="Justified"/>
        <w:rPr>
          <w:lang w:val="en-GB"/>
        </w:rPr>
      </w:pPr>
    </w:p>
    <w:p w:rsidR="002F5C5A" w:rsidRDefault="002F5C5A"/>
    <w:p w:rsidR="002F5C5A" w:rsidRDefault="002F5C5A"/>
    <w:p w:rsidR="002F5C5A" w:rsidRDefault="002F5C5A"/>
    <w:p w:rsidR="002F5C5A" w:rsidRDefault="002F5C5A">
      <w:pPr>
        <w:tabs>
          <w:tab w:val="left" w:pos="5265"/>
        </w:tabs>
      </w:pPr>
    </w:p>
    <w:sectPr w:rsidR="002F5C5A" w:rsidSect="00E22243">
      <w:pgSz w:w="11907" w:h="16840" w:code="9"/>
      <w:pgMar w:top="1134" w:right="1021" w:bottom="1134" w:left="102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1A7494"/>
    <w:lvl w:ilvl="0">
      <w:start w:val="1"/>
      <w:numFmt w:val="decimal"/>
      <w:pStyle w:val="JGR-HEAD1"/>
      <w:suff w:val="space"/>
      <w:lvlText w:val="%1."/>
      <w:lvlJc w:val="left"/>
      <w:pPr>
        <w:ind w:left="0" w:firstLine="0"/>
      </w:pPr>
    </w:lvl>
    <w:lvl w:ilvl="1">
      <w:start w:val="1"/>
      <w:numFmt w:val="decimal"/>
      <w:suff w:val="space"/>
      <w:lvlText w:val="%1.%2."/>
      <w:lvlJc w:val="left"/>
      <w:pPr>
        <w:ind w:left="0" w:firstLine="0"/>
      </w:pPr>
    </w:lvl>
    <w:lvl w:ilvl="2">
      <w:start w:val="1"/>
      <w:numFmt w:val="decimal"/>
      <w:pStyle w:val="JGR-HEAD3"/>
      <w:suff w:val="space"/>
      <w:lvlText w:val="%1.%2.%3."/>
      <w:lvlJc w:val="left"/>
      <w:pPr>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9D30D74"/>
    <w:multiLevelType w:val="hybridMultilevel"/>
    <w:tmpl w:val="C032FA0E"/>
    <w:lvl w:ilvl="0" w:tplc="5BBEF09C">
      <w:start w:val="1"/>
      <w:numFmt w:val="decimal"/>
      <w:lvlText w:val="%1"/>
      <w:lvlJc w:val="left"/>
      <w:pPr>
        <w:tabs>
          <w:tab w:val="num" w:pos="360"/>
        </w:tabs>
        <w:ind w:left="301" w:hanging="301"/>
      </w:pPr>
      <w:rPr>
        <w:rFonts w:hint="default"/>
        <w:strike w:val="0"/>
        <w:dstrike w:val="0"/>
        <w:vertAlign w:val="superscript"/>
      </w:rPr>
    </w:lvl>
    <w:lvl w:ilvl="1" w:tplc="59DEF9B8" w:tentative="1">
      <w:start w:val="1"/>
      <w:numFmt w:val="lowerLetter"/>
      <w:lvlText w:val="%2."/>
      <w:lvlJc w:val="left"/>
      <w:pPr>
        <w:tabs>
          <w:tab w:val="num" w:pos="1440"/>
        </w:tabs>
        <w:ind w:left="1440" w:hanging="360"/>
      </w:pPr>
    </w:lvl>
    <w:lvl w:ilvl="2" w:tplc="A7BEC848" w:tentative="1">
      <w:start w:val="1"/>
      <w:numFmt w:val="lowerRoman"/>
      <w:lvlText w:val="%3."/>
      <w:lvlJc w:val="right"/>
      <w:pPr>
        <w:tabs>
          <w:tab w:val="num" w:pos="2160"/>
        </w:tabs>
        <w:ind w:left="2160" w:hanging="180"/>
      </w:pPr>
    </w:lvl>
    <w:lvl w:ilvl="3" w:tplc="2190E244" w:tentative="1">
      <w:start w:val="1"/>
      <w:numFmt w:val="decimal"/>
      <w:lvlText w:val="%4."/>
      <w:lvlJc w:val="left"/>
      <w:pPr>
        <w:tabs>
          <w:tab w:val="num" w:pos="2880"/>
        </w:tabs>
        <w:ind w:left="2880" w:hanging="360"/>
      </w:pPr>
    </w:lvl>
    <w:lvl w:ilvl="4" w:tplc="D5885568" w:tentative="1">
      <w:start w:val="1"/>
      <w:numFmt w:val="lowerLetter"/>
      <w:lvlText w:val="%5."/>
      <w:lvlJc w:val="left"/>
      <w:pPr>
        <w:tabs>
          <w:tab w:val="num" w:pos="3600"/>
        </w:tabs>
        <w:ind w:left="3600" w:hanging="360"/>
      </w:pPr>
    </w:lvl>
    <w:lvl w:ilvl="5" w:tplc="D19CF50C" w:tentative="1">
      <w:start w:val="1"/>
      <w:numFmt w:val="lowerRoman"/>
      <w:lvlText w:val="%6."/>
      <w:lvlJc w:val="right"/>
      <w:pPr>
        <w:tabs>
          <w:tab w:val="num" w:pos="4320"/>
        </w:tabs>
        <w:ind w:left="4320" w:hanging="180"/>
      </w:pPr>
    </w:lvl>
    <w:lvl w:ilvl="6" w:tplc="5C801F86" w:tentative="1">
      <w:start w:val="1"/>
      <w:numFmt w:val="decimal"/>
      <w:lvlText w:val="%7."/>
      <w:lvlJc w:val="left"/>
      <w:pPr>
        <w:tabs>
          <w:tab w:val="num" w:pos="5040"/>
        </w:tabs>
        <w:ind w:left="5040" w:hanging="360"/>
      </w:pPr>
    </w:lvl>
    <w:lvl w:ilvl="7" w:tplc="ADEE10A0" w:tentative="1">
      <w:start w:val="1"/>
      <w:numFmt w:val="lowerLetter"/>
      <w:lvlText w:val="%8."/>
      <w:lvlJc w:val="left"/>
      <w:pPr>
        <w:tabs>
          <w:tab w:val="num" w:pos="5760"/>
        </w:tabs>
        <w:ind w:left="5760" w:hanging="360"/>
      </w:pPr>
    </w:lvl>
    <w:lvl w:ilvl="8" w:tplc="516E825A" w:tentative="1">
      <w:start w:val="1"/>
      <w:numFmt w:val="lowerRoman"/>
      <w:lvlText w:val="%9."/>
      <w:lvlJc w:val="right"/>
      <w:pPr>
        <w:tabs>
          <w:tab w:val="num" w:pos="6480"/>
        </w:tabs>
        <w:ind w:left="6480" w:hanging="180"/>
      </w:pPr>
    </w:lvl>
  </w:abstractNum>
  <w:abstractNum w:abstractNumId="2">
    <w:nsid w:val="0D1502B8"/>
    <w:multiLevelType w:val="singleLevel"/>
    <w:tmpl w:val="E308647A"/>
    <w:lvl w:ilvl="0">
      <w:start w:val="4"/>
      <w:numFmt w:val="lowerLetter"/>
      <w:lvlText w:val="(%1)"/>
      <w:lvlJc w:val="left"/>
      <w:pPr>
        <w:tabs>
          <w:tab w:val="num" w:pos="450"/>
        </w:tabs>
        <w:ind w:left="450" w:hanging="450"/>
      </w:pPr>
      <w:rPr>
        <w:rFonts w:hint="default"/>
      </w:rPr>
    </w:lvl>
  </w:abstractNum>
  <w:abstractNum w:abstractNumId="3">
    <w:nsid w:val="1084542C"/>
    <w:multiLevelType w:val="singleLevel"/>
    <w:tmpl w:val="E640D6B6"/>
    <w:lvl w:ilvl="0">
      <w:start w:val="2"/>
      <w:numFmt w:val="lowerLetter"/>
      <w:lvlText w:val="(%1)"/>
      <w:lvlJc w:val="left"/>
      <w:pPr>
        <w:tabs>
          <w:tab w:val="num" w:pos="450"/>
        </w:tabs>
        <w:ind w:left="450" w:hanging="450"/>
      </w:pPr>
      <w:rPr>
        <w:rFonts w:hint="default"/>
      </w:rPr>
    </w:lvl>
  </w:abstractNum>
  <w:abstractNum w:abstractNumId="4">
    <w:nsid w:val="163F18AF"/>
    <w:multiLevelType w:val="singleLevel"/>
    <w:tmpl w:val="70003EA2"/>
    <w:lvl w:ilvl="0">
      <w:start w:val="5"/>
      <w:numFmt w:val="lowerLetter"/>
      <w:lvlText w:val="(%1)"/>
      <w:lvlJc w:val="left"/>
      <w:pPr>
        <w:tabs>
          <w:tab w:val="num" w:pos="450"/>
        </w:tabs>
        <w:ind w:left="450" w:hanging="450"/>
      </w:pPr>
      <w:rPr>
        <w:rFonts w:hint="default"/>
      </w:rPr>
    </w:lvl>
  </w:abstractNum>
  <w:abstractNum w:abstractNumId="5">
    <w:nsid w:val="1D810450"/>
    <w:multiLevelType w:val="singleLevel"/>
    <w:tmpl w:val="38F69570"/>
    <w:lvl w:ilvl="0">
      <w:start w:val="1"/>
      <w:numFmt w:val="lowerLetter"/>
      <w:lvlText w:val="(%1)"/>
      <w:lvlJc w:val="left"/>
      <w:pPr>
        <w:tabs>
          <w:tab w:val="num" w:pos="450"/>
        </w:tabs>
        <w:ind w:left="450" w:hanging="450"/>
      </w:pPr>
      <w:rPr>
        <w:rFonts w:hint="default"/>
      </w:rPr>
    </w:lvl>
  </w:abstractNum>
  <w:abstractNum w:abstractNumId="6">
    <w:nsid w:val="3193107F"/>
    <w:multiLevelType w:val="singleLevel"/>
    <w:tmpl w:val="07A45824"/>
    <w:lvl w:ilvl="0">
      <w:start w:val="1"/>
      <w:numFmt w:val="lowerLetter"/>
      <w:lvlText w:val="(%1)"/>
      <w:lvlJc w:val="left"/>
      <w:pPr>
        <w:tabs>
          <w:tab w:val="num" w:pos="450"/>
        </w:tabs>
        <w:ind w:left="450" w:hanging="450"/>
      </w:pPr>
      <w:rPr>
        <w:rFonts w:hint="default"/>
      </w:rPr>
    </w:lvl>
  </w:abstractNum>
  <w:abstractNum w:abstractNumId="7">
    <w:nsid w:val="42435994"/>
    <w:multiLevelType w:val="singleLevel"/>
    <w:tmpl w:val="92D21FFA"/>
    <w:lvl w:ilvl="0">
      <w:start w:val="11"/>
      <w:numFmt w:val="lowerLetter"/>
      <w:lvlText w:val="(%1)"/>
      <w:lvlJc w:val="left"/>
      <w:pPr>
        <w:tabs>
          <w:tab w:val="num" w:pos="450"/>
        </w:tabs>
        <w:ind w:left="450" w:hanging="450"/>
      </w:pPr>
      <w:rPr>
        <w:rFonts w:hint="default"/>
      </w:rPr>
    </w:lvl>
  </w:abstractNum>
  <w:abstractNum w:abstractNumId="8">
    <w:nsid w:val="475F4D89"/>
    <w:multiLevelType w:val="singleLevel"/>
    <w:tmpl w:val="8ED06900"/>
    <w:lvl w:ilvl="0">
      <w:start w:val="1"/>
      <w:numFmt w:val="lowerLetter"/>
      <w:lvlText w:val="(%1)"/>
      <w:lvlJc w:val="left"/>
      <w:pPr>
        <w:tabs>
          <w:tab w:val="num" w:pos="450"/>
        </w:tabs>
        <w:ind w:left="450" w:hanging="450"/>
      </w:pPr>
      <w:rPr>
        <w:rFonts w:hint="default"/>
      </w:rPr>
    </w:lvl>
  </w:abstractNum>
  <w:abstractNum w:abstractNumId="9">
    <w:nsid w:val="488D085E"/>
    <w:multiLevelType w:val="singleLevel"/>
    <w:tmpl w:val="6FCC7430"/>
    <w:lvl w:ilvl="0">
      <w:start w:val="1"/>
      <w:numFmt w:val="decimal"/>
      <w:lvlText w:val="%1"/>
      <w:lvlJc w:val="left"/>
      <w:pPr>
        <w:tabs>
          <w:tab w:val="num" w:pos="360"/>
        </w:tabs>
        <w:ind w:left="360" w:hanging="360"/>
      </w:pPr>
      <w:rPr>
        <w:rFonts w:hint="default"/>
      </w:rPr>
    </w:lvl>
  </w:abstractNum>
  <w:abstractNum w:abstractNumId="10">
    <w:nsid w:val="4C7730E1"/>
    <w:multiLevelType w:val="singleLevel"/>
    <w:tmpl w:val="BA68E03C"/>
    <w:lvl w:ilvl="0">
      <w:start w:val="1993"/>
      <w:numFmt w:val="decimal"/>
      <w:lvlText w:val="%1"/>
      <w:lvlJc w:val="left"/>
      <w:pPr>
        <w:tabs>
          <w:tab w:val="num" w:pos="7974"/>
        </w:tabs>
        <w:ind w:left="7974" w:hanging="3120"/>
      </w:pPr>
      <w:rPr>
        <w:rFonts w:hint="default"/>
      </w:rPr>
    </w:lvl>
  </w:abstractNum>
  <w:abstractNum w:abstractNumId="11">
    <w:nsid w:val="4EF018B0"/>
    <w:multiLevelType w:val="hybridMultilevel"/>
    <w:tmpl w:val="A1421160"/>
    <w:lvl w:ilvl="0" w:tplc="5590EF4E">
      <w:start w:val="1"/>
      <w:numFmt w:val="decimal"/>
      <w:lvlText w:val="%1"/>
      <w:lvlJc w:val="left"/>
      <w:pPr>
        <w:tabs>
          <w:tab w:val="num" w:pos="720"/>
        </w:tabs>
        <w:ind w:left="720" w:hanging="360"/>
      </w:pPr>
      <w:rPr>
        <w:rFonts w:hint="default"/>
      </w:rPr>
    </w:lvl>
    <w:lvl w:ilvl="1" w:tplc="4B2C2E78" w:tentative="1">
      <w:start w:val="1"/>
      <w:numFmt w:val="lowerLetter"/>
      <w:lvlText w:val="%2."/>
      <w:lvlJc w:val="left"/>
      <w:pPr>
        <w:tabs>
          <w:tab w:val="num" w:pos="1440"/>
        </w:tabs>
        <w:ind w:left="1440" w:hanging="360"/>
      </w:pPr>
    </w:lvl>
    <w:lvl w:ilvl="2" w:tplc="22D48380" w:tentative="1">
      <w:start w:val="1"/>
      <w:numFmt w:val="lowerRoman"/>
      <w:lvlText w:val="%3."/>
      <w:lvlJc w:val="right"/>
      <w:pPr>
        <w:tabs>
          <w:tab w:val="num" w:pos="2160"/>
        </w:tabs>
        <w:ind w:left="2160" w:hanging="180"/>
      </w:pPr>
    </w:lvl>
    <w:lvl w:ilvl="3" w:tplc="2C620A76" w:tentative="1">
      <w:start w:val="1"/>
      <w:numFmt w:val="decimal"/>
      <w:lvlText w:val="%4."/>
      <w:lvlJc w:val="left"/>
      <w:pPr>
        <w:tabs>
          <w:tab w:val="num" w:pos="2880"/>
        </w:tabs>
        <w:ind w:left="2880" w:hanging="360"/>
      </w:pPr>
    </w:lvl>
    <w:lvl w:ilvl="4" w:tplc="A9F6DCD0" w:tentative="1">
      <w:start w:val="1"/>
      <w:numFmt w:val="lowerLetter"/>
      <w:lvlText w:val="%5."/>
      <w:lvlJc w:val="left"/>
      <w:pPr>
        <w:tabs>
          <w:tab w:val="num" w:pos="3600"/>
        </w:tabs>
        <w:ind w:left="3600" w:hanging="360"/>
      </w:pPr>
    </w:lvl>
    <w:lvl w:ilvl="5" w:tplc="AD5C4D9C" w:tentative="1">
      <w:start w:val="1"/>
      <w:numFmt w:val="lowerRoman"/>
      <w:lvlText w:val="%6."/>
      <w:lvlJc w:val="right"/>
      <w:pPr>
        <w:tabs>
          <w:tab w:val="num" w:pos="4320"/>
        </w:tabs>
        <w:ind w:left="4320" w:hanging="180"/>
      </w:pPr>
    </w:lvl>
    <w:lvl w:ilvl="6" w:tplc="C0A897D6" w:tentative="1">
      <w:start w:val="1"/>
      <w:numFmt w:val="decimal"/>
      <w:lvlText w:val="%7."/>
      <w:lvlJc w:val="left"/>
      <w:pPr>
        <w:tabs>
          <w:tab w:val="num" w:pos="5040"/>
        </w:tabs>
        <w:ind w:left="5040" w:hanging="360"/>
      </w:pPr>
    </w:lvl>
    <w:lvl w:ilvl="7" w:tplc="9A80B6BA" w:tentative="1">
      <w:start w:val="1"/>
      <w:numFmt w:val="lowerLetter"/>
      <w:lvlText w:val="%8."/>
      <w:lvlJc w:val="left"/>
      <w:pPr>
        <w:tabs>
          <w:tab w:val="num" w:pos="5760"/>
        </w:tabs>
        <w:ind w:left="5760" w:hanging="360"/>
      </w:pPr>
    </w:lvl>
    <w:lvl w:ilvl="8" w:tplc="7EF054F8" w:tentative="1">
      <w:start w:val="1"/>
      <w:numFmt w:val="lowerRoman"/>
      <w:lvlText w:val="%9."/>
      <w:lvlJc w:val="right"/>
      <w:pPr>
        <w:tabs>
          <w:tab w:val="num" w:pos="6480"/>
        </w:tabs>
        <w:ind w:left="6480" w:hanging="180"/>
      </w:pPr>
    </w:lvl>
  </w:abstractNum>
  <w:abstractNum w:abstractNumId="12">
    <w:nsid w:val="50DB245A"/>
    <w:multiLevelType w:val="singleLevel"/>
    <w:tmpl w:val="97C60158"/>
    <w:lvl w:ilvl="0">
      <w:start w:val="1"/>
      <w:numFmt w:val="lowerLetter"/>
      <w:lvlText w:val="(%1)"/>
      <w:lvlJc w:val="left"/>
      <w:pPr>
        <w:tabs>
          <w:tab w:val="num" w:pos="450"/>
        </w:tabs>
        <w:ind w:left="450" w:hanging="450"/>
      </w:pPr>
      <w:rPr>
        <w:rFonts w:hint="default"/>
      </w:rPr>
    </w:lvl>
  </w:abstractNum>
  <w:abstractNum w:abstractNumId="13">
    <w:nsid w:val="53FE01AB"/>
    <w:multiLevelType w:val="hybridMultilevel"/>
    <w:tmpl w:val="9D7E82C6"/>
    <w:lvl w:ilvl="0" w:tplc="9404E8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F77C2F"/>
    <w:multiLevelType w:val="singleLevel"/>
    <w:tmpl w:val="D57C9A30"/>
    <w:lvl w:ilvl="0">
      <w:start w:val="10"/>
      <w:numFmt w:val="decimal"/>
      <w:lvlText w:val="%1"/>
      <w:lvlJc w:val="left"/>
      <w:pPr>
        <w:tabs>
          <w:tab w:val="num" w:pos="360"/>
        </w:tabs>
        <w:ind w:left="360" w:hanging="360"/>
      </w:pPr>
      <w:rPr>
        <w:rFonts w:hint="default"/>
      </w:rPr>
    </w:lvl>
  </w:abstractNum>
  <w:abstractNum w:abstractNumId="15">
    <w:nsid w:val="74F52DBF"/>
    <w:multiLevelType w:val="singleLevel"/>
    <w:tmpl w:val="45786BBC"/>
    <w:lvl w:ilvl="0">
      <w:start w:val="5"/>
      <w:numFmt w:val="lowerLetter"/>
      <w:lvlText w:val="(%1)"/>
      <w:lvlJc w:val="left"/>
      <w:pPr>
        <w:tabs>
          <w:tab w:val="num" w:pos="450"/>
        </w:tabs>
        <w:ind w:left="450" w:hanging="450"/>
      </w:pPr>
      <w:rPr>
        <w:rFonts w:hint="default"/>
      </w:rPr>
    </w:lvl>
  </w:abstractNum>
  <w:abstractNum w:abstractNumId="16">
    <w:nsid w:val="76415AF1"/>
    <w:multiLevelType w:val="singleLevel"/>
    <w:tmpl w:val="1C4E2B06"/>
    <w:lvl w:ilvl="0">
      <w:start w:val="1"/>
      <w:numFmt w:val="lowerLetter"/>
      <w:lvlText w:val="(%1)"/>
      <w:lvlJc w:val="left"/>
      <w:pPr>
        <w:tabs>
          <w:tab w:val="num" w:pos="450"/>
        </w:tabs>
        <w:ind w:left="450" w:hanging="450"/>
      </w:pPr>
      <w:rPr>
        <w:rFonts w:hint="default"/>
      </w:rPr>
    </w:lvl>
  </w:abstractNum>
  <w:abstractNum w:abstractNumId="17">
    <w:nsid w:val="76DE055D"/>
    <w:multiLevelType w:val="singleLevel"/>
    <w:tmpl w:val="D3E2242E"/>
    <w:lvl w:ilvl="0">
      <w:start w:val="1"/>
      <w:numFmt w:val="lowerLetter"/>
      <w:lvlText w:val="(%1)"/>
      <w:lvlJc w:val="left"/>
      <w:pPr>
        <w:tabs>
          <w:tab w:val="num" w:pos="450"/>
        </w:tabs>
        <w:ind w:left="450" w:hanging="45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0"/>
  </w:num>
  <w:num w:numId="9">
    <w:abstractNumId w:val="2"/>
  </w:num>
  <w:num w:numId="10">
    <w:abstractNumId w:val="14"/>
  </w:num>
  <w:num w:numId="11">
    <w:abstractNumId w:val="9"/>
  </w:num>
  <w:num w:numId="12">
    <w:abstractNumId w:val="16"/>
  </w:num>
  <w:num w:numId="13">
    <w:abstractNumId w:val="7"/>
  </w:num>
  <w:num w:numId="14">
    <w:abstractNumId w:val="15"/>
  </w:num>
  <w:num w:numId="15">
    <w:abstractNumId w:val="3"/>
  </w:num>
  <w:num w:numId="16">
    <w:abstractNumId w:val="8"/>
  </w:num>
  <w:num w:numId="17">
    <w:abstractNumId w:val="12"/>
  </w:num>
  <w:num w:numId="18">
    <w:abstractNumId w:val="1"/>
  </w:num>
  <w:num w:numId="19">
    <w:abstractNumId w:val="11"/>
  </w:num>
  <w:num w:numId="20">
    <w:abstractNumId w:val="17"/>
  </w:num>
  <w:num w:numId="21">
    <w:abstractNumId w:val="6"/>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ttachedTemplate r:id="rId1"/>
  <w:linkStyl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23_03_09.enl&lt;/item&gt;&lt;/Libraries&gt;&lt;/ENLibraries&gt;"/>
    <w:docVar w:name="EN_Doc_Font_List_Name" w:val="_x0001__x0001__x000f_Times New Roman"/>
    <w:docVar w:name="EN_Lib_Name_List_Name" w:val="1220_12_05.enl"/>
    <w:docVar w:name="EN_Main_Body_Style_Name" w:val="IUPAC"/>
  </w:docVars>
  <w:rsids>
    <w:rsidRoot w:val="007B4013"/>
    <w:rsid w:val="00044E48"/>
    <w:rsid w:val="001D5B1F"/>
    <w:rsid w:val="001D6205"/>
    <w:rsid w:val="001E2BCA"/>
    <w:rsid w:val="001F3E0E"/>
    <w:rsid w:val="00222EE9"/>
    <w:rsid w:val="002F5C5A"/>
    <w:rsid w:val="00304A1A"/>
    <w:rsid w:val="00395672"/>
    <w:rsid w:val="003D376A"/>
    <w:rsid w:val="00413D09"/>
    <w:rsid w:val="00421678"/>
    <w:rsid w:val="00477724"/>
    <w:rsid w:val="004A7EDE"/>
    <w:rsid w:val="004B6229"/>
    <w:rsid w:val="004E4292"/>
    <w:rsid w:val="005146FD"/>
    <w:rsid w:val="00541707"/>
    <w:rsid w:val="005A45AD"/>
    <w:rsid w:val="005C21B0"/>
    <w:rsid w:val="00662F38"/>
    <w:rsid w:val="006E7C85"/>
    <w:rsid w:val="006E7D65"/>
    <w:rsid w:val="0070324E"/>
    <w:rsid w:val="00757357"/>
    <w:rsid w:val="007B4013"/>
    <w:rsid w:val="007C2602"/>
    <w:rsid w:val="007F51EA"/>
    <w:rsid w:val="008102B6"/>
    <w:rsid w:val="00812E83"/>
    <w:rsid w:val="00836397"/>
    <w:rsid w:val="00840366"/>
    <w:rsid w:val="0088524C"/>
    <w:rsid w:val="00911F24"/>
    <w:rsid w:val="009725C0"/>
    <w:rsid w:val="00997CCB"/>
    <w:rsid w:val="009D34C5"/>
    <w:rsid w:val="009F76AE"/>
    <w:rsid w:val="00A0330E"/>
    <w:rsid w:val="00A61F8D"/>
    <w:rsid w:val="00A81E2D"/>
    <w:rsid w:val="00AE1A5D"/>
    <w:rsid w:val="00B017DC"/>
    <w:rsid w:val="00B840D0"/>
    <w:rsid w:val="00BC0A62"/>
    <w:rsid w:val="00C015E9"/>
    <w:rsid w:val="00C02919"/>
    <w:rsid w:val="00C05E1E"/>
    <w:rsid w:val="00C26A45"/>
    <w:rsid w:val="00C30251"/>
    <w:rsid w:val="00C35E43"/>
    <w:rsid w:val="00CA6636"/>
    <w:rsid w:val="00D169BC"/>
    <w:rsid w:val="00D76951"/>
    <w:rsid w:val="00DD7C30"/>
    <w:rsid w:val="00E22243"/>
    <w:rsid w:val="00ED3391"/>
    <w:rsid w:val="00EF3AB2"/>
    <w:rsid w:val="00F064C0"/>
    <w:rsid w:val="00FD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8D"/>
    <w:pPr>
      <w:spacing w:after="200"/>
      <w:jc w:val="both"/>
    </w:pPr>
    <w:rPr>
      <w:rFonts w:ascii="Calibri" w:eastAsia="Calibri" w:hAnsi="Calibri"/>
      <w:sz w:val="22"/>
      <w:szCs w:val="22"/>
      <w:lang w:eastAsia="en-US"/>
    </w:rPr>
  </w:style>
  <w:style w:type="paragraph" w:styleId="Heading1">
    <w:name w:val="heading 1"/>
    <w:basedOn w:val="Normal"/>
    <w:next w:val="Normal"/>
    <w:qFormat/>
    <w:pPr>
      <w:keepNext/>
      <w:spacing w:before="240" w:after="60" w:line="480" w:lineRule="auto"/>
      <w:outlineLvl w:val="0"/>
    </w:pPr>
    <w:rPr>
      <w:b/>
      <w:kern w:val="28"/>
    </w:rPr>
  </w:style>
  <w:style w:type="paragraph" w:styleId="Heading2">
    <w:name w:val="heading 2"/>
    <w:basedOn w:val="Normal"/>
    <w:next w:val="Normal"/>
    <w:qFormat/>
    <w:pPr>
      <w:spacing w:before="240" w:after="60" w:line="480" w:lineRule="auto"/>
      <w:outlineLvl w:val="1"/>
    </w:pPr>
    <w:rPr>
      <w:rFonts w:ascii="Times New Roman" w:hAnsi="Times New Roman"/>
      <w:b/>
      <w:i/>
      <w:szCs w:val="2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spacing w:before="120" w:line="264" w:lineRule="auto"/>
      <w:outlineLvl w:val="3"/>
    </w:pPr>
    <w:rPr>
      <w:rFonts w:ascii="Times New Roman" w:hAnsi="Times New Roman"/>
      <w:i/>
      <w:sz w:val="20"/>
      <w:szCs w:val="20"/>
    </w:rPr>
  </w:style>
  <w:style w:type="paragraph" w:styleId="Heading5">
    <w:name w:val="heading 5"/>
    <w:basedOn w:val="Normal"/>
    <w:next w:val="Normal"/>
    <w:qFormat/>
    <w:pPr>
      <w:keepNext/>
      <w:tabs>
        <w:tab w:val="left" w:pos="-1440"/>
        <w:tab w:val="left" w:pos="-720"/>
        <w:tab w:val="left" w:pos="444"/>
      </w:tabs>
      <w:outlineLvl w:val="4"/>
    </w:pPr>
    <w:rPr>
      <w:i/>
    </w:rPr>
  </w:style>
  <w:style w:type="paragraph" w:styleId="Heading6">
    <w:name w:val="heading 6"/>
    <w:basedOn w:val="Normal"/>
    <w:next w:val="Normal"/>
    <w:qFormat/>
    <w:pPr>
      <w:keepNext/>
      <w:tabs>
        <w:tab w:val="left" w:pos="-1440"/>
        <w:tab w:val="left" w:pos="-720"/>
        <w:tab w:val="left" w:pos="444"/>
      </w:tabs>
      <w:outlineLvl w:val="5"/>
    </w:pPr>
    <w:rPr>
      <w:b/>
      <w:bCs/>
      <w:szCs w:val="32"/>
      <w:lang w:val="en-US"/>
    </w:rPr>
  </w:style>
  <w:style w:type="paragraph" w:styleId="Heading7">
    <w:name w:val="heading 7"/>
    <w:basedOn w:val="Normal"/>
    <w:next w:val="Normal"/>
    <w:qFormat/>
    <w:pPr>
      <w:keepNext/>
      <w:tabs>
        <w:tab w:val="left" w:pos="0"/>
        <w:tab w:val="left" w:pos="444"/>
        <w:tab w:val="left" w:pos="720"/>
      </w:tabs>
      <w:suppressAutoHyphens/>
      <w:spacing w:line="240" w:lineRule="atLeast"/>
      <w:jc w:val="center"/>
      <w:outlineLvl w:val="6"/>
    </w:pPr>
    <w:rPr>
      <w:i/>
      <w:iCs/>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next w:val="Normal"/>
    <w:pPr>
      <w:pBdr>
        <w:top w:val="single" w:sz="18" w:space="1" w:color="auto"/>
        <w:left w:val="single" w:sz="18" w:space="1" w:color="auto"/>
        <w:bottom w:val="single" w:sz="18" w:space="1" w:color="auto"/>
        <w:right w:val="single" w:sz="18" w:space="1" w:color="auto"/>
      </w:pBdr>
      <w:ind w:right="4309"/>
      <w:outlineLvl w:val="9"/>
    </w:pPr>
    <w:rPr>
      <w:rFonts w:ascii="Times" w:hAnsi="Times"/>
      <w:i/>
      <w:caps/>
      <w:sz w:val="24"/>
    </w:rPr>
  </w:style>
  <w:style w:type="paragraph" w:customStyle="1" w:styleId="Style1">
    <w:name w:val="Style1"/>
    <w:pPr>
      <w:spacing w:before="360" w:after="120"/>
    </w:pPr>
    <w:rPr>
      <w:b/>
      <w:noProof/>
      <w:sz w:val="28"/>
      <w:lang w:eastAsia="en-US"/>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customStyle="1" w:styleId="Justified">
    <w:name w:val="Justified"/>
    <w:basedOn w:val="Normal"/>
    <w:pPr>
      <w:spacing w:after="100" w:line="360" w:lineRule="auto"/>
    </w:pPr>
    <w:rPr>
      <w:rFonts w:ascii="Times New Roman" w:hAnsi="Times New Roman"/>
      <w:sz w:val="24"/>
      <w:lang w:val="en-US"/>
    </w:rPr>
  </w:style>
  <w:style w:type="paragraph" w:customStyle="1" w:styleId="Centeredtext">
    <w:name w:val="Centered text"/>
    <w:pPr>
      <w:spacing w:before="120" w:after="120" w:line="480" w:lineRule="exact"/>
      <w:jc w:val="center"/>
    </w:pPr>
    <w:rPr>
      <w:rFonts w:ascii="Times" w:hAnsi="Times"/>
      <w:sz w:val="24"/>
      <w:lang w:eastAsia="en-US"/>
    </w:rPr>
  </w:style>
  <w:style w:type="paragraph" w:styleId="NormalIndent">
    <w:name w:val="Normal Indent"/>
    <w:basedOn w:val="Normal"/>
    <w:semiHidden/>
    <w:pPr>
      <w:spacing w:line="480" w:lineRule="auto"/>
      <w:ind w:firstLine="720"/>
    </w:pPr>
    <w:rPr>
      <w:rFonts w:ascii="Times New Roman" w:hAnsi="Times New Roman"/>
      <w:sz w:val="24"/>
    </w:rPr>
  </w:style>
  <w:style w:type="paragraph" w:customStyle="1" w:styleId="Reactions">
    <w:name w:val="Reactions"/>
    <w:semiHidden/>
    <w:pPr>
      <w:tabs>
        <w:tab w:val="left" w:pos="1296"/>
        <w:tab w:val="left" w:pos="4320"/>
        <w:tab w:val="right" w:pos="8641"/>
      </w:tabs>
      <w:spacing w:before="72" w:after="72" w:line="336" w:lineRule="exact"/>
    </w:pPr>
    <w:rPr>
      <w:rFonts w:ascii="Times" w:hAnsi="Times"/>
      <w:sz w:val="24"/>
      <w:lang w:eastAsia="en-US"/>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rPr>
      <w:rFonts w:ascii="Times" w:hAnsi="Times"/>
      <w:vanish/>
      <w:sz w:val="20"/>
    </w:rPr>
  </w:style>
  <w:style w:type="paragraph" w:customStyle="1" w:styleId="Style2">
    <w:name w:val="Style2"/>
    <w:basedOn w:val="Normal"/>
    <w:pPr>
      <w:spacing w:line="360" w:lineRule="auto"/>
    </w:pPr>
    <w:rPr>
      <w:rFonts w:ascii="Times New Roman" w:hAnsi="Times New Roman"/>
      <w:color w:val="FF0000"/>
      <w:sz w:val="24"/>
    </w:rPr>
  </w:style>
  <w:style w:type="character" w:customStyle="1" w:styleId="redtext">
    <w:name w:val="red_text"/>
    <w:rPr>
      <w:rFonts w:ascii="Times New Roman" w:hAnsi="Times New Roman"/>
      <w:color w:val="FF0000"/>
      <w:sz w:val="24"/>
    </w:rPr>
  </w:style>
  <w:style w:type="paragraph" w:customStyle="1" w:styleId="JGR-text">
    <w:name w:val="JGR-text"/>
    <w:basedOn w:val="Normal"/>
    <w:pPr>
      <w:tabs>
        <w:tab w:val="left" w:pos="215"/>
      </w:tabs>
      <w:spacing w:after="100" w:line="220" w:lineRule="exact"/>
      <w:ind w:right="4876"/>
    </w:pPr>
    <w:rPr>
      <w:rFonts w:ascii="Times New Roman" w:hAnsi="Times New Roman"/>
      <w:sz w:val="19"/>
      <w:lang w:val="en-US"/>
    </w:rPr>
  </w:style>
  <w:style w:type="paragraph" w:customStyle="1" w:styleId="JGR-HEAD1">
    <w:name w:val="JGR-HEAD1"/>
    <w:basedOn w:val="Heading1"/>
    <w:pPr>
      <w:numPr>
        <w:numId w:val="6"/>
      </w:numPr>
      <w:spacing w:before="290" w:after="120" w:line="240" w:lineRule="exact"/>
    </w:pPr>
    <w:rPr>
      <w:rFonts w:ascii="Times New Roman" w:hAnsi="Times New Roman"/>
      <w:lang w:val="en-US"/>
    </w:rPr>
  </w:style>
  <w:style w:type="paragraph" w:customStyle="1" w:styleId="JGR-EQN">
    <w:name w:val="JGR-EQN"/>
    <w:basedOn w:val="Reactions"/>
    <w:pPr>
      <w:spacing w:before="120" w:after="120" w:line="220" w:lineRule="exact"/>
      <w:ind w:right="4876"/>
    </w:pPr>
    <w:rPr>
      <w:rFonts w:ascii="Times New Roman" w:hAnsi="Times New Roman"/>
      <w:sz w:val="19"/>
      <w:lang w:val="en-US"/>
    </w:rPr>
  </w:style>
  <w:style w:type="paragraph" w:customStyle="1" w:styleId="JGR-REFs">
    <w:name w:val="JGR-REFs"/>
    <w:basedOn w:val="Normal"/>
    <w:pPr>
      <w:tabs>
        <w:tab w:val="left" w:pos="0"/>
        <w:tab w:val="left" w:pos="215"/>
        <w:tab w:val="left" w:pos="964"/>
      </w:tabs>
      <w:spacing w:after="100" w:line="180" w:lineRule="exact"/>
      <w:ind w:left="215" w:right="4876" w:hanging="215"/>
    </w:pPr>
    <w:rPr>
      <w:rFonts w:ascii="Times New Roman" w:hAnsi="Times New Roman"/>
      <w:sz w:val="17"/>
      <w:lang w:val="en-US"/>
    </w:rPr>
  </w:style>
  <w:style w:type="paragraph" w:customStyle="1" w:styleId="JGR-HEAD3">
    <w:name w:val="JGR-HEAD3"/>
    <w:basedOn w:val="Heading3"/>
    <w:pPr>
      <w:numPr>
        <w:ilvl w:val="2"/>
        <w:numId w:val="6"/>
      </w:numPr>
    </w:pPr>
    <w:rPr>
      <w:vertAlign w:val="subscript"/>
    </w:rPr>
  </w:style>
  <w:style w:type="paragraph" w:customStyle="1" w:styleId="table">
    <w:name w:val="table"/>
    <w:basedOn w:val="TOC1"/>
    <w:semiHidden/>
    <w:pPr>
      <w:tabs>
        <w:tab w:val="left" w:pos="480"/>
        <w:tab w:val="left" w:pos="567"/>
        <w:tab w:val="left" w:pos="7938"/>
      </w:tabs>
    </w:pPr>
    <w:rPr>
      <w:rFonts w:ascii="Times New Roman" w:hAnsi="Times New Roman"/>
      <w:caps/>
      <w:noProof/>
      <w:sz w:val="20"/>
      <w:szCs w:val="20"/>
    </w:rPr>
  </w:style>
  <w:style w:type="paragraph" w:styleId="TOC1">
    <w:name w:val="toc 1"/>
    <w:basedOn w:val="Normal"/>
    <w:next w:val="Normal"/>
    <w:autoRedefine/>
    <w:semiHidden/>
  </w:style>
  <w:style w:type="paragraph" w:styleId="BodyTextIndent">
    <w:name w:val="Body Text Indent"/>
    <w:basedOn w:val="Normal"/>
    <w:semiHidden/>
    <w:pPr>
      <w:tabs>
        <w:tab w:val="left" w:pos="-1440"/>
        <w:tab w:val="left" w:pos="-720"/>
        <w:tab w:val="left" w:pos="444"/>
      </w:tabs>
      <w:ind w:firstLine="444"/>
    </w:pPr>
  </w:style>
  <w:style w:type="paragraph" w:styleId="DocumentMap">
    <w:name w:val="Document Map"/>
    <w:basedOn w:val="Normal"/>
    <w:semiHidden/>
    <w:pPr>
      <w:shd w:val="clear" w:color="auto" w:fill="C6D5EC"/>
    </w:pPr>
    <w:rPr>
      <w:rFonts w:ascii="Lucida Grande" w:hAnsi="Lucida Grande"/>
      <w:szCs w:val="24"/>
    </w:rPr>
  </w:style>
  <w:style w:type="paragraph" w:customStyle="1" w:styleId="NewCenturySchl">
    <w:name w:val="New Century Schl"/>
    <w:basedOn w:val="Normal"/>
    <w:semiHidden/>
    <w:pPr>
      <w:ind w:right="6"/>
      <w:jc w:val="center"/>
    </w:pPr>
    <w:rPr>
      <w:sz w:val="20"/>
      <w:szCs w:val="20"/>
    </w:rPr>
  </w:style>
  <w:style w:type="paragraph" w:customStyle="1" w:styleId="Paraniveau2">
    <w:name w:val="Para. niveau 2"/>
    <w:basedOn w:val="Normal"/>
    <w:pPr>
      <w:spacing w:before="60" w:after="60"/>
      <w:ind w:left="567" w:right="6" w:hanging="284"/>
    </w:pPr>
    <w:rPr>
      <w:rFonts w:ascii="Times" w:hAnsi="Times" w:cs="Times"/>
      <w:sz w:val="20"/>
      <w:lang w:val="en-AU"/>
    </w:rPr>
  </w:style>
  <w:style w:type="paragraph" w:styleId="Footer">
    <w:name w:val="footer"/>
    <w:basedOn w:val="Normal"/>
    <w:semiHidden/>
    <w:pPr>
      <w:tabs>
        <w:tab w:val="center" w:pos="4819"/>
        <w:tab w:val="right" w:pos="9071"/>
      </w:tabs>
    </w:pPr>
  </w:style>
  <w:style w:type="paragraph" w:customStyle="1" w:styleId="Listenomme">
    <w:name w:val="Liste nommée"/>
    <w:basedOn w:val="Normal"/>
    <w:pPr>
      <w:tabs>
        <w:tab w:val="left" w:pos="284"/>
      </w:tabs>
      <w:ind w:left="1984" w:right="6" w:hanging="1984"/>
      <w:jc w:val="center"/>
    </w:pPr>
    <w:rPr>
      <w:rFonts w:ascii="Times" w:hAnsi="Times" w:cs="Times"/>
      <w:sz w:val="20"/>
      <w:lang w:val="en-AU"/>
    </w:rPr>
  </w:style>
  <w:style w:type="character" w:styleId="Hyperlink">
    <w:name w:val="Hyperlink"/>
    <w:semiHidden/>
    <w:rPr>
      <w:color w:val="0000FF"/>
      <w:u w:val="single"/>
    </w:rPr>
  </w:style>
  <w:style w:type="paragraph" w:customStyle="1" w:styleId="IUPACheadline">
    <w:name w:val="IUPAC head line"/>
    <w:next w:val="Normal"/>
    <w:autoRedefine/>
    <w:rsid w:val="00CA6636"/>
    <w:pPr>
      <w:spacing w:after="60"/>
    </w:pPr>
    <w:rPr>
      <w:rFonts w:cs="Times"/>
      <w:b/>
      <w:bCs/>
      <w:sz w:val="24"/>
      <w:szCs w:val="24"/>
      <w:lang w:val="en-AU" w:eastAsia="en-US"/>
    </w:rPr>
  </w:style>
  <w:style w:type="paragraph" w:customStyle="1" w:styleId="IUPACtopparagraph">
    <w:name w:val="IUPAC top paragraph"/>
    <w:basedOn w:val="Normal"/>
    <w:autoRedefine/>
    <w:pPr>
      <w:pBdr>
        <w:bottom w:val="single" w:sz="4" w:space="1" w:color="auto"/>
      </w:pBdr>
      <w:ind w:right="-7"/>
    </w:pPr>
    <w:rPr>
      <w:rFonts w:ascii="Times New Roman" w:hAnsi="Times New Roman"/>
    </w:rPr>
  </w:style>
  <w:style w:type="paragraph" w:customStyle="1" w:styleId="IUPACTitlereaction">
    <w:name w:val="IUPAC Title reaction"/>
    <w:next w:val="Normal"/>
    <w:autoRedefine/>
    <w:pPr>
      <w:spacing w:before="240" w:after="480"/>
      <w:jc w:val="center"/>
    </w:pPr>
    <w:rPr>
      <w:rFonts w:cs="Times"/>
      <w:b/>
      <w:sz w:val="24"/>
      <w:szCs w:val="24"/>
      <w:lang w:val="en-AU" w:eastAsia="en-US"/>
    </w:rPr>
  </w:style>
  <w:style w:type="paragraph" w:customStyle="1" w:styleId="IUPACTitle">
    <w:name w:val="IUPAC Title"/>
    <w:next w:val="Normal"/>
    <w:autoRedefine/>
    <w:rsid w:val="00CA6636"/>
    <w:pPr>
      <w:keepNext/>
      <w:jc w:val="center"/>
    </w:pPr>
    <w:rPr>
      <w:rFonts w:cs="Times"/>
      <w:b/>
      <w:sz w:val="24"/>
      <w:szCs w:val="24"/>
      <w:lang w:val="en-AU" w:eastAsia="en-US"/>
    </w:rPr>
  </w:style>
  <w:style w:type="paragraph" w:customStyle="1" w:styleId="IUPACcommenttext">
    <w:name w:val="IUPAC comment text"/>
    <w:autoRedefine/>
    <w:pPr>
      <w:spacing w:after="120"/>
      <w:ind w:left="425" w:hanging="425"/>
      <w:jc w:val="both"/>
    </w:pPr>
    <w:rPr>
      <w:rFonts w:cs="Times"/>
      <w:sz w:val="24"/>
      <w:szCs w:val="24"/>
      <w:lang w:val="en-AU" w:eastAsia="en-US"/>
    </w:rPr>
  </w:style>
  <w:style w:type="paragraph" w:customStyle="1" w:styleId="IUPACsubtitle">
    <w:name w:val="IUPAC subtitle"/>
    <w:pPr>
      <w:keepNext/>
      <w:tabs>
        <w:tab w:val="left" w:pos="-1440"/>
        <w:tab w:val="left" w:pos="-720"/>
        <w:tab w:val="left" w:pos="444"/>
      </w:tabs>
      <w:spacing w:before="240" w:after="120"/>
      <w:jc w:val="both"/>
    </w:pPr>
    <w:rPr>
      <w:rFonts w:ascii="Times" w:hAnsi="Times" w:cs="Times"/>
      <w:i/>
      <w:sz w:val="24"/>
      <w:szCs w:val="24"/>
      <w:lang w:eastAsia="en-US"/>
    </w:rPr>
  </w:style>
  <w:style w:type="paragraph" w:customStyle="1" w:styleId="IUPACreference">
    <w:name w:val="IUPAC reference"/>
    <w:autoRedefine/>
    <w:pPr>
      <w:keepLines/>
      <w:spacing w:after="60"/>
      <w:ind w:left="142" w:hanging="142"/>
      <w:jc w:val="both"/>
    </w:pPr>
    <w:rPr>
      <w:rFonts w:cs="Times"/>
      <w:sz w:val="24"/>
      <w:lang w:val="en-AU" w:eastAsia="en-US"/>
    </w:rPr>
  </w:style>
  <w:style w:type="paragraph" w:customStyle="1" w:styleId="IUPACexpcommenttext">
    <w:name w:val="IUPAC exp comment text"/>
    <w:autoRedefine/>
    <w:pPr>
      <w:spacing w:after="120"/>
      <w:ind w:left="425" w:hanging="425"/>
      <w:jc w:val="both"/>
    </w:pPr>
    <w:rPr>
      <w:rFonts w:cs="Times"/>
      <w:sz w:val="24"/>
      <w:szCs w:val="24"/>
      <w:lang w:val="en-AU" w:eastAsia="en-US"/>
    </w:rPr>
  </w:style>
  <w:style w:type="paragraph" w:customStyle="1" w:styleId="IUPACpreferredcommentstext">
    <w:name w:val="IUPAC preferred comments text"/>
    <w:basedOn w:val="Normal"/>
    <w:autoRedefine/>
    <w:rsid w:val="001E2BCA"/>
    <w:pPr>
      <w:spacing w:after="120"/>
    </w:pPr>
    <w:rPr>
      <w:rFonts w:ascii="Times New Roman" w:hAnsi="Times New Roman"/>
    </w:rPr>
  </w:style>
  <w:style w:type="character" w:styleId="PlaceholderText">
    <w:name w:val="Placeholder Text"/>
    <w:basedOn w:val="DefaultParagraphFont"/>
    <w:uiPriority w:val="99"/>
    <w:semiHidden/>
    <w:rsid w:val="005146FD"/>
    <w:rPr>
      <w:color w:val="808080"/>
    </w:rPr>
  </w:style>
  <w:style w:type="paragraph" w:styleId="BalloonText">
    <w:name w:val="Balloon Text"/>
    <w:basedOn w:val="Normal"/>
    <w:link w:val="BalloonTextChar"/>
    <w:uiPriority w:val="99"/>
    <w:semiHidden/>
    <w:unhideWhenUsed/>
    <w:rsid w:val="005146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8D"/>
    <w:pPr>
      <w:spacing w:after="200"/>
      <w:jc w:val="both"/>
    </w:pPr>
    <w:rPr>
      <w:rFonts w:ascii="Calibri" w:eastAsia="Calibri" w:hAnsi="Calibri"/>
      <w:sz w:val="22"/>
      <w:szCs w:val="22"/>
      <w:lang w:eastAsia="en-US"/>
    </w:rPr>
  </w:style>
  <w:style w:type="paragraph" w:styleId="Heading1">
    <w:name w:val="heading 1"/>
    <w:basedOn w:val="Normal"/>
    <w:next w:val="Normal"/>
    <w:qFormat/>
    <w:pPr>
      <w:keepNext/>
      <w:spacing w:before="240" w:after="60" w:line="480" w:lineRule="auto"/>
      <w:outlineLvl w:val="0"/>
    </w:pPr>
    <w:rPr>
      <w:b/>
      <w:kern w:val="28"/>
    </w:rPr>
  </w:style>
  <w:style w:type="paragraph" w:styleId="Heading2">
    <w:name w:val="heading 2"/>
    <w:basedOn w:val="Normal"/>
    <w:next w:val="Normal"/>
    <w:qFormat/>
    <w:pPr>
      <w:spacing w:before="240" w:after="60" w:line="480" w:lineRule="auto"/>
      <w:outlineLvl w:val="1"/>
    </w:pPr>
    <w:rPr>
      <w:rFonts w:ascii="Times New Roman" w:hAnsi="Times New Roman"/>
      <w:b/>
      <w:i/>
      <w:szCs w:val="2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spacing w:before="120" w:line="264" w:lineRule="auto"/>
      <w:outlineLvl w:val="3"/>
    </w:pPr>
    <w:rPr>
      <w:rFonts w:ascii="Times New Roman" w:hAnsi="Times New Roman"/>
      <w:i/>
      <w:sz w:val="20"/>
      <w:szCs w:val="20"/>
    </w:rPr>
  </w:style>
  <w:style w:type="paragraph" w:styleId="Heading5">
    <w:name w:val="heading 5"/>
    <w:basedOn w:val="Normal"/>
    <w:next w:val="Normal"/>
    <w:qFormat/>
    <w:pPr>
      <w:keepNext/>
      <w:tabs>
        <w:tab w:val="left" w:pos="-1440"/>
        <w:tab w:val="left" w:pos="-720"/>
        <w:tab w:val="left" w:pos="444"/>
      </w:tabs>
      <w:outlineLvl w:val="4"/>
    </w:pPr>
    <w:rPr>
      <w:i/>
    </w:rPr>
  </w:style>
  <w:style w:type="paragraph" w:styleId="Heading6">
    <w:name w:val="heading 6"/>
    <w:basedOn w:val="Normal"/>
    <w:next w:val="Normal"/>
    <w:qFormat/>
    <w:pPr>
      <w:keepNext/>
      <w:tabs>
        <w:tab w:val="left" w:pos="-1440"/>
        <w:tab w:val="left" w:pos="-720"/>
        <w:tab w:val="left" w:pos="444"/>
      </w:tabs>
      <w:outlineLvl w:val="5"/>
    </w:pPr>
    <w:rPr>
      <w:b/>
      <w:bCs/>
      <w:szCs w:val="32"/>
      <w:lang w:val="en-US"/>
    </w:rPr>
  </w:style>
  <w:style w:type="paragraph" w:styleId="Heading7">
    <w:name w:val="heading 7"/>
    <w:basedOn w:val="Normal"/>
    <w:next w:val="Normal"/>
    <w:qFormat/>
    <w:pPr>
      <w:keepNext/>
      <w:tabs>
        <w:tab w:val="left" w:pos="0"/>
        <w:tab w:val="left" w:pos="444"/>
        <w:tab w:val="left" w:pos="720"/>
      </w:tabs>
      <w:suppressAutoHyphens/>
      <w:spacing w:line="240" w:lineRule="atLeast"/>
      <w:jc w:val="center"/>
      <w:outlineLvl w:val="6"/>
    </w:pPr>
    <w:rPr>
      <w:i/>
      <w:iCs/>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next w:val="Normal"/>
    <w:pPr>
      <w:pBdr>
        <w:top w:val="single" w:sz="18" w:space="1" w:color="auto"/>
        <w:left w:val="single" w:sz="18" w:space="1" w:color="auto"/>
        <w:bottom w:val="single" w:sz="18" w:space="1" w:color="auto"/>
        <w:right w:val="single" w:sz="18" w:space="1" w:color="auto"/>
      </w:pBdr>
      <w:ind w:right="4309"/>
      <w:outlineLvl w:val="9"/>
    </w:pPr>
    <w:rPr>
      <w:rFonts w:ascii="Times" w:hAnsi="Times"/>
      <w:i/>
      <w:caps/>
      <w:sz w:val="24"/>
    </w:rPr>
  </w:style>
  <w:style w:type="paragraph" w:customStyle="1" w:styleId="Style1">
    <w:name w:val="Style1"/>
    <w:pPr>
      <w:spacing w:before="360" w:after="120"/>
    </w:pPr>
    <w:rPr>
      <w:b/>
      <w:noProof/>
      <w:sz w:val="28"/>
      <w:lang w:eastAsia="en-US"/>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customStyle="1" w:styleId="Justified">
    <w:name w:val="Justified"/>
    <w:basedOn w:val="Normal"/>
    <w:pPr>
      <w:spacing w:after="100" w:line="360" w:lineRule="auto"/>
    </w:pPr>
    <w:rPr>
      <w:rFonts w:ascii="Times New Roman" w:hAnsi="Times New Roman"/>
      <w:sz w:val="24"/>
      <w:lang w:val="en-US"/>
    </w:rPr>
  </w:style>
  <w:style w:type="paragraph" w:customStyle="1" w:styleId="Centeredtext">
    <w:name w:val="Centered text"/>
    <w:pPr>
      <w:spacing w:before="120" w:after="120" w:line="480" w:lineRule="exact"/>
      <w:jc w:val="center"/>
    </w:pPr>
    <w:rPr>
      <w:rFonts w:ascii="Times" w:hAnsi="Times"/>
      <w:sz w:val="24"/>
      <w:lang w:eastAsia="en-US"/>
    </w:rPr>
  </w:style>
  <w:style w:type="paragraph" w:styleId="NormalIndent">
    <w:name w:val="Normal Indent"/>
    <w:basedOn w:val="Normal"/>
    <w:semiHidden/>
    <w:pPr>
      <w:spacing w:line="480" w:lineRule="auto"/>
      <w:ind w:firstLine="720"/>
    </w:pPr>
    <w:rPr>
      <w:rFonts w:ascii="Times New Roman" w:hAnsi="Times New Roman"/>
      <w:sz w:val="24"/>
    </w:rPr>
  </w:style>
  <w:style w:type="paragraph" w:customStyle="1" w:styleId="Reactions">
    <w:name w:val="Reactions"/>
    <w:semiHidden/>
    <w:pPr>
      <w:tabs>
        <w:tab w:val="left" w:pos="1296"/>
        <w:tab w:val="left" w:pos="4320"/>
        <w:tab w:val="right" w:pos="8641"/>
      </w:tabs>
      <w:spacing w:before="72" w:after="72" w:line="336" w:lineRule="exact"/>
    </w:pPr>
    <w:rPr>
      <w:rFonts w:ascii="Times" w:hAnsi="Times"/>
      <w:sz w:val="24"/>
      <w:lang w:eastAsia="en-US"/>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rPr>
      <w:rFonts w:ascii="Times" w:hAnsi="Times"/>
      <w:vanish/>
      <w:sz w:val="20"/>
    </w:rPr>
  </w:style>
  <w:style w:type="paragraph" w:customStyle="1" w:styleId="Style2">
    <w:name w:val="Style2"/>
    <w:basedOn w:val="Normal"/>
    <w:pPr>
      <w:spacing w:line="360" w:lineRule="auto"/>
    </w:pPr>
    <w:rPr>
      <w:rFonts w:ascii="Times New Roman" w:hAnsi="Times New Roman"/>
      <w:color w:val="FF0000"/>
      <w:sz w:val="24"/>
    </w:rPr>
  </w:style>
  <w:style w:type="character" w:customStyle="1" w:styleId="redtext">
    <w:name w:val="red_text"/>
    <w:rPr>
      <w:rFonts w:ascii="Times New Roman" w:hAnsi="Times New Roman"/>
      <w:color w:val="FF0000"/>
      <w:sz w:val="24"/>
    </w:rPr>
  </w:style>
  <w:style w:type="paragraph" w:customStyle="1" w:styleId="JGR-text">
    <w:name w:val="JGR-text"/>
    <w:basedOn w:val="Normal"/>
    <w:pPr>
      <w:tabs>
        <w:tab w:val="left" w:pos="215"/>
      </w:tabs>
      <w:spacing w:after="100" w:line="220" w:lineRule="exact"/>
      <w:ind w:right="4876"/>
    </w:pPr>
    <w:rPr>
      <w:rFonts w:ascii="Times New Roman" w:hAnsi="Times New Roman"/>
      <w:sz w:val="19"/>
      <w:lang w:val="en-US"/>
    </w:rPr>
  </w:style>
  <w:style w:type="paragraph" w:customStyle="1" w:styleId="JGR-HEAD1">
    <w:name w:val="JGR-HEAD1"/>
    <w:basedOn w:val="Heading1"/>
    <w:pPr>
      <w:numPr>
        <w:numId w:val="6"/>
      </w:numPr>
      <w:spacing w:before="290" w:after="120" w:line="240" w:lineRule="exact"/>
    </w:pPr>
    <w:rPr>
      <w:rFonts w:ascii="Times New Roman" w:hAnsi="Times New Roman"/>
      <w:lang w:val="en-US"/>
    </w:rPr>
  </w:style>
  <w:style w:type="paragraph" w:customStyle="1" w:styleId="JGR-EQN">
    <w:name w:val="JGR-EQN"/>
    <w:basedOn w:val="Reactions"/>
    <w:pPr>
      <w:spacing w:before="120" w:after="120" w:line="220" w:lineRule="exact"/>
      <w:ind w:right="4876"/>
    </w:pPr>
    <w:rPr>
      <w:rFonts w:ascii="Times New Roman" w:hAnsi="Times New Roman"/>
      <w:sz w:val="19"/>
      <w:lang w:val="en-US"/>
    </w:rPr>
  </w:style>
  <w:style w:type="paragraph" w:customStyle="1" w:styleId="JGR-REFs">
    <w:name w:val="JGR-REFs"/>
    <w:basedOn w:val="Normal"/>
    <w:pPr>
      <w:tabs>
        <w:tab w:val="left" w:pos="0"/>
        <w:tab w:val="left" w:pos="215"/>
        <w:tab w:val="left" w:pos="964"/>
      </w:tabs>
      <w:spacing w:after="100" w:line="180" w:lineRule="exact"/>
      <w:ind w:left="215" w:right="4876" w:hanging="215"/>
    </w:pPr>
    <w:rPr>
      <w:rFonts w:ascii="Times New Roman" w:hAnsi="Times New Roman"/>
      <w:sz w:val="17"/>
      <w:lang w:val="en-US"/>
    </w:rPr>
  </w:style>
  <w:style w:type="paragraph" w:customStyle="1" w:styleId="JGR-HEAD3">
    <w:name w:val="JGR-HEAD3"/>
    <w:basedOn w:val="Heading3"/>
    <w:pPr>
      <w:numPr>
        <w:ilvl w:val="2"/>
        <w:numId w:val="6"/>
      </w:numPr>
    </w:pPr>
    <w:rPr>
      <w:vertAlign w:val="subscript"/>
    </w:rPr>
  </w:style>
  <w:style w:type="paragraph" w:customStyle="1" w:styleId="table">
    <w:name w:val="table"/>
    <w:basedOn w:val="TOC1"/>
    <w:semiHidden/>
    <w:pPr>
      <w:tabs>
        <w:tab w:val="left" w:pos="480"/>
        <w:tab w:val="left" w:pos="567"/>
        <w:tab w:val="left" w:pos="7938"/>
      </w:tabs>
    </w:pPr>
    <w:rPr>
      <w:rFonts w:ascii="Times New Roman" w:hAnsi="Times New Roman"/>
      <w:caps/>
      <w:noProof/>
      <w:sz w:val="20"/>
      <w:szCs w:val="20"/>
    </w:rPr>
  </w:style>
  <w:style w:type="paragraph" w:styleId="TOC1">
    <w:name w:val="toc 1"/>
    <w:basedOn w:val="Normal"/>
    <w:next w:val="Normal"/>
    <w:autoRedefine/>
    <w:semiHidden/>
  </w:style>
  <w:style w:type="paragraph" w:styleId="BodyTextIndent">
    <w:name w:val="Body Text Indent"/>
    <w:basedOn w:val="Normal"/>
    <w:semiHidden/>
    <w:pPr>
      <w:tabs>
        <w:tab w:val="left" w:pos="-1440"/>
        <w:tab w:val="left" w:pos="-720"/>
        <w:tab w:val="left" w:pos="444"/>
      </w:tabs>
      <w:ind w:firstLine="444"/>
    </w:pPr>
  </w:style>
  <w:style w:type="paragraph" w:styleId="DocumentMap">
    <w:name w:val="Document Map"/>
    <w:basedOn w:val="Normal"/>
    <w:semiHidden/>
    <w:pPr>
      <w:shd w:val="clear" w:color="auto" w:fill="C6D5EC"/>
    </w:pPr>
    <w:rPr>
      <w:rFonts w:ascii="Lucida Grande" w:hAnsi="Lucida Grande"/>
      <w:szCs w:val="24"/>
    </w:rPr>
  </w:style>
  <w:style w:type="paragraph" w:customStyle="1" w:styleId="NewCenturySchl">
    <w:name w:val="New Century Schl"/>
    <w:basedOn w:val="Normal"/>
    <w:semiHidden/>
    <w:pPr>
      <w:ind w:right="6"/>
      <w:jc w:val="center"/>
    </w:pPr>
    <w:rPr>
      <w:sz w:val="20"/>
      <w:szCs w:val="20"/>
    </w:rPr>
  </w:style>
  <w:style w:type="paragraph" w:customStyle="1" w:styleId="Paraniveau2">
    <w:name w:val="Para. niveau 2"/>
    <w:basedOn w:val="Normal"/>
    <w:pPr>
      <w:spacing w:before="60" w:after="60"/>
      <w:ind w:left="567" w:right="6" w:hanging="284"/>
    </w:pPr>
    <w:rPr>
      <w:rFonts w:ascii="Times" w:hAnsi="Times" w:cs="Times"/>
      <w:sz w:val="20"/>
      <w:lang w:val="en-AU"/>
    </w:rPr>
  </w:style>
  <w:style w:type="paragraph" w:styleId="Footer">
    <w:name w:val="footer"/>
    <w:basedOn w:val="Normal"/>
    <w:semiHidden/>
    <w:pPr>
      <w:tabs>
        <w:tab w:val="center" w:pos="4819"/>
        <w:tab w:val="right" w:pos="9071"/>
      </w:tabs>
    </w:pPr>
  </w:style>
  <w:style w:type="paragraph" w:customStyle="1" w:styleId="Listenomme">
    <w:name w:val="Liste nommée"/>
    <w:basedOn w:val="Normal"/>
    <w:pPr>
      <w:tabs>
        <w:tab w:val="left" w:pos="284"/>
      </w:tabs>
      <w:ind w:left="1984" w:right="6" w:hanging="1984"/>
      <w:jc w:val="center"/>
    </w:pPr>
    <w:rPr>
      <w:rFonts w:ascii="Times" w:hAnsi="Times" w:cs="Times"/>
      <w:sz w:val="20"/>
      <w:lang w:val="en-AU"/>
    </w:rPr>
  </w:style>
  <w:style w:type="character" w:styleId="Hyperlink">
    <w:name w:val="Hyperlink"/>
    <w:semiHidden/>
    <w:rPr>
      <w:color w:val="0000FF"/>
      <w:u w:val="single"/>
    </w:rPr>
  </w:style>
  <w:style w:type="paragraph" w:customStyle="1" w:styleId="IUPACheadline">
    <w:name w:val="IUPAC head line"/>
    <w:next w:val="Normal"/>
    <w:autoRedefine/>
    <w:rsid w:val="00CA6636"/>
    <w:pPr>
      <w:spacing w:after="60"/>
    </w:pPr>
    <w:rPr>
      <w:rFonts w:cs="Times"/>
      <w:b/>
      <w:bCs/>
      <w:sz w:val="24"/>
      <w:szCs w:val="24"/>
      <w:lang w:val="en-AU" w:eastAsia="en-US"/>
    </w:rPr>
  </w:style>
  <w:style w:type="paragraph" w:customStyle="1" w:styleId="IUPACtopparagraph">
    <w:name w:val="IUPAC top paragraph"/>
    <w:basedOn w:val="Normal"/>
    <w:autoRedefine/>
    <w:pPr>
      <w:pBdr>
        <w:bottom w:val="single" w:sz="4" w:space="1" w:color="auto"/>
      </w:pBdr>
      <w:ind w:right="-7"/>
    </w:pPr>
    <w:rPr>
      <w:rFonts w:ascii="Times New Roman" w:hAnsi="Times New Roman"/>
    </w:rPr>
  </w:style>
  <w:style w:type="paragraph" w:customStyle="1" w:styleId="IUPACTitlereaction">
    <w:name w:val="IUPAC Title reaction"/>
    <w:next w:val="Normal"/>
    <w:autoRedefine/>
    <w:pPr>
      <w:spacing w:before="240" w:after="480"/>
      <w:jc w:val="center"/>
    </w:pPr>
    <w:rPr>
      <w:rFonts w:cs="Times"/>
      <w:b/>
      <w:sz w:val="24"/>
      <w:szCs w:val="24"/>
      <w:lang w:val="en-AU" w:eastAsia="en-US"/>
    </w:rPr>
  </w:style>
  <w:style w:type="paragraph" w:customStyle="1" w:styleId="IUPACTitle">
    <w:name w:val="IUPAC Title"/>
    <w:next w:val="Normal"/>
    <w:autoRedefine/>
    <w:rsid w:val="00CA6636"/>
    <w:pPr>
      <w:keepNext/>
      <w:jc w:val="center"/>
    </w:pPr>
    <w:rPr>
      <w:rFonts w:cs="Times"/>
      <w:b/>
      <w:sz w:val="24"/>
      <w:szCs w:val="24"/>
      <w:lang w:val="en-AU" w:eastAsia="en-US"/>
    </w:rPr>
  </w:style>
  <w:style w:type="paragraph" w:customStyle="1" w:styleId="IUPACcommenttext">
    <w:name w:val="IUPAC comment text"/>
    <w:autoRedefine/>
    <w:pPr>
      <w:spacing w:after="120"/>
      <w:ind w:left="425" w:hanging="425"/>
      <w:jc w:val="both"/>
    </w:pPr>
    <w:rPr>
      <w:rFonts w:cs="Times"/>
      <w:sz w:val="24"/>
      <w:szCs w:val="24"/>
      <w:lang w:val="en-AU" w:eastAsia="en-US"/>
    </w:rPr>
  </w:style>
  <w:style w:type="paragraph" w:customStyle="1" w:styleId="IUPACsubtitle">
    <w:name w:val="IUPAC subtitle"/>
    <w:pPr>
      <w:keepNext/>
      <w:tabs>
        <w:tab w:val="left" w:pos="-1440"/>
        <w:tab w:val="left" w:pos="-720"/>
        <w:tab w:val="left" w:pos="444"/>
      </w:tabs>
      <w:spacing w:before="240" w:after="120"/>
      <w:jc w:val="both"/>
    </w:pPr>
    <w:rPr>
      <w:rFonts w:ascii="Times" w:hAnsi="Times" w:cs="Times"/>
      <w:i/>
      <w:sz w:val="24"/>
      <w:szCs w:val="24"/>
      <w:lang w:eastAsia="en-US"/>
    </w:rPr>
  </w:style>
  <w:style w:type="paragraph" w:customStyle="1" w:styleId="IUPACreference">
    <w:name w:val="IUPAC reference"/>
    <w:autoRedefine/>
    <w:pPr>
      <w:keepLines/>
      <w:spacing w:after="60"/>
      <w:ind w:left="142" w:hanging="142"/>
      <w:jc w:val="both"/>
    </w:pPr>
    <w:rPr>
      <w:rFonts w:cs="Times"/>
      <w:sz w:val="24"/>
      <w:lang w:val="en-AU" w:eastAsia="en-US"/>
    </w:rPr>
  </w:style>
  <w:style w:type="paragraph" w:customStyle="1" w:styleId="IUPACexpcommenttext">
    <w:name w:val="IUPAC exp comment text"/>
    <w:autoRedefine/>
    <w:pPr>
      <w:spacing w:after="120"/>
      <w:ind w:left="425" w:hanging="425"/>
      <w:jc w:val="both"/>
    </w:pPr>
    <w:rPr>
      <w:rFonts w:cs="Times"/>
      <w:sz w:val="24"/>
      <w:szCs w:val="24"/>
      <w:lang w:val="en-AU" w:eastAsia="en-US"/>
    </w:rPr>
  </w:style>
  <w:style w:type="paragraph" w:customStyle="1" w:styleId="IUPACpreferredcommentstext">
    <w:name w:val="IUPAC preferred comments text"/>
    <w:basedOn w:val="Normal"/>
    <w:autoRedefine/>
    <w:rsid w:val="001E2BCA"/>
    <w:pPr>
      <w:spacing w:after="120"/>
    </w:pPr>
    <w:rPr>
      <w:rFonts w:ascii="Times New Roman" w:hAnsi="Times New Roman"/>
    </w:rPr>
  </w:style>
  <w:style w:type="character" w:styleId="PlaceholderText">
    <w:name w:val="Placeholder Text"/>
    <w:basedOn w:val="DefaultParagraphFont"/>
    <w:uiPriority w:val="99"/>
    <w:semiHidden/>
    <w:rsid w:val="005146FD"/>
    <w:rPr>
      <w:color w:val="808080"/>
    </w:rPr>
  </w:style>
  <w:style w:type="paragraph" w:styleId="BalloonText">
    <w:name w:val="Balloon Text"/>
    <w:basedOn w:val="Normal"/>
    <w:link w:val="BalloonTextChar"/>
    <w:uiPriority w:val="99"/>
    <w:semiHidden/>
    <w:unhideWhenUsed/>
    <w:rsid w:val="005146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F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upac.pole-ethe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69C25C5-1614-40E9-96DE-46607C7B5B2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 + CH3OH  HCl + CH2OH</vt:lpstr>
    </vt:vector>
  </TitlesOfParts>
  <Company>MPI-Chemie</Company>
  <LinksUpToDate>false</LinksUpToDate>
  <CharactersWithSpaces>6654</CharactersWithSpaces>
  <SharedDoc>false</SharedDoc>
  <HLinks>
    <vt:vector size="12" baseType="variant">
      <vt:variant>
        <vt:i4>4390923</vt:i4>
      </vt:variant>
      <vt:variant>
        <vt:i4>5</vt:i4>
      </vt:variant>
      <vt:variant>
        <vt:i4>0</vt:i4>
      </vt:variant>
      <vt:variant>
        <vt:i4>5</vt:i4>
      </vt:variant>
      <vt:variant>
        <vt:lpwstr/>
      </vt:variant>
      <vt:variant>
        <vt:lpwstr>_ENREF_29</vt:lpwstr>
      </vt: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 + CH3OH  HCl + CH2OH</dc:title>
  <dc:creator>John Crowley</dc:creator>
  <cp:lastModifiedBy>Crowley</cp:lastModifiedBy>
  <cp:revision>25</cp:revision>
  <cp:lastPrinted>2009-06-10T10:59:00Z</cp:lastPrinted>
  <dcterms:created xsi:type="dcterms:W3CDTF">2016-05-31T07:39:00Z</dcterms:created>
  <dcterms:modified xsi:type="dcterms:W3CDTF">2016-12-01T07:57:00Z</dcterms:modified>
</cp:coreProperties>
</file>