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E21159">
        <w:t>AQ_TH1_OH_4</w:t>
      </w:r>
    </w:p>
    <w:p w:rsidR="00FF48E6" w:rsidRDefault="00FF48E6" w:rsidP="00FF48E6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  <w:t xml:space="preserve">The citation for this datasheet is: IUPAC Task Group on Atmospheric Chemical Kinetic Data Evaluation, </w:t>
      </w:r>
      <w:hyperlink r:id="rId6" w:history="1">
        <w:r>
          <w:rPr>
            <w:rStyle w:val="Lienhypertexte"/>
          </w:rPr>
          <w:t>http://iupac.pole-ether.fr</w:t>
        </w:r>
      </w:hyperlink>
      <w:r>
        <w:t>.</w:t>
      </w:r>
    </w:p>
    <w:p w:rsidR="00D25403" w:rsidRPr="00702C8F" w:rsidRDefault="008A4EE3" w:rsidP="00702C8F">
      <w:pPr>
        <w:pStyle w:val="IUPACtopparagraph"/>
      </w:pPr>
      <w:r>
        <w:t xml:space="preserve">This datasheet last evaluated: </w:t>
      </w:r>
      <w:r w:rsidR="00E21159" w:rsidRPr="007F4C67">
        <w:t>May 201</w:t>
      </w:r>
      <w:r w:rsidR="00E21159">
        <w:t>7</w:t>
      </w:r>
      <w:r w:rsidR="00E21159" w:rsidRPr="007F4C67">
        <w:t>; last change in preferred values: May 201</w:t>
      </w:r>
      <w:r w:rsidR="00A55AF6">
        <w:t>7</w:t>
      </w:r>
    </w:p>
    <w:p w:rsidR="00C958C8" w:rsidRPr="008820EB" w:rsidRDefault="00C958C8" w:rsidP="00C958C8">
      <w:pPr>
        <w:jc w:val="center"/>
      </w:pPr>
    </w:p>
    <w:p w:rsidR="00B26A4C" w:rsidRPr="00253345" w:rsidRDefault="00B26A4C" w:rsidP="00C958C8">
      <w:pPr>
        <w:ind w:left="1440"/>
        <w:rPr>
          <w:b/>
          <w:lang w:val="pt-BR"/>
        </w:rPr>
      </w:pPr>
      <w:r w:rsidRPr="00253345">
        <w:rPr>
          <w:b/>
          <w:lang w:val="pt-BR"/>
        </w:rPr>
        <w:t>OH</w:t>
      </w:r>
      <w:r w:rsidR="00270156"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 xml:space="preserve">(aq) + </w:t>
      </w:r>
      <w:r w:rsidR="000969E4" w:rsidRPr="00253345">
        <w:rPr>
          <w:b/>
          <w:lang w:val="pt-BR"/>
        </w:rPr>
        <w:t>(COOH)</w:t>
      </w:r>
      <w:r w:rsidR="000969E4" w:rsidRPr="00253345">
        <w:rPr>
          <w:b/>
          <w:vertAlign w:val="subscript"/>
          <w:lang w:val="pt-BR"/>
        </w:rPr>
        <w:t>2</w:t>
      </w:r>
      <w:r w:rsidRPr="00253345">
        <w:rPr>
          <w:b/>
          <w:lang w:val="pt-BR"/>
        </w:rPr>
        <w:t xml:space="preserve">(aq) </w:t>
      </w:r>
      <w:r w:rsidR="00270156" w:rsidRPr="00253345">
        <w:rPr>
          <w:b/>
          <w:lang w:val="pt-BR"/>
        </w:rPr>
        <w:tab/>
      </w:r>
      <w:r w:rsidR="00253345">
        <w:rPr>
          <w:b/>
          <w:lang w:val="pt-BR"/>
        </w:rPr>
        <w:tab/>
      </w:r>
      <w:r w:rsidRPr="00253345">
        <w:rPr>
          <w:b/>
          <w:lang w:val="de-DE"/>
        </w:rPr>
        <w:sym w:font="Symbol" w:char="F0AE"/>
      </w:r>
      <w:r w:rsidRPr="00253345">
        <w:rPr>
          <w:b/>
          <w:lang w:val="pt-BR"/>
        </w:rPr>
        <w:t xml:space="preserve"> </w:t>
      </w:r>
      <w:r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>OOC-COOH</w:t>
      </w:r>
      <w:r w:rsidR="00687A07" w:rsidRPr="00253345">
        <w:rPr>
          <w:b/>
          <w:lang w:val="pt-BR"/>
        </w:rPr>
        <w:t>(aq)</w:t>
      </w:r>
      <w:r w:rsidR="00C26534" w:rsidRPr="00253345">
        <w:rPr>
          <w:b/>
          <w:lang w:val="pt-BR"/>
        </w:rPr>
        <w:tab/>
      </w:r>
      <w:r w:rsidRPr="00253345">
        <w:rPr>
          <w:b/>
          <w:lang w:val="pt-BR"/>
        </w:rPr>
        <w:t>+ H</w:t>
      </w:r>
      <w:r w:rsidRPr="00253345">
        <w:rPr>
          <w:b/>
          <w:vertAlign w:val="subscript"/>
          <w:lang w:val="pt-BR"/>
        </w:rPr>
        <w:t>2</w:t>
      </w:r>
      <w:r w:rsidR="00687A07" w:rsidRPr="00253345">
        <w:rPr>
          <w:b/>
          <w:lang w:val="pt-BR"/>
        </w:rPr>
        <w:t>O</w:t>
      </w:r>
      <w:r w:rsidR="00C958C8" w:rsidRPr="00253345">
        <w:rPr>
          <w:b/>
          <w:lang w:val="pt-BR"/>
        </w:rPr>
        <w:tab/>
      </w:r>
      <w:r w:rsidR="00253345">
        <w:rPr>
          <w:b/>
          <w:lang w:val="pt-BR"/>
        </w:rPr>
        <w:tab/>
      </w:r>
      <w:r w:rsidR="00C958C8" w:rsidRPr="00253345">
        <w:rPr>
          <w:b/>
          <w:lang w:val="pt-BR"/>
        </w:rPr>
        <w:t>(1)</w:t>
      </w:r>
    </w:p>
    <w:p w:rsidR="00C958C8" w:rsidRPr="00253345" w:rsidRDefault="00C958C8" w:rsidP="00C958C8">
      <w:pPr>
        <w:ind w:left="1440"/>
        <w:rPr>
          <w:b/>
          <w:lang w:val="pt-BR"/>
        </w:rPr>
      </w:pPr>
      <w:r w:rsidRPr="00253345">
        <w:rPr>
          <w:b/>
          <w:lang w:val="pt-BR"/>
        </w:rPr>
        <w:t>OH</w:t>
      </w:r>
      <w:r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 xml:space="preserve">(aq) + </w:t>
      </w:r>
      <w:r w:rsidRPr="00253345">
        <w:rPr>
          <w:b/>
          <w:vertAlign w:val="superscript"/>
          <w:lang w:val="pt-BR"/>
        </w:rPr>
        <w:t>-</w:t>
      </w:r>
      <w:r w:rsidRPr="00253345">
        <w:rPr>
          <w:b/>
          <w:lang w:val="pt-BR"/>
        </w:rPr>
        <w:t>OOC-COOH(aq)</w:t>
      </w:r>
      <w:r w:rsidR="00253345">
        <w:rPr>
          <w:b/>
          <w:lang w:val="pt-BR"/>
        </w:rPr>
        <w:t xml:space="preserve"> </w:t>
      </w:r>
      <w:r w:rsidR="00253345">
        <w:rPr>
          <w:b/>
          <w:lang w:val="pt-BR"/>
        </w:rPr>
        <w:tab/>
      </w:r>
      <w:r w:rsidRPr="00253345">
        <w:rPr>
          <w:b/>
        </w:rPr>
        <w:sym w:font="Symbol" w:char="F0AE"/>
      </w:r>
      <w:r w:rsidRPr="00253345">
        <w:rPr>
          <w:b/>
          <w:lang w:val="pt-BR"/>
        </w:rPr>
        <w:t xml:space="preserve"> </w:t>
      </w:r>
      <w:r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>OOC-COOH</w:t>
      </w:r>
      <w:r w:rsidR="00687A07" w:rsidRPr="00253345">
        <w:rPr>
          <w:b/>
          <w:lang w:val="pt-BR"/>
        </w:rPr>
        <w:t>(aq)</w:t>
      </w:r>
      <w:r w:rsidRPr="00253345">
        <w:rPr>
          <w:b/>
          <w:lang w:val="pt-BR"/>
        </w:rPr>
        <w:t>+ OH</w:t>
      </w:r>
      <w:r w:rsidRPr="00253345">
        <w:rPr>
          <w:b/>
          <w:vertAlign w:val="superscript"/>
          <w:lang w:val="pt-BR"/>
        </w:rPr>
        <w:t>-</w:t>
      </w:r>
      <w:r w:rsidRPr="00253345">
        <w:rPr>
          <w:b/>
          <w:lang w:val="pt-BR"/>
        </w:rPr>
        <w:t xml:space="preserve">(aq) </w:t>
      </w:r>
      <w:r w:rsidRPr="00253345">
        <w:rPr>
          <w:b/>
          <w:lang w:val="pt-BR"/>
        </w:rPr>
        <w:tab/>
        <w:t>(2)</w:t>
      </w:r>
    </w:p>
    <w:p w:rsidR="00270156" w:rsidRPr="00253345" w:rsidRDefault="00270156" w:rsidP="00270156">
      <w:pPr>
        <w:ind w:left="1440"/>
        <w:rPr>
          <w:b/>
          <w:lang w:val="pt-BR"/>
        </w:rPr>
      </w:pPr>
      <w:r w:rsidRPr="00253345">
        <w:rPr>
          <w:b/>
          <w:lang w:val="pt-BR"/>
        </w:rPr>
        <w:t>OH</w:t>
      </w:r>
      <w:r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 xml:space="preserve">(aq) + </w:t>
      </w:r>
      <w:r w:rsidRPr="00253345">
        <w:rPr>
          <w:b/>
          <w:vertAlign w:val="superscript"/>
          <w:lang w:val="pt-BR"/>
        </w:rPr>
        <w:t>-</w:t>
      </w:r>
      <w:r w:rsidRPr="00253345">
        <w:rPr>
          <w:b/>
          <w:lang w:val="pt-BR"/>
        </w:rPr>
        <w:t>OOC-COO</w:t>
      </w:r>
      <w:r w:rsidRPr="00253345">
        <w:rPr>
          <w:b/>
          <w:vertAlign w:val="superscript"/>
          <w:lang w:val="pt-BR"/>
        </w:rPr>
        <w:t>-</w:t>
      </w:r>
      <w:r w:rsidRPr="00253345">
        <w:rPr>
          <w:b/>
          <w:lang w:val="pt-BR"/>
        </w:rPr>
        <w:t xml:space="preserve">(aq) </w:t>
      </w:r>
      <w:r w:rsidRPr="00253345">
        <w:rPr>
          <w:b/>
          <w:lang w:val="pt-BR"/>
        </w:rPr>
        <w:tab/>
      </w:r>
      <w:r w:rsidR="00253345">
        <w:rPr>
          <w:b/>
          <w:lang w:val="pt-BR"/>
        </w:rPr>
        <w:tab/>
      </w:r>
      <w:r w:rsidRPr="00253345">
        <w:rPr>
          <w:b/>
        </w:rPr>
        <w:sym w:font="Symbol" w:char="F0AE"/>
      </w:r>
      <w:r w:rsidRPr="00253345">
        <w:rPr>
          <w:b/>
          <w:lang w:val="pt-BR"/>
        </w:rPr>
        <w:t xml:space="preserve"> </w:t>
      </w:r>
      <w:r w:rsidRPr="00253345">
        <w:rPr>
          <w:rFonts w:cs="Times New Roman"/>
          <w:b/>
          <w:vertAlign w:val="superscript"/>
          <w:lang w:val="pt-BR"/>
        </w:rPr>
        <w:t>·</w:t>
      </w:r>
      <w:r w:rsidRPr="00253345">
        <w:rPr>
          <w:b/>
          <w:lang w:val="pt-BR"/>
        </w:rPr>
        <w:t>OOC-COO</w:t>
      </w:r>
      <w:r w:rsidRPr="00253345">
        <w:rPr>
          <w:b/>
          <w:vertAlign w:val="superscript"/>
          <w:lang w:val="pt-BR"/>
        </w:rPr>
        <w:t>-</w:t>
      </w:r>
      <w:r w:rsidR="00687A07" w:rsidRPr="00253345">
        <w:rPr>
          <w:b/>
          <w:lang w:val="pt-BR"/>
        </w:rPr>
        <w:t>(aq)</w:t>
      </w:r>
      <w:r w:rsidR="00C26534" w:rsidRPr="00253345">
        <w:rPr>
          <w:b/>
          <w:lang w:val="pt-BR"/>
        </w:rPr>
        <w:tab/>
      </w:r>
      <w:r w:rsidRPr="00253345">
        <w:rPr>
          <w:b/>
          <w:lang w:val="pt-BR"/>
        </w:rPr>
        <w:t>+ OH</w:t>
      </w:r>
      <w:r w:rsidRPr="00253345">
        <w:rPr>
          <w:b/>
          <w:vertAlign w:val="superscript"/>
          <w:lang w:val="pt-BR"/>
        </w:rPr>
        <w:t>-</w:t>
      </w:r>
      <w:r w:rsidRPr="00253345">
        <w:rPr>
          <w:b/>
          <w:lang w:val="pt-BR"/>
        </w:rPr>
        <w:t xml:space="preserve">(aq) </w:t>
      </w:r>
      <w:r w:rsidR="00253345">
        <w:rPr>
          <w:b/>
          <w:lang w:val="pt-BR"/>
        </w:rPr>
        <w:tab/>
      </w:r>
      <w:r w:rsidRPr="00253345">
        <w:rPr>
          <w:b/>
          <w:lang w:val="pt-BR"/>
        </w:rPr>
        <w:t>(3)</w:t>
      </w:r>
    </w:p>
    <w:p w:rsidR="00C958C8" w:rsidRPr="00C958C8" w:rsidRDefault="00C958C8" w:rsidP="00C958C8">
      <w:pPr>
        <w:rPr>
          <w:lang w:val="pt-BR"/>
        </w:rPr>
      </w:pPr>
    </w:p>
    <w:p w:rsidR="00C958C8" w:rsidRPr="00C958C8" w:rsidRDefault="00C958C8" w:rsidP="00C958C8">
      <w:pPr>
        <w:rPr>
          <w:lang w:val="pt-BR"/>
        </w:rPr>
      </w:pPr>
    </w:p>
    <w:p w:rsidR="00E21159" w:rsidRDefault="00E21159" w:rsidP="00E2115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hAnsi="Symbol"/>
          <w:spacing w:val="-3"/>
          <w:lang w:val="en-US"/>
        </w:rPr>
        <w:t></w:t>
      </w:r>
      <w:r>
        <w:rPr>
          <w:i/>
          <w:spacing w:val="-3"/>
          <w:lang w:val="en-US"/>
        </w:rPr>
        <w:t>G</w:t>
      </w:r>
      <w:r>
        <w:rPr>
          <w:i/>
          <w:spacing w:val="-3"/>
          <w:vertAlign w:val="subscript"/>
          <w:lang w:val="en-US"/>
        </w:rPr>
        <w:t>R</w:t>
      </w:r>
      <w:r>
        <w:rPr>
          <w:iCs/>
          <w:spacing w:val="-3"/>
          <w:lang w:val="en-US"/>
        </w:rPr>
        <w:sym w:font="Symbol" w:char="F0B0"/>
      </w:r>
      <w:r>
        <w:rPr>
          <w:iCs/>
          <w:spacing w:val="-3"/>
          <w:lang w:val="en-US"/>
        </w:rPr>
        <w:t xml:space="preserve"> (aq)</w:t>
      </w:r>
      <w:r>
        <w:t>: Aqueous phase thermochemical data not available. Gas phase data for comparison also not available.</w:t>
      </w:r>
    </w:p>
    <w:p w:rsidR="00C958C8" w:rsidRDefault="00C958C8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B26A4C" w:rsidRDefault="00B26A4C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26A4C" w:rsidRPr="00F726F5" w:rsidRDefault="00B26A4C" w:rsidP="00B26A4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B26A4C" w:rsidRDefault="00B26A4C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137"/>
        <w:gridCol w:w="1137"/>
        <w:gridCol w:w="1402"/>
        <w:gridCol w:w="1690"/>
        <w:gridCol w:w="23"/>
        <w:gridCol w:w="1525"/>
        <w:gridCol w:w="15"/>
      </w:tblGrid>
      <w:tr w:rsidR="00B26A4C" w:rsidRPr="00821651" w:rsidTr="00C26534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26A4C" w:rsidRPr="00821651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4C" w:rsidRPr="00821651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4C" w:rsidRPr="003D1543" w:rsidRDefault="00B26A4C" w:rsidP="000E2CC9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pH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4C" w:rsidRPr="003D1543" w:rsidRDefault="00B26A4C" w:rsidP="000E2CC9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I</w:t>
            </w:r>
            <w:r w:rsidRPr="003D15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5521E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5521E" w:rsidRPr="0005521E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4C" w:rsidRPr="00821651" w:rsidRDefault="00B26A4C" w:rsidP="000E2CC9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821651">
              <w:rPr>
                <w:b w:val="0"/>
                <w:szCs w:val="24"/>
              </w:rPr>
              <w:t>Reference</w:t>
            </w:r>
          </w:p>
        </w:tc>
        <w:tc>
          <w:tcPr>
            <w:tcW w:w="1563" w:type="dxa"/>
            <w:gridSpan w:val="3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26A4C" w:rsidRPr="00821651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B26A4C" w:rsidTr="000E2CC9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8"/>
            <w:vAlign w:val="center"/>
          </w:tcPr>
          <w:p w:rsidR="00B26A4C" w:rsidRDefault="00C67C68" w:rsidP="000E2CC9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B26A4C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C81008" w:rsidRPr="00FA0C8D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008" w:rsidRPr="00DF34AF" w:rsidRDefault="00181391" w:rsidP="0018139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181391">
              <w:rPr>
                <w:rFonts w:ascii="Times New Roman" w:hAnsi="Times New Roman" w:cs="Times New Roman"/>
                <w:spacing w:val="-2"/>
                <w:vertAlign w:val="subscript"/>
                <w:lang w:val="en-US"/>
              </w:rPr>
              <w:t>1/2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 w:rsidR="00C81008">
              <w:rPr>
                <w:spacing w:val="-2"/>
                <w:lang w:val="en-CA"/>
              </w:rPr>
              <w:t xml:space="preserve">3.2 </w:t>
            </w:r>
            <w:r w:rsidR="00C81008" w:rsidRPr="00364535">
              <w:rPr>
                <w:spacing w:val="-3"/>
                <w:lang w:val="en-US"/>
              </w:rPr>
              <w:sym w:font="Symbol" w:char="F0B4"/>
            </w:r>
            <w:r w:rsidR="00C81008" w:rsidRPr="00364535">
              <w:rPr>
                <w:spacing w:val="-2"/>
                <w:lang w:val="fr-FR"/>
              </w:rPr>
              <w:t xml:space="preserve"> 10</w:t>
            </w:r>
            <w:r w:rsidR="00C81008">
              <w:rPr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DF34AF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DF34AF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DF34AF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08" w:rsidRPr="00FA0C8D" w:rsidRDefault="00C81008" w:rsidP="0025334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Scholes </w:t>
            </w:r>
            <w:r w:rsidR="00253345">
              <w:rPr>
                <w:spacing w:val="-2"/>
                <w:lang w:val="en-CA"/>
              </w:rPr>
              <w:t>and Willson</w:t>
            </w:r>
            <w:r>
              <w:rPr>
                <w:spacing w:val="-2"/>
                <w:lang w:val="en-CA"/>
              </w:rPr>
              <w:t>, 1967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1008" w:rsidRPr="00FA0C8D" w:rsidRDefault="00251A44" w:rsidP="00622389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</w:t>
            </w:r>
            <w:r w:rsidR="00C81008">
              <w:rPr>
                <w:spacing w:val="-2"/>
                <w:lang w:val="en-US"/>
              </w:rPr>
              <w:t>-UV/Vis</w:t>
            </w:r>
            <w:r>
              <w:rPr>
                <w:spacing w:val="-2"/>
                <w:lang w:val="en-US"/>
              </w:rPr>
              <w:t xml:space="preserve"> </w:t>
            </w:r>
            <w:r w:rsidR="00C81008" w:rsidRPr="00FA0C8D">
              <w:rPr>
                <w:spacing w:val="-2"/>
                <w:lang w:val="en-US"/>
              </w:rPr>
              <w:t>(</w:t>
            </w:r>
            <w:r w:rsidR="00622389">
              <w:rPr>
                <w:spacing w:val="-2"/>
                <w:lang w:val="en-US"/>
              </w:rPr>
              <w:t>a</w:t>
            </w:r>
            <w:r w:rsidR="00C81008" w:rsidRPr="00FA0C8D">
              <w:rPr>
                <w:spacing w:val="-2"/>
                <w:lang w:val="en-US"/>
              </w:rPr>
              <w:t>)</w:t>
            </w:r>
          </w:p>
        </w:tc>
      </w:tr>
      <w:tr w:rsidR="0005521E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6A0635">
              <w:rPr>
                <w:spacing w:val="-2"/>
                <w:vertAlign w:val="subscript"/>
                <w:lang w:val="de-DE"/>
              </w:rPr>
              <w:t>1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>(</w:t>
            </w:r>
            <w:r>
              <w:rPr>
                <w:spacing w:val="-2"/>
                <w:lang w:val="fr-FR"/>
              </w:rPr>
              <w:t>1.0 ± 0.1)</w:t>
            </w:r>
            <w:r w:rsidRPr="008B73EC">
              <w:rPr>
                <w:spacing w:val="-2"/>
                <w:lang w:val="de-DE"/>
              </w:rPr>
              <w:t xml:space="preserve">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0.5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1E" w:rsidRPr="008B73EC" w:rsidRDefault="00251A4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en-CA"/>
              </w:rPr>
              <w:t>Getoff</w:t>
            </w:r>
            <w:r w:rsidR="0005521E" w:rsidRPr="000E2CC9">
              <w:rPr>
                <w:spacing w:val="-2"/>
                <w:lang w:val="en-CA"/>
              </w:rPr>
              <w:t xml:space="preserve"> </w:t>
            </w:r>
            <w:r w:rsidR="0005521E" w:rsidRPr="008B73EC">
              <w:rPr>
                <w:spacing w:val="-2"/>
                <w:lang w:val="de-DE"/>
              </w:rPr>
              <w:t>et al., 1971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521E" w:rsidRPr="008B73EC" w:rsidRDefault="0005521E" w:rsidP="0005521E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B73EC">
              <w:rPr>
                <w:spacing w:val="-2"/>
                <w:lang w:val="de-DE"/>
              </w:rPr>
              <w:t>PR</w:t>
            </w:r>
            <w:r w:rsidRPr="002E55A3">
              <w:rPr>
                <w:spacing w:val="-2"/>
                <w:lang w:val="en-CA"/>
              </w:rPr>
              <w:t>-UV/Vis</w:t>
            </w:r>
            <w:r w:rsidRPr="008B73EC">
              <w:rPr>
                <w:spacing w:val="-2"/>
                <w:lang w:val="de-DE"/>
              </w:rPr>
              <w:t xml:space="preserve"> (</w:t>
            </w:r>
            <w:r>
              <w:rPr>
                <w:spacing w:val="-2"/>
                <w:lang w:val="de-DE"/>
              </w:rPr>
              <w:t>b</w:t>
            </w:r>
            <w:r w:rsidRPr="008B73EC">
              <w:rPr>
                <w:spacing w:val="-2"/>
                <w:lang w:val="de-DE"/>
              </w:rPr>
              <w:t>)</w:t>
            </w:r>
          </w:p>
        </w:tc>
      </w:tr>
      <w:tr w:rsidR="0005521E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521E" w:rsidRPr="00DF34AF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en-CA"/>
              </w:rPr>
              <w:t xml:space="preserve">(3.2 </w:t>
            </w:r>
            <w:r>
              <w:rPr>
                <w:spacing w:val="-2"/>
                <w:lang w:val="fr-FR"/>
              </w:rPr>
              <w:t>± 0.1)</w:t>
            </w:r>
            <w:r w:rsidRPr="00DF34AF">
              <w:rPr>
                <w:spacing w:val="-2"/>
                <w:lang w:val="en-CA"/>
              </w:rPr>
              <w:t xml:space="preserve">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DF34AF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DF34AF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DF34AF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1E" w:rsidRPr="00DF34AF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05521E" w:rsidRPr="00DF34AF" w:rsidRDefault="0005521E" w:rsidP="0062238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</w:tr>
      <w:tr w:rsidR="0005521E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521E" w:rsidRPr="008B73EC" w:rsidRDefault="0005521E" w:rsidP="006A0635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3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(5.</w:t>
            </w:r>
            <w:r>
              <w:rPr>
                <w:spacing w:val="-2"/>
                <w:lang w:val="de-DE"/>
              </w:rPr>
              <w:t xml:space="preserve">3 </w:t>
            </w:r>
            <w:r>
              <w:rPr>
                <w:spacing w:val="-2"/>
                <w:lang w:val="fr-FR"/>
              </w:rPr>
              <w:t>± 0.3)</w:t>
            </w:r>
            <w:r w:rsidRPr="008B73EC">
              <w:rPr>
                <w:spacing w:val="-2"/>
                <w:lang w:val="de-DE"/>
              </w:rPr>
              <w:t xml:space="preserve">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1E" w:rsidRPr="008B73EC" w:rsidRDefault="0005521E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521E" w:rsidRPr="004115E8" w:rsidRDefault="0005521E" w:rsidP="00622389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</w:tr>
      <w:tr w:rsidR="00C81008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008" w:rsidRPr="008B73EC" w:rsidRDefault="006A0635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6A0635">
              <w:rPr>
                <w:spacing w:val="-2"/>
                <w:vertAlign w:val="subscript"/>
                <w:lang w:val="de-DE"/>
              </w:rPr>
              <w:t>1</w:t>
            </w:r>
            <w:r>
              <w:rPr>
                <w:spacing w:val="-2"/>
                <w:lang w:val="de-DE"/>
              </w:rPr>
              <w:t> = </w:t>
            </w:r>
            <w:r w:rsidR="00C81008">
              <w:rPr>
                <w:spacing w:val="-2"/>
                <w:lang w:val="de-DE"/>
              </w:rPr>
              <w:t xml:space="preserve">1.4 </w:t>
            </w:r>
            <w:r w:rsidR="00C81008" w:rsidRPr="00364535">
              <w:rPr>
                <w:spacing w:val="-3"/>
                <w:lang w:val="en-US"/>
              </w:rPr>
              <w:sym w:font="Symbol" w:char="F0B4"/>
            </w:r>
            <w:r w:rsidR="00C81008" w:rsidRPr="00364535">
              <w:rPr>
                <w:spacing w:val="-2"/>
                <w:lang w:val="fr-FR"/>
              </w:rPr>
              <w:t xml:space="preserve"> 10</w:t>
            </w:r>
            <w:r w:rsidR="00C81008">
              <w:rPr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251A4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0.5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08" w:rsidRPr="000E2CC9" w:rsidRDefault="00C81008" w:rsidP="00C8100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Buxton et al., 1988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1008" w:rsidRDefault="00021552" w:rsidP="00251A44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CA"/>
              </w:rPr>
              <w:t>Recalculated value</w:t>
            </w:r>
            <w:r w:rsidR="00251A44">
              <w:rPr>
                <w:spacing w:val="-2"/>
                <w:lang w:val="en-CA"/>
              </w:rPr>
              <w:t xml:space="preserve"> </w:t>
            </w:r>
            <w:r w:rsidR="00622389">
              <w:rPr>
                <w:spacing w:val="-2"/>
                <w:lang w:val="en-CA"/>
              </w:rPr>
              <w:t>(</w:t>
            </w:r>
            <w:r w:rsidR="00251A44">
              <w:rPr>
                <w:spacing w:val="-2"/>
                <w:lang w:val="en-CA"/>
              </w:rPr>
              <w:t>c</w:t>
            </w:r>
            <w:r w:rsidR="00622389">
              <w:rPr>
                <w:spacing w:val="-2"/>
                <w:lang w:val="en-CA"/>
              </w:rPr>
              <w:t>)</w:t>
            </w:r>
          </w:p>
        </w:tc>
      </w:tr>
      <w:tr w:rsidR="00C81008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008" w:rsidRPr="008B73EC" w:rsidRDefault="006A0635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> = </w:t>
            </w:r>
            <w:r w:rsidR="00C81008">
              <w:rPr>
                <w:spacing w:val="-2"/>
                <w:lang w:val="de-DE"/>
              </w:rPr>
              <w:t xml:space="preserve">4.7 </w:t>
            </w:r>
            <w:r w:rsidR="00C81008" w:rsidRPr="00364535">
              <w:rPr>
                <w:spacing w:val="-3"/>
                <w:lang w:val="en-US"/>
              </w:rPr>
              <w:sym w:font="Symbol" w:char="F0B4"/>
            </w:r>
            <w:r w:rsidR="00C81008" w:rsidRPr="00364535">
              <w:rPr>
                <w:spacing w:val="-2"/>
                <w:lang w:val="fr-FR"/>
              </w:rPr>
              <w:t xml:space="preserve"> 10</w:t>
            </w:r>
            <w:r w:rsidR="00C81008">
              <w:rPr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251A4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C81008" w:rsidRPr="00DF34AF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008" w:rsidRPr="008B73EC" w:rsidRDefault="006A0635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3</w:t>
            </w:r>
            <w:r>
              <w:rPr>
                <w:spacing w:val="-2"/>
                <w:lang w:val="de-DE"/>
              </w:rPr>
              <w:t> = </w:t>
            </w:r>
            <w:r w:rsidR="00C81008">
              <w:rPr>
                <w:spacing w:val="-2"/>
                <w:lang w:val="de-DE"/>
              </w:rPr>
              <w:t xml:space="preserve">7.7 </w:t>
            </w:r>
            <w:r w:rsidR="00C81008" w:rsidRPr="00364535">
              <w:rPr>
                <w:spacing w:val="-3"/>
                <w:lang w:val="en-US"/>
              </w:rPr>
              <w:sym w:font="Symbol" w:char="F0B4"/>
            </w:r>
            <w:r w:rsidR="00C81008" w:rsidRPr="00364535">
              <w:rPr>
                <w:spacing w:val="-2"/>
                <w:lang w:val="fr-FR"/>
              </w:rPr>
              <w:t xml:space="preserve"> 10</w:t>
            </w:r>
            <w:r w:rsidR="00C81008">
              <w:rPr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251A4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08" w:rsidRPr="008B73EC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</w:tcPr>
          <w:p w:rsidR="00C81008" w:rsidRDefault="00C81008" w:rsidP="004006E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C26534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534" w:rsidRPr="006B5440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fr-FR"/>
              </w:rPr>
              <w:t xml:space="preserve">(1.9 ± 0.6)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364535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8F63FC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8F63FC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34" w:rsidRPr="00DF34AF" w:rsidRDefault="00C26534" w:rsidP="00687A0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DF34AF">
              <w:rPr>
                <w:spacing w:val="-2"/>
                <w:lang w:val="en-CA"/>
              </w:rPr>
              <w:t>Erve</w:t>
            </w:r>
            <w:r>
              <w:rPr>
                <w:spacing w:val="-2"/>
                <w:lang w:val="en-CA"/>
              </w:rPr>
              <w:t>ns</w:t>
            </w:r>
            <w:r w:rsidRPr="00DF34AF">
              <w:rPr>
                <w:spacing w:val="-2"/>
                <w:lang w:val="en-CA"/>
              </w:rPr>
              <w:t xml:space="preserve"> et al., 2003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6534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DF34AF">
              <w:rPr>
                <w:spacing w:val="-2"/>
                <w:lang w:val="en-CA"/>
              </w:rPr>
              <w:t>LP(</w:t>
            </w:r>
            <w:r>
              <w:rPr>
                <w:spacing w:val="-2"/>
                <w:lang w:val="en-CA"/>
              </w:rPr>
              <w:t>d</w:t>
            </w:r>
            <w:r w:rsidRPr="00DF34AF">
              <w:rPr>
                <w:spacing w:val="-2"/>
                <w:lang w:val="en-CA"/>
              </w:rPr>
              <w:t>)</w:t>
            </w:r>
          </w:p>
        </w:tc>
      </w:tr>
      <w:tr w:rsidR="00C26534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534" w:rsidRDefault="00C26534" w:rsidP="00FF48E6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> = </w:t>
            </w:r>
            <w:r>
              <w:rPr>
                <w:spacing w:val="-2"/>
                <w:lang w:val="fr-FR"/>
              </w:rPr>
              <w:t xml:space="preserve">2.5 </w:t>
            </w:r>
            <w:r w:rsidRPr="00BC1087">
              <w:rPr>
                <w:spacing w:val="-3"/>
                <w:lang w:val="en-US"/>
              </w:rPr>
              <w:sym w:font="Symbol" w:char="F0B4"/>
            </w:r>
            <w:r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12</w:t>
            </w:r>
            <w:r>
              <w:rPr>
                <w:spacing w:val="-2"/>
                <w:lang w:val="fr-FR"/>
              </w:rPr>
              <w:t xml:space="preserve"> exp[(</w:t>
            </w:r>
            <w:r>
              <w:rPr>
                <w:spacing w:val="-2"/>
                <w:lang w:val="fr-FR"/>
              </w:rPr>
              <w:noBreakHyphen/>
              <w:t xml:space="preserve">2800 </w:t>
            </w:r>
            <w:r w:rsidRPr="00BC1087">
              <w:rPr>
                <w:spacing w:val="-2"/>
                <w:lang w:val="fr-FR"/>
              </w:rPr>
              <w:t>±</w:t>
            </w:r>
            <w:r>
              <w:rPr>
                <w:spacing w:val="-2"/>
                <w:lang w:val="fr-FR"/>
              </w:rPr>
              <w:t xml:space="preserve"> 500)/T]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534" w:rsidRDefault="001228B4" w:rsidP="006A0635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288 - 32</w:t>
            </w:r>
            <w:r w:rsidR="00C26534">
              <w:rPr>
                <w:spacing w:val="-2"/>
                <w:lang w:val="fr-FR"/>
              </w:rPr>
              <w:t>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34" w:rsidRPr="008F63FC" w:rsidRDefault="00C26534" w:rsidP="006A063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534" w:rsidRPr="008F63FC" w:rsidRDefault="00C26534" w:rsidP="006A063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34" w:rsidRPr="00DF34AF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6534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C26534" w:rsidRPr="004115E8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534" w:rsidRPr="006B5440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3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fr-FR"/>
              </w:rPr>
              <w:t xml:space="preserve">(1.6 ± 0.6)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364535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8F63FC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34" w:rsidRPr="008F63FC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534" w:rsidRPr="00DF34AF" w:rsidRDefault="00C26534" w:rsidP="00C8100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6534" w:rsidRPr="004115E8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</w:tr>
      <w:tr w:rsidR="00C26534" w:rsidRPr="004115E8" w:rsidTr="00F45DD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534" w:rsidRDefault="00C26534" w:rsidP="004006E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3</w:t>
            </w:r>
            <w:r>
              <w:rPr>
                <w:spacing w:val="-2"/>
                <w:lang w:val="de-DE"/>
              </w:rPr>
              <w:t> = </w:t>
            </w:r>
            <w:r>
              <w:rPr>
                <w:spacing w:val="-2"/>
                <w:lang w:val="fr-FR"/>
              </w:rPr>
              <w:t xml:space="preserve">4.6 </w:t>
            </w:r>
            <w:r w:rsidRPr="00BC1087">
              <w:rPr>
                <w:spacing w:val="-3"/>
                <w:lang w:val="en-US"/>
              </w:rPr>
              <w:sym w:font="Symbol" w:char="F0B4"/>
            </w:r>
            <w:r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14</w:t>
            </w:r>
            <w:r>
              <w:rPr>
                <w:spacing w:val="-2"/>
                <w:lang w:val="fr-FR"/>
              </w:rPr>
              <w:t xml:space="preserve"> exp[(</w:t>
            </w:r>
            <w:r>
              <w:rPr>
                <w:spacing w:val="-2"/>
                <w:lang w:val="fr-FR"/>
              </w:rPr>
              <w:noBreakHyphen/>
              <w:t xml:space="preserve">4300 </w:t>
            </w:r>
            <w:r w:rsidRPr="00BC1087">
              <w:rPr>
                <w:spacing w:val="-2"/>
                <w:lang w:val="fr-FR"/>
              </w:rPr>
              <w:t>±</w:t>
            </w:r>
            <w:r>
              <w:rPr>
                <w:spacing w:val="-2"/>
                <w:lang w:val="fr-FR"/>
              </w:rPr>
              <w:t xml:space="preserve"> 1200)/T]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534" w:rsidRDefault="001228B4" w:rsidP="00FF48E6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288 - 32</w:t>
            </w:r>
            <w:r w:rsidR="00C26534">
              <w:rPr>
                <w:spacing w:val="-2"/>
                <w:lang w:val="fr-FR"/>
              </w:rPr>
              <w:t>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4" w:rsidRPr="00782B33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534" w:rsidRPr="00782B33" w:rsidRDefault="00C26534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4" w:rsidRPr="00782B33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534" w:rsidRPr="004115E8" w:rsidRDefault="00C26534" w:rsidP="00E57B9C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</w:tr>
      <w:tr w:rsidR="00270156" w:rsidRPr="004115E8" w:rsidTr="0027015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27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156" w:rsidRDefault="00270156" w:rsidP="00270156">
            <w:pPr>
              <w:suppressAutoHyphens/>
              <w:spacing w:line="263" w:lineRule="atLeast"/>
              <w:jc w:val="center"/>
              <w:rPr>
                <w:i/>
                <w:spacing w:val="-2"/>
                <w:lang w:val="en-US"/>
              </w:rPr>
            </w:pPr>
          </w:p>
          <w:p w:rsidR="00270156" w:rsidRPr="004115E8" w:rsidRDefault="00270156" w:rsidP="00270156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Absolute Rate Coefficients</w:t>
            </w:r>
          </w:p>
        </w:tc>
      </w:tr>
      <w:tr w:rsidR="005766CA" w:rsidRPr="004115E8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6CA" w:rsidRPr="006C24A2" w:rsidRDefault="005766CA" w:rsidP="00FE2F41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fr-FR"/>
              </w:rPr>
              <w:t>(5.</w:t>
            </w:r>
            <w:r w:rsidR="00FE2F41">
              <w:rPr>
                <w:spacing w:val="-2"/>
                <w:lang w:val="fr-FR"/>
              </w:rPr>
              <w:t>0</w:t>
            </w:r>
            <w:r>
              <w:rPr>
                <w:spacing w:val="-2"/>
                <w:lang w:val="fr-FR"/>
              </w:rPr>
              <w:t xml:space="preserve"> ± 0.5)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364535" w:rsidRDefault="005766CA" w:rsidP="00AD56C9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782B33" w:rsidRDefault="005766CA" w:rsidP="00AD56C9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2.5 – 3.5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782B33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CA" w:rsidRPr="00782B33" w:rsidRDefault="005766CA" w:rsidP="00687A07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782B33">
              <w:rPr>
                <w:spacing w:val="-2"/>
                <w:lang w:val="de-DE"/>
              </w:rPr>
              <w:t>Ershov et al., 2008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66CA" w:rsidRDefault="005766CA" w:rsidP="005766CA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PR - UV/Vis(e)</w:t>
            </w:r>
          </w:p>
        </w:tc>
      </w:tr>
      <w:tr w:rsidR="005766CA" w:rsidRPr="004115E8" w:rsidTr="00C2653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6CA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3</w:t>
            </w:r>
            <w:r>
              <w:rPr>
                <w:spacing w:val="-2"/>
                <w:lang w:val="de-DE"/>
              </w:rPr>
              <w:t> = </w:t>
            </w:r>
            <w:r w:rsidRPr="008B73EC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fr-FR"/>
              </w:rPr>
              <w:t xml:space="preserve">(1.5 ± 0.2)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7</w:t>
            </w:r>
          </w:p>
          <w:p w:rsidR="005766CA" w:rsidRPr="00364535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364535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782B33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782B33">
              <w:rPr>
                <w:spacing w:val="-2"/>
                <w:lang w:val="de-DE"/>
              </w:rPr>
              <w:t>6.9 – 7.4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CA" w:rsidRPr="00782B33" w:rsidRDefault="005766CA" w:rsidP="004006E3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CA" w:rsidRPr="00782B33" w:rsidRDefault="005766CA" w:rsidP="00687A07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 w:rsidRPr="00782B33">
              <w:rPr>
                <w:spacing w:val="-2"/>
                <w:lang w:val="de-DE"/>
              </w:rPr>
              <w:t>Ershov et al., 2008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66CA" w:rsidRPr="004115E8" w:rsidRDefault="005766CA" w:rsidP="00251A44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PR-UV/Vis</w:t>
            </w:r>
            <w:r w:rsidRPr="004115E8">
              <w:rPr>
                <w:spacing w:val="-2"/>
                <w:lang w:val="de-DE"/>
              </w:rPr>
              <w:t>(</w:t>
            </w:r>
            <w:r>
              <w:rPr>
                <w:spacing w:val="-2"/>
                <w:lang w:val="de-DE"/>
              </w:rPr>
              <w:t>f</w:t>
            </w:r>
            <w:r w:rsidRPr="004115E8">
              <w:rPr>
                <w:spacing w:val="-2"/>
                <w:lang w:val="de-DE"/>
              </w:rPr>
              <w:t>)</w:t>
            </w:r>
          </w:p>
        </w:tc>
      </w:tr>
    </w:tbl>
    <w:p w:rsidR="00B26A4C" w:rsidRDefault="00B26A4C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de-DE"/>
        </w:rPr>
      </w:pPr>
    </w:p>
    <w:p w:rsidR="00C67C68" w:rsidRDefault="00C67C68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de-DE"/>
        </w:rPr>
      </w:pPr>
    </w:p>
    <w:p w:rsidR="00CA60D8" w:rsidRPr="002E55A3" w:rsidRDefault="00CA60D8" w:rsidP="00CA60D8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2E55A3">
        <w:rPr>
          <w:b/>
          <w:spacing w:val="-3"/>
          <w:lang w:val="en-CA"/>
        </w:rPr>
        <w:t>Comments</w:t>
      </w:r>
    </w:p>
    <w:p w:rsidR="00CA60D8" w:rsidRDefault="00CA60D8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de-DE"/>
        </w:rPr>
      </w:pPr>
    </w:p>
    <w:p w:rsidR="00CA60D8" w:rsidRDefault="00CA60D8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de-DE"/>
        </w:rPr>
      </w:pPr>
    </w:p>
    <w:p w:rsidR="004006E3" w:rsidRDefault="004006E3" w:rsidP="004006E3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spacing w:val="-2"/>
          <w:lang w:val="en-GB"/>
        </w:rPr>
        <w:t>(a)</w:t>
      </w:r>
      <w:r>
        <w:rPr>
          <w:spacing w:val="-2"/>
          <w:lang w:val="en-GB"/>
        </w:rPr>
        <w:tab/>
      </w:r>
      <w:r w:rsidRPr="00A12788">
        <w:rPr>
          <w:lang w:val="en-CA"/>
        </w:rPr>
        <w:t>The molar extinction coefficient of thymine was determined to be</w:t>
      </w:r>
      <w:r>
        <w:rPr>
          <w:lang w:val="en-CA"/>
        </w:rPr>
        <w:t xml:space="preserve"> ε </w:t>
      </w:r>
      <w:r w:rsidRPr="00875CB1">
        <w:rPr>
          <w:vertAlign w:val="subscript"/>
          <w:lang w:val="en-CA"/>
        </w:rPr>
        <w:t>264nm</w:t>
      </w:r>
      <w:r>
        <w:rPr>
          <w:lang w:val="en-CA"/>
        </w:rPr>
        <w:t> </w:t>
      </w:r>
      <w:r w:rsidRPr="00875CB1">
        <w:rPr>
          <w:lang w:val="en-CA"/>
        </w:rPr>
        <w:t>=</w:t>
      </w:r>
      <w:r>
        <w:rPr>
          <w:lang w:val="en-CA"/>
        </w:rPr>
        <w:t> </w:t>
      </w:r>
      <w:r w:rsidRPr="00875CB1">
        <w:rPr>
          <w:lang w:val="en-CA"/>
        </w:rPr>
        <w:t xml:space="preserve">7950 </w:t>
      </w:r>
      <w:r>
        <w:rPr>
          <w:lang w:val="en-CA"/>
        </w:rPr>
        <w:t xml:space="preserve">± </w:t>
      </w:r>
      <w:r w:rsidRPr="00875CB1">
        <w:rPr>
          <w:lang w:val="en-CA"/>
        </w:rPr>
        <w:t xml:space="preserve">50 </w:t>
      </w:r>
      <w:r w:rsidRPr="00A12788">
        <w:rPr>
          <w:lang w:val="en-CA"/>
        </w:rPr>
        <w:t>over the pH range 1.2</w:t>
      </w:r>
      <w:r>
        <w:rPr>
          <w:lang w:val="en-CA"/>
        </w:rPr>
        <w:t xml:space="preserve"> </w:t>
      </w:r>
      <w:r w:rsidRPr="00A12788">
        <w:rPr>
          <w:lang w:val="en-CA"/>
        </w:rPr>
        <w:t>-</w:t>
      </w:r>
      <w:r>
        <w:rPr>
          <w:lang w:val="en-CA"/>
        </w:rPr>
        <w:t xml:space="preserve"> </w:t>
      </w:r>
      <w:r w:rsidRPr="00A12788">
        <w:rPr>
          <w:lang w:val="en-CA"/>
        </w:rPr>
        <w:t>7.8</w:t>
      </w:r>
      <w:r>
        <w:rPr>
          <w:lang w:val="en-CA"/>
        </w:rPr>
        <w:t xml:space="preserve">. </w:t>
      </w:r>
      <w:r w:rsidRPr="00A12788">
        <w:rPr>
          <w:lang w:val="en-GB"/>
        </w:rPr>
        <w:t>Aerated solutions of thymine (8</w:t>
      </w:r>
      <w:r>
        <w:rPr>
          <w:lang w:val="en-GB"/>
        </w:rPr>
        <w:t> </w:t>
      </w:r>
      <w:r w:rsidRPr="00A12788">
        <w:rPr>
          <w:spacing w:val="-3"/>
          <w:lang w:val="en-GB"/>
        </w:rPr>
        <w:t>×</w:t>
      </w:r>
      <w:r>
        <w:rPr>
          <w:spacing w:val="-3"/>
          <w:lang w:val="en-GB"/>
        </w:rPr>
        <w:t> </w:t>
      </w:r>
      <w:r w:rsidRPr="00A12788">
        <w:rPr>
          <w:spacing w:val="-3"/>
          <w:lang w:val="en-GB"/>
        </w:rPr>
        <w:t>10</w:t>
      </w:r>
      <w:r>
        <w:rPr>
          <w:spacing w:val="-3"/>
          <w:vertAlign w:val="superscript"/>
          <w:lang w:val="en-GB"/>
        </w:rPr>
        <w:noBreakHyphen/>
      </w:r>
      <w:r w:rsidRPr="00A12788">
        <w:rPr>
          <w:spacing w:val="-3"/>
          <w:vertAlign w:val="superscript"/>
          <w:lang w:val="en-GB"/>
        </w:rPr>
        <w:t>5</w:t>
      </w:r>
      <w:r>
        <w:rPr>
          <w:spacing w:val="-3"/>
          <w:lang w:val="en-GB"/>
        </w:rPr>
        <w:t> </w:t>
      </w:r>
      <w:r w:rsidRPr="00A12788">
        <w:rPr>
          <w:spacing w:val="-3"/>
          <w:lang w:val="en-GB"/>
        </w:rPr>
        <w:t>M</w:t>
      </w:r>
      <w:r w:rsidRPr="00A12788">
        <w:rPr>
          <w:lang w:val="en-GB"/>
        </w:rPr>
        <w:t>) were irradiated.</w:t>
      </w:r>
      <w:r>
        <w:rPr>
          <w:lang w:val="en-GB"/>
        </w:rPr>
        <w:t xml:space="preserve"> Reference reaction: </w:t>
      </w:r>
      <w:r w:rsidRPr="000D0E5E">
        <w:rPr>
          <w:spacing w:val="-2"/>
          <w:lang w:val="en-GB"/>
        </w:rPr>
        <w:t>·</w:t>
      </w:r>
      <w:r w:rsidRPr="00E57B9C">
        <w:rPr>
          <w:lang w:val="en-CA"/>
        </w:rPr>
        <w:t>OH + Thymine</w:t>
      </w:r>
      <w:r w:rsidR="00C26534">
        <w:rPr>
          <w:lang w:val="en-CA"/>
        </w:rPr>
        <w:t xml:space="preserve"> with</w:t>
      </w:r>
      <w:r w:rsidR="00551838">
        <w:rPr>
          <w:lang w:val="en-CA"/>
        </w:rPr>
        <w:t xml:space="preserve"> </w:t>
      </w:r>
      <w:r w:rsidRPr="00875CB1">
        <w:rPr>
          <w:i/>
          <w:lang w:val="en-CA"/>
        </w:rPr>
        <w:t>k</w:t>
      </w:r>
      <w:r w:rsidR="00251A44" w:rsidRPr="00251A44">
        <w:rPr>
          <w:lang w:val="en-CA"/>
        </w:rPr>
        <w:t>(</w:t>
      </w:r>
      <w:r w:rsidR="00251A44" w:rsidRPr="000D0E5E">
        <w:rPr>
          <w:spacing w:val="-2"/>
          <w:lang w:val="en-GB"/>
        </w:rPr>
        <w:t>·</w:t>
      </w:r>
      <w:r w:rsidR="00251A44" w:rsidRPr="00E57B9C">
        <w:rPr>
          <w:lang w:val="en-CA"/>
        </w:rPr>
        <w:t>OH + Thymine</w:t>
      </w:r>
      <w:r w:rsidR="00251A44">
        <w:rPr>
          <w:lang w:val="en-CA"/>
        </w:rPr>
        <w:t>)</w:t>
      </w:r>
      <w:r>
        <w:rPr>
          <w:lang w:val="en-CA"/>
        </w:rPr>
        <w:t xml:space="preserve"> </w:t>
      </w:r>
      <w:r w:rsidRPr="00875CB1">
        <w:rPr>
          <w:lang w:val="en-CA"/>
        </w:rPr>
        <w:t>=</w:t>
      </w:r>
      <w:r>
        <w:rPr>
          <w:lang w:val="en-CA"/>
        </w:rPr>
        <w:t> </w:t>
      </w:r>
      <w:r w:rsidRPr="00875CB1">
        <w:rPr>
          <w:lang w:val="en-CA"/>
        </w:rPr>
        <w:t>4.3</w:t>
      </w:r>
      <w:r>
        <w:rPr>
          <w:lang w:val="en-CA"/>
        </w:rPr>
        <w:t xml:space="preserve"> </w:t>
      </w:r>
      <w:r w:rsidRPr="00A12788">
        <w:rPr>
          <w:spacing w:val="-3"/>
          <w:lang w:val="en-GB"/>
        </w:rPr>
        <w:t>× 10</w:t>
      </w:r>
      <w:r w:rsidRPr="00A12788">
        <w:rPr>
          <w:vertAlign w:val="superscript"/>
          <w:lang w:val="en-CA"/>
        </w:rPr>
        <w:t>9</w:t>
      </w:r>
      <w:r>
        <w:rPr>
          <w:lang w:val="en-CA"/>
        </w:rPr>
        <w:t xml:space="preserve"> M</w:t>
      </w:r>
      <w:r w:rsidRPr="00875CB1">
        <w:rPr>
          <w:vertAlign w:val="superscript"/>
          <w:lang w:val="en-CA"/>
        </w:rPr>
        <w:t>-1</w:t>
      </w:r>
      <w:r>
        <w:rPr>
          <w:lang w:val="en-CA"/>
        </w:rPr>
        <w:t xml:space="preserve"> s</w:t>
      </w:r>
      <w:r w:rsidRPr="00875CB1">
        <w:rPr>
          <w:vertAlign w:val="superscript"/>
          <w:lang w:val="en-CA"/>
        </w:rPr>
        <w:t>-1</w:t>
      </w:r>
      <w:r>
        <w:rPr>
          <w:lang w:val="en-CA"/>
        </w:rPr>
        <w:t>.</w:t>
      </w:r>
    </w:p>
    <w:p w:rsidR="004006E3" w:rsidRDefault="004006E3" w:rsidP="005329DE">
      <w:pPr>
        <w:tabs>
          <w:tab w:val="left" w:pos="0"/>
          <w:tab w:val="left" w:pos="444"/>
          <w:tab w:val="left" w:pos="851"/>
        </w:tabs>
        <w:suppressAutoHyphens/>
        <w:spacing w:line="240" w:lineRule="atLeast"/>
        <w:ind w:left="444" w:hanging="444"/>
        <w:jc w:val="both"/>
        <w:rPr>
          <w:spacing w:val="-2"/>
          <w:lang w:val="en-US"/>
        </w:rPr>
      </w:pPr>
    </w:p>
    <w:p w:rsidR="004006E3" w:rsidRPr="00A67911" w:rsidRDefault="005329DE" w:rsidP="00A67911">
      <w:pPr>
        <w:tabs>
          <w:tab w:val="left" w:pos="0"/>
          <w:tab w:val="left" w:pos="444"/>
          <w:tab w:val="left" w:pos="851"/>
        </w:tabs>
        <w:suppressAutoHyphens/>
        <w:spacing w:line="240" w:lineRule="atLeast"/>
        <w:ind w:left="444" w:hanging="444"/>
        <w:jc w:val="both"/>
        <w:rPr>
          <w:lang w:val="en-CA"/>
        </w:rPr>
      </w:pPr>
      <w:r w:rsidRPr="005329DE">
        <w:rPr>
          <w:spacing w:val="-2"/>
          <w:lang w:val="en-US"/>
        </w:rPr>
        <w:t>(</w:t>
      </w:r>
      <w:r w:rsidR="00622389">
        <w:rPr>
          <w:spacing w:val="-2"/>
          <w:lang w:val="en-US"/>
        </w:rPr>
        <w:t>b</w:t>
      </w:r>
      <w:r w:rsidRPr="005329DE">
        <w:rPr>
          <w:spacing w:val="-2"/>
          <w:lang w:val="en-US"/>
        </w:rPr>
        <w:t>)</w:t>
      </w:r>
      <w:r w:rsidRPr="005329DE">
        <w:rPr>
          <w:spacing w:val="-2"/>
          <w:lang w:val="en-US"/>
        </w:rPr>
        <w:tab/>
      </w:r>
      <w:r w:rsidR="00067FA1">
        <w:rPr>
          <w:spacing w:val="-2"/>
          <w:lang w:val="en-US"/>
        </w:rPr>
        <w:t xml:space="preserve">PR of </w:t>
      </w:r>
      <w:r w:rsidR="00CA60D8" w:rsidRPr="00013BD2">
        <w:rPr>
          <w:spacing w:val="-2"/>
          <w:lang w:val="en-GB"/>
        </w:rPr>
        <w:t>N</w:t>
      </w:r>
      <w:r w:rsidR="00CA60D8" w:rsidRPr="00013BD2">
        <w:rPr>
          <w:spacing w:val="-2"/>
          <w:vertAlign w:val="subscript"/>
          <w:lang w:val="en-GB"/>
        </w:rPr>
        <w:t>2</w:t>
      </w:r>
      <w:r w:rsidR="000D0E5E" w:rsidRPr="00013BD2">
        <w:rPr>
          <w:spacing w:val="-2"/>
          <w:lang w:val="en-GB"/>
        </w:rPr>
        <w:t xml:space="preserve">O-, </w:t>
      </w:r>
      <w:r w:rsidR="0050598D">
        <w:rPr>
          <w:spacing w:val="-2"/>
          <w:lang w:val="en-GB"/>
        </w:rPr>
        <w:t>or</w:t>
      </w:r>
      <w:r w:rsidR="00CA60D8" w:rsidRPr="00013BD2">
        <w:rPr>
          <w:spacing w:val="-2"/>
          <w:lang w:val="en-GB"/>
        </w:rPr>
        <w:t xml:space="preserve"> Argon-</w:t>
      </w:r>
      <w:r w:rsidR="000D0E5E" w:rsidRPr="00013BD2">
        <w:rPr>
          <w:spacing w:val="-2"/>
          <w:lang w:val="en-GB"/>
        </w:rPr>
        <w:t>saturated</w:t>
      </w:r>
      <w:r w:rsidR="00CA60D8" w:rsidRPr="00013BD2">
        <w:rPr>
          <w:spacing w:val="-2"/>
          <w:lang w:val="en-GB"/>
        </w:rPr>
        <w:t xml:space="preserve"> </w:t>
      </w:r>
      <w:r w:rsidR="000D0E5E" w:rsidRPr="00013BD2">
        <w:rPr>
          <w:spacing w:val="-2"/>
          <w:lang w:val="en-GB"/>
        </w:rPr>
        <w:t>solutions</w:t>
      </w:r>
      <w:r w:rsidR="0005521E">
        <w:rPr>
          <w:spacing w:val="-2"/>
          <w:lang w:val="en-GB"/>
        </w:rPr>
        <w:t>;</w:t>
      </w:r>
      <w:r w:rsidR="000D0E5E" w:rsidRPr="00013BD2">
        <w:rPr>
          <w:spacing w:val="-2"/>
          <w:lang w:val="en-GB"/>
        </w:rPr>
        <w:t xml:space="preserve"> [</w:t>
      </w:r>
      <w:r w:rsidR="007E1890" w:rsidRPr="00013BD2">
        <w:rPr>
          <w:spacing w:val="-2"/>
          <w:lang w:val="en-GB"/>
        </w:rPr>
        <w:t>(</w:t>
      </w:r>
      <w:r w:rsidR="00CA60D8" w:rsidRPr="00013BD2">
        <w:rPr>
          <w:spacing w:val="-2"/>
          <w:lang w:val="en-GB"/>
        </w:rPr>
        <w:t>COO</w:t>
      </w:r>
      <w:r w:rsidR="000D0E5E" w:rsidRPr="00013BD2">
        <w:rPr>
          <w:spacing w:val="-2"/>
          <w:vertAlign w:val="superscript"/>
          <w:lang w:val="en-GB"/>
        </w:rPr>
        <w:noBreakHyphen/>
      </w:r>
      <w:r w:rsidR="00CA60D8" w:rsidRPr="00013BD2">
        <w:rPr>
          <w:spacing w:val="-2"/>
          <w:lang w:val="en-GB"/>
        </w:rPr>
        <w:t>)</w:t>
      </w:r>
      <w:r w:rsidR="00CA60D8" w:rsidRPr="00013BD2">
        <w:rPr>
          <w:spacing w:val="-2"/>
          <w:vertAlign w:val="subscript"/>
          <w:lang w:val="en-GB"/>
        </w:rPr>
        <w:t>2</w:t>
      </w:r>
      <w:r w:rsidR="000D0E5E" w:rsidRPr="00013BD2">
        <w:rPr>
          <w:spacing w:val="-2"/>
          <w:lang w:val="en-GB"/>
        </w:rPr>
        <w:t>] </w:t>
      </w:r>
      <w:r w:rsidR="007E1890" w:rsidRPr="00013BD2">
        <w:rPr>
          <w:spacing w:val="-2"/>
          <w:lang w:val="en-GB"/>
        </w:rPr>
        <w:t>=</w:t>
      </w:r>
      <w:r w:rsidR="000D0E5E" w:rsidRPr="00013BD2">
        <w:rPr>
          <w:spacing w:val="-2"/>
          <w:lang w:val="en-GB"/>
        </w:rPr>
        <w:t xml:space="preserve"> </w:t>
      </w:r>
      <w:r w:rsidR="007E1890" w:rsidRPr="00013BD2">
        <w:rPr>
          <w:spacing w:val="-2"/>
          <w:lang w:val="en-GB"/>
        </w:rPr>
        <w:t>(0.6</w:t>
      </w:r>
      <w:r w:rsidR="000D0E5E" w:rsidRPr="00013BD2">
        <w:rPr>
          <w:spacing w:val="-2"/>
          <w:lang w:val="en-GB"/>
        </w:rPr>
        <w:t> </w:t>
      </w:r>
      <w:r w:rsidR="000D0E5E" w:rsidRPr="00013BD2">
        <w:rPr>
          <w:spacing w:val="-2"/>
          <w:lang w:val="en-GB"/>
        </w:rPr>
        <w:noBreakHyphen/>
        <w:t> </w:t>
      </w:r>
      <w:r w:rsidR="007E1890" w:rsidRPr="00013BD2">
        <w:rPr>
          <w:spacing w:val="-2"/>
          <w:lang w:val="en-GB"/>
        </w:rPr>
        <w:t>10</w:t>
      </w:r>
      <w:r w:rsidR="000D0E5E" w:rsidRPr="00013BD2">
        <w:rPr>
          <w:spacing w:val="-2"/>
          <w:lang w:val="en-GB"/>
        </w:rPr>
        <w:t>) </w:t>
      </w:r>
      <w:r w:rsidR="007E1890" w:rsidRPr="00013BD2">
        <w:rPr>
          <w:spacing w:val="-2"/>
          <w:lang w:val="en-GB"/>
        </w:rPr>
        <w:t>×</w:t>
      </w:r>
      <w:r w:rsidR="000D0E5E" w:rsidRPr="00013BD2">
        <w:rPr>
          <w:spacing w:val="-2"/>
          <w:lang w:val="en-GB"/>
        </w:rPr>
        <w:t> </w:t>
      </w:r>
      <w:r w:rsidR="00CA60D8" w:rsidRPr="00013BD2">
        <w:rPr>
          <w:spacing w:val="-2"/>
          <w:lang w:val="en-GB"/>
        </w:rPr>
        <w:t>10</w:t>
      </w:r>
      <w:r w:rsidR="000D0E5E" w:rsidRPr="00013BD2">
        <w:rPr>
          <w:spacing w:val="-2"/>
          <w:vertAlign w:val="superscript"/>
          <w:lang w:val="en-GB"/>
        </w:rPr>
        <w:noBreakHyphen/>
      </w:r>
      <w:r w:rsidR="00CA60D8" w:rsidRPr="00013BD2">
        <w:rPr>
          <w:spacing w:val="-2"/>
          <w:vertAlign w:val="superscript"/>
          <w:lang w:val="en-GB"/>
        </w:rPr>
        <w:t>3</w:t>
      </w:r>
      <w:r>
        <w:rPr>
          <w:spacing w:val="-2"/>
          <w:lang w:val="en-GB"/>
        </w:rPr>
        <w:t> M</w:t>
      </w:r>
      <w:r w:rsidR="0005521E">
        <w:rPr>
          <w:spacing w:val="-2"/>
          <w:lang w:val="en-GB"/>
        </w:rPr>
        <w:t xml:space="preserve">; </w:t>
      </w:r>
      <w:r w:rsidR="0005521E" w:rsidRPr="002F5457">
        <w:rPr>
          <w:spacing w:val="-2"/>
          <w:lang w:val="en-CA"/>
        </w:rPr>
        <w:t>Reference reaction</w:t>
      </w:r>
      <w:r w:rsidR="0005521E" w:rsidRPr="002F5457">
        <w:rPr>
          <w:spacing w:val="-3"/>
          <w:lang w:val="en-CA"/>
        </w:rPr>
        <w:t xml:space="preserve">: </w:t>
      </w:r>
      <w:hyperlink r:id="rId7" w:tgtFrame="_blank" w:history="1">
        <w:r w:rsidR="0005521E" w:rsidRPr="002F5457">
          <w:rPr>
            <w:rStyle w:val="Lienhypertexte"/>
            <w:color w:val="auto"/>
            <w:u w:val="none"/>
            <w:lang w:val="en-CA"/>
          </w:rPr>
          <w:t>·OH</w:t>
        </w:r>
      </w:hyperlink>
      <w:r w:rsidR="0005521E" w:rsidRPr="002F5457">
        <w:rPr>
          <w:lang w:val="en-CA"/>
        </w:rPr>
        <w:t xml:space="preserve"> + SCN</w:t>
      </w:r>
      <w:r w:rsidR="0005521E" w:rsidRPr="002F5457">
        <w:rPr>
          <w:vertAlign w:val="superscript"/>
          <w:lang w:val="en-CA"/>
        </w:rPr>
        <w:t>-</w:t>
      </w:r>
      <w:r w:rsidR="00C26534">
        <w:rPr>
          <w:lang w:val="en-CA"/>
        </w:rPr>
        <w:t xml:space="preserve"> with</w:t>
      </w:r>
      <w:r w:rsidR="00173419">
        <w:rPr>
          <w:lang w:val="en-CA"/>
        </w:rPr>
        <w:t xml:space="preserve"> </w:t>
      </w:r>
      <w:r w:rsidR="00173419" w:rsidRPr="00173419">
        <w:rPr>
          <w:i/>
          <w:lang w:val="en-CA"/>
        </w:rPr>
        <w:t>k</w:t>
      </w:r>
      <w:r w:rsidR="00251A44" w:rsidRPr="00251A44">
        <w:rPr>
          <w:lang w:val="en-CA"/>
        </w:rPr>
        <w:t>(</w:t>
      </w:r>
      <w:hyperlink r:id="rId8" w:tgtFrame="_blank" w:history="1">
        <w:r w:rsidR="00251A44" w:rsidRPr="002F5457">
          <w:rPr>
            <w:rStyle w:val="Lienhypertexte"/>
            <w:color w:val="auto"/>
            <w:u w:val="none"/>
            <w:lang w:val="en-CA"/>
          </w:rPr>
          <w:t>·OH</w:t>
        </w:r>
      </w:hyperlink>
      <w:r w:rsidR="00251A44" w:rsidRPr="002F5457">
        <w:rPr>
          <w:lang w:val="en-CA"/>
        </w:rPr>
        <w:t xml:space="preserve"> + SCN</w:t>
      </w:r>
      <w:r w:rsidR="00251A44" w:rsidRPr="002F5457">
        <w:rPr>
          <w:vertAlign w:val="superscript"/>
          <w:lang w:val="en-CA"/>
        </w:rPr>
        <w:t>-</w:t>
      </w:r>
      <w:r w:rsidR="00251A44">
        <w:rPr>
          <w:lang w:val="en-CA"/>
        </w:rPr>
        <w:t>)</w:t>
      </w:r>
      <w:r w:rsidR="00173419">
        <w:rPr>
          <w:lang w:val="en-CA"/>
        </w:rPr>
        <w:t xml:space="preserve"> = </w:t>
      </w:r>
      <w:r w:rsidR="00173419" w:rsidRPr="00173419">
        <w:rPr>
          <w:lang w:val="en-CA"/>
        </w:rPr>
        <w:t xml:space="preserve">7.5 </w:t>
      </w:r>
      <w:r w:rsidR="00173419" w:rsidRPr="00A12788">
        <w:rPr>
          <w:spacing w:val="-3"/>
          <w:lang w:val="en-GB"/>
        </w:rPr>
        <w:t>×</w:t>
      </w:r>
      <w:r w:rsidR="00173419" w:rsidRPr="00173419">
        <w:rPr>
          <w:lang w:val="en-CA"/>
        </w:rPr>
        <w:t xml:space="preserve"> 10</w:t>
      </w:r>
      <w:r w:rsidR="00173419" w:rsidRPr="00173419">
        <w:rPr>
          <w:vertAlign w:val="superscript"/>
          <w:lang w:val="en-CA"/>
        </w:rPr>
        <w:t>9</w:t>
      </w:r>
      <w:r w:rsidR="00173419" w:rsidRPr="00173419">
        <w:rPr>
          <w:lang w:val="en-CA"/>
        </w:rPr>
        <w:t xml:space="preserve"> M</w:t>
      </w:r>
      <w:r w:rsidR="00173419" w:rsidRPr="00173419">
        <w:rPr>
          <w:vertAlign w:val="superscript"/>
          <w:lang w:val="en-CA"/>
        </w:rPr>
        <w:t>-1</w:t>
      </w:r>
      <w:r w:rsidR="00173419" w:rsidRPr="00173419">
        <w:rPr>
          <w:lang w:val="en-CA"/>
        </w:rPr>
        <w:t xml:space="preserve"> s</w:t>
      </w:r>
      <w:r w:rsidR="00173419" w:rsidRPr="00173419">
        <w:rPr>
          <w:vertAlign w:val="superscript"/>
          <w:lang w:val="en-CA"/>
        </w:rPr>
        <w:t>-1</w:t>
      </w:r>
      <w:r w:rsidR="00A67911">
        <w:rPr>
          <w:lang w:val="en-CA"/>
        </w:rPr>
        <w:t xml:space="preserve">; </w:t>
      </w:r>
      <w:r w:rsidR="004006E3">
        <w:rPr>
          <w:spacing w:val="-2"/>
          <w:lang w:val="en-GB"/>
        </w:rPr>
        <w:t>pK</w:t>
      </w:r>
      <w:r w:rsidR="004006E3" w:rsidRPr="004006E3">
        <w:rPr>
          <w:spacing w:val="-2"/>
          <w:vertAlign w:val="subscript"/>
          <w:lang w:val="en-GB"/>
        </w:rPr>
        <w:t>a</w:t>
      </w:r>
      <w:r w:rsidR="004006E3">
        <w:rPr>
          <w:spacing w:val="-2"/>
          <w:lang w:val="en-GB"/>
        </w:rPr>
        <w:t xml:space="preserve"> values</w:t>
      </w:r>
      <w:r w:rsidR="00F21069">
        <w:rPr>
          <w:spacing w:val="-2"/>
          <w:lang w:val="en-GB"/>
        </w:rPr>
        <w:t xml:space="preserve"> </w:t>
      </w:r>
      <w:r w:rsidR="0005521E">
        <w:rPr>
          <w:spacing w:val="-2"/>
          <w:lang w:val="en-GB"/>
        </w:rPr>
        <w:t xml:space="preserve">which were given in </w:t>
      </w:r>
      <w:r w:rsidR="00A67911">
        <w:rPr>
          <w:spacing w:val="-2"/>
          <w:lang w:val="en-GB"/>
        </w:rPr>
        <w:t>Getoff</w:t>
      </w:r>
      <w:r w:rsidR="000671E6" w:rsidRPr="00A67911">
        <w:rPr>
          <w:spacing w:val="-2"/>
          <w:lang w:val="en-GB"/>
        </w:rPr>
        <w:t xml:space="preserve"> et al.</w:t>
      </w:r>
      <w:r w:rsidR="0005521E">
        <w:rPr>
          <w:spacing w:val="-2"/>
          <w:lang w:val="en-GB"/>
        </w:rPr>
        <w:t xml:space="preserve"> (1971</w:t>
      </w:r>
      <w:r w:rsidR="000671E6">
        <w:rPr>
          <w:spacing w:val="-2"/>
          <w:lang w:val="en-GB"/>
        </w:rPr>
        <w:t>)</w:t>
      </w:r>
      <w:r w:rsidR="00F21069">
        <w:rPr>
          <w:spacing w:val="-2"/>
          <w:lang w:val="en-GB"/>
        </w:rPr>
        <w:t xml:space="preserve"> and </w:t>
      </w:r>
      <w:r w:rsidR="000671E6">
        <w:rPr>
          <w:spacing w:val="-2"/>
          <w:lang w:val="en-GB"/>
        </w:rPr>
        <w:t xml:space="preserve">Buxton </w:t>
      </w:r>
      <w:r w:rsidR="000671E6" w:rsidRPr="00A67911">
        <w:rPr>
          <w:spacing w:val="-2"/>
          <w:lang w:val="en-GB"/>
        </w:rPr>
        <w:t>et al.</w:t>
      </w:r>
      <w:r w:rsidR="0005521E">
        <w:rPr>
          <w:spacing w:val="-2"/>
          <w:lang w:val="en-GB"/>
        </w:rPr>
        <w:t xml:space="preserve"> (1988</w:t>
      </w:r>
      <w:r w:rsidR="000671E6">
        <w:rPr>
          <w:spacing w:val="-2"/>
          <w:lang w:val="en-GB"/>
        </w:rPr>
        <w:t>)</w:t>
      </w:r>
      <w:r w:rsidR="004006E3">
        <w:rPr>
          <w:spacing w:val="-2"/>
          <w:lang w:val="en-GB"/>
        </w:rPr>
        <w:t xml:space="preserve"> </w:t>
      </w:r>
      <w:r w:rsidR="00F21069">
        <w:rPr>
          <w:spacing w:val="-2"/>
          <w:lang w:val="en-GB"/>
        </w:rPr>
        <w:t>are in good agreement with</w:t>
      </w:r>
      <w:r w:rsidR="0005521E">
        <w:rPr>
          <w:spacing w:val="-2"/>
          <w:lang w:val="en-GB"/>
        </w:rPr>
        <w:t xml:space="preserve"> those from</w:t>
      </w:r>
      <w:r w:rsidR="00F21069">
        <w:rPr>
          <w:spacing w:val="-2"/>
          <w:lang w:val="en-GB"/>
        </w:rPr>
        <w:t xml:space="preserve"> </w:t>
      </w:r>
      <w:r w:rsidR="004006E3">
        <w:rPr>
          <w:spacing w:val="-2"/>
          <w:lang w:val="en-GB"/>
        </w:rPr>
        <w:t xml:space="preserve">Lide </w:t>
      </w:r>
      <w:r w:rsidR="0005521E">
        <w:rPr>
          <w:spacing w:val="-2"/>
          <w:lang w:val="en-GB"/>
        </w:rPr>
        <w:t>(1996</w:t>
      </w:r>
      <w:r w:rsidR="000671E6">
        <w:rPr>
          <w:spacing w:val="-2"/>
          <w:lang w:val="en-GB"/>
        </w:rPr>
        <w:t>)</w:t>
      </w:r>
      <w:r w:rsidR="00F21069">
        <w:rPr>
          <w:spacing w:val="-2"/>
          <w:lang w:val="en-GB"/>
        </w:rPr>
        <w:t xml:space="preserve"> (</w:t>
      </w:r>
      <w:r w:rsidR="004006E3">
        <w:rPr>
          <w:spacing w:val="-2"/>
          <w:lang w:val="en-GB"/>
        </w:rPr>
        <w:t xml:space="preserve">1.23, respectively 4.19). </w:t>
      </w:r>
    </w:p>
    <w:p w:rsidR="00251A44" w:rsidRDefault="00251A44" w:rsidP="005329DE">
      <w:pPr>
        <w:tabs>
          <w:tab w:val="left" w:pos="0"/>
          <w:tab w:val="left" w:pos="444"/>
          <w:tab w:val="left" w:pos="851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251A44" w:rsidRDefault="00251A44" w:rsidP="005329DE">
      <w:pPr>
        <w:tabs>
          <w:tab w:val="left" w:pos="0"/>
          <w:tab w:val="left" w:pos="444"/>
          <w:tab w:val="left" w:pos="851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  <w:r>
        <w:rPr>
          <w:spacing w:val="-2"/>
          <w:lang w:val="en-GB"/>
        </w:rPr>
        <w:t>(c)</w:t>
      </w:r>
      <w:r>
        <w:rPr>
          <w:spacing w:val="-2"/>
          <w:lang w:val="en-GB"/>
        </w:rPr>
        <w:tab/>
        <w:t xml:space="preserve">Buxton et al. </w:t>
      </w:r>
      <w:r w:rsidR="00021552">
        <w:rPr>
          <w:spacing w:val="-2"/>
          <w:lang w:val="en-GB"/>
        </w:rPr>
        <w:t>recalculated</w:t>
      </w:r>
      <w:r>
        <w:rPr>
          <w:spacing w:val="-2"/>
          <w:lang w:val="en-GB"/>
        </w:rPr>
        <w:t xml:space="preserve"> the </w:t>
      </w:r>
      <w:r w:rsidR="00021552">
        <w:rPr>
          <w:spacing w:val="-2"/>
          <w:lang w:val="en-GB"/>
        </w:rPr>
        <w:t>rate constants</w:t>
      </w:r>
      <w:r>
        <w:rPr>
          <w:spacing w:val="-2"/>
          <w:lang w:val="en-GB"/>
        </w:rPr>
        <w:t xml:space="preserve"> determined by Getoff et al. (1971) relative to</w:t>
      </w:r>
      <w:r w:rsidR="00021552">
        <w:rPr>
          <w:spacing w:val="-2"/>
          <w:lang w:val="en-GB"/>
        </w:rPr>
        <w:t xml:space="preserve"> the selected rate constant for the reference reaction</w:t>
      </w:r>
      <w:r>
        <w:rPr>
          <w:spacing w:val="-2"/>
          <w:lang w:val="en-GB"/>
        </w:rPr>
        <w:t xml:space="preserve"> </w:t>
      </w:r>
      <w:r w:rsidR="00C26534" w:rsidRPr="00173419">
        <w:rPr>
          <w:i/>
          <w:lang w:val="en-CA"/>
        </w:rPr>
        <w:t>k</w:t>
      </w:r>
      <w:r w:rsidR="00C26534" w:rsidRPr="00251A44">
        <w:rPr>
          <w:lang w:val="en-CA"/>
        </w:rPr>
        <w:t>(</w:t>
      </w:r>
      <w:hyperlink r:id="rId9" w:tgtFrame="_blank" w:history="1">
        <w:r w:rsidR="00C26534" w:rsidRPr="002F5457">
          <w:rPr>
            <w:rStyle w:val="Lienhypertexte"/>
            <w:color w:val="auto"/>
            <w:u w:val="none"/>
            <w:lang w:val="en-CA"/>
          </w:rPr>
          <w:t>·OH</w:t>
        </w:r>
      </w:hyperlink>
      <w:r w:rsidR="00C26534" w:rsidRPr="002F5457">
        <w:rPr>
          <w:lang w:val="en-CA"/>
        </w:rPr>
        <w:t xml:space="preserve"> + SCN</w:t>
      </w:r>
      <w:r w:rsidR="00C26534" w:rsidRPr="002F5457">
        <w:rPr>
          <w:vertAlign w:val="superscript"/>
          <w:lang w:val="en-CA"/>
        </w:rPr>
        <w:t>-</w:t>
      </w:r>
      <w:r w:rsidR="00C26534">
        <w:rPr>
          <w:lang w:val="en-CA"/>
        </w:rPr>
        <w:t xml:space="preserve">) = </w:t>
      </w:r>
      <w:r w:rsidR="00021552">
        <w:rPr>
          <w:lang w:val="en-CA"/>
        </w:rPr>
        <w:t>1.1</w:t>
      </w:r>
      <w:r w:rsidR="00C26534" w:rsidRPr="00173419">
        <w:rPr>
          <w:lang w:val="en-CA"/>
        </w:rPr>
        <w:t xml:space="preserve"> </w:t>
      </w:r>
      <w:r w:rsidR="00C26534" w:rsidRPr="00A12788">
        <w:rPr>
          <w:spacing w:val="-3"/>
          <w:lang w:val="en-GB"/>
        </w:rPr>
        <w:t>×</w:t>
      </w:r>
      <w:r w:rsidR="00C26534" w:rsidRPr="00173419">
        <w:rPr>
          <w:lang w:val="en-CA"/>
        </w:rPr>
        <w:t xml:space="preserve"> 10</w:t>
      </w:r>
      <w:r w:rsidR="00021552">
        <w:rPr>
          <w:vertAlign w:val="superscript"/>
          <w:lang w:val="en-CA"/>
        </w:rPr>
        <w:t>10</w:t>
      </w:r>
      <w:r w:rsidR="00C26534" w:rsidRPr="00173419">
        <w:rPr>
          <w:lang w:val="en-CA"/>
        </w:rPr>
        <w:t xml:space="preserve"> M</w:t>
      </w:r>
      <w:r w:rsidR="00C26534" w:rsidRPr="00173419">
        <w:rPr>
          <w:vertAlign w:val="superscript"/>
          <w:lang w:val="en-CA"/>
        </w:rPr>
        <w:t>-1</w:t>
      </w:r>
      <w:r w:rsidR="00C26534" w:rsidRPr="00173419">
        <w:rPr>
          <w:lang w:val="en-CA"/>
        </w:rPr>
        <w:t xml:space="preserve"> s</w:t>
      </w:r>
      <w:r w:rsidR="00C26534" w:rsidRPr="00173419">
        <w:rPr>
          <w:vertAlign w:val="superscript"/>
          <w:lang w:val="en-CA"/>
        </w:rPr>
        <w:t>-1</w:t>
      </w:r>
      <w:r w:rsidR="00021552">
        <w:rPr>
          <w:lang w:val="en-CA"/>
        </w:rPr>
        <w:t>.</w:t>
      </w:r>
    </w:p>
    <w:p w:rsidR="00C958C8" w:rsidRDefault="00C958C8" w:rsidP="005329D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C958C8" w:rsidRDefault="00C958C8" w:rsidP="00C958C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  <w:r w:rsidRPr="005329DE">
        <w:rPr>
          <w:spacing w:val="-2"/>
          <w:lang w:val="en-GB"/>
        </w:rPr>
        <w:t>(</w:t>
      </w:r>
      <w:r w:rsidR="00251A44">
        <w:rPr>
          <w:spacing w:val="-2"/>
          <w:lang w:val="en-GB"/>
        </w:rPr>
        <w:t>d</w:t>
      </w:r>
      <w:r w:rsidRPr="005329DE">
        <w:rPr>
          <w:spacing w:val="-2"/>
          <w:lang w:val="en-GB"/>
        </w:rPr>
        <w:t>)</w:t>
      </w:r>
      <w:r w:rsidRPr="005329DE">
        <w:rPr>
          <w:spacing w:val="-2"/>
          <w:lang w:val="en-GB"/>
        </w:rPr>
        <w:tab/>
      </w:r>
      <w:r w:rsidR="00551838">
        <w:rPr>
          <w:spacing w:val="-2"/>
          <w:lang w:val="en-GB"/>
        </w:rPr>
        <w:t>RR;</w:t>
      </w:r>
      <w:r w:rsidRPr="003D7F54">
        <w:rPr>
          <w:spacing w:val="-2"/>
          <w:lang w:val="en-GB"/>
        </w:rPr>
        <w:t xml:space="preserve"> hydrogen peroxide </w:t>
      </w:r>
      <w:r w:rsidR="00551838">
        <w:rPr>
          <w:spacing w:val="-2"/>
          <w:lang w:val="en-GB"/>
        </w:rPr>
        <w:t xml:space="preserve">photolysis </w:t>
      </w:r>
      <w:r w:rsidRPr="003D7F54">
        <w:rPr>
          <w:spacing w:val="-2"/>
          <w:lang w:val="en-GB"/>
        </w:rPr>
        <w:t>(</w:t>
      </w:r>
      <w:r w:rsidRPr="003D7F54">
        <w:rPr>
          <w:spacing w:val="-2"/>
          <w:lang w:val="de-DE"/>
        </w:rPr>
        <w:t>λ</w:t>
      </w:r>
      <w:r w:rsidR="005329DE">
        <w:rPr>
          <w:spacing w:val="-2"/>
          <w:lang w:val="en-GB"/>
        </w:rPr>
        <w:t> </w:t>
      </w:r>
      <w:r w:rsidRPr="003D7F54">
        <w:rPr>
          <w:spacing w:val="-2"/>
          <w:lang w:val="en-GB"/>
        </w:rPr>
        <w:t>=</w:t>
      </w:r>
      <w:r w:rsidR="005329DE">
        <w:rPr>
          <w:spacing w:val="-2"/>
          <w:lang w:val="en-GB"/>
        </w:rPr>
        <w:t> </w:t>
      </w:r>
      <w:r w:rsidRPr="003D7F54">
        <w:rPr>
          <w:spacing w:val="-2"/>
          <w:lang w:val="en-GB"/>
        </w:rPr>
        <w:t>248 nm); pH was adjusted with HClO</w:t>
      </w:r>
      <w:r w:rsidRPr="000D0E5E">
        <w:rPr>
          <w:spacing w:val="-2"/>
          <w:vertAlign w:val="subscript"/>
          <w:lang w:val="en-GB"/>
        </w:rPr>
        <w:t>4</w:t>
      </w:r>
      <w:r w:rsidR="00C26534">
        <w:rPr>
          <w:spacing w:val="-2"/>
          <w:lang w:val="en-GB"/>
        </w:rPr>
        <w:t xml:space="preserve">; </w:t>
      </w:r>
      <w:r w:rsidR="005329DE">
        <w:rPr>
          <w:spacing w:val="-2"/>
          <w:lang w:val="en-GB"/>
        </w:rPr>
        <w:t xml:space="preserve">Reference reaction: </w:t>
      </w:r>
      <w:r w:rsidR="005329DE" w:rsidRPr="000D0E5E">
        <w:rPr>
          <w:spacing w:val="-2"/>
          <w:lang w:val="en-GB"/>
        </w:rPr>
        <w:t>·OH + SCN</w:t>
      </w:r>
      <w:r w:rsidR="005329DE" w:rsidRPr="000D0E5E">
        <w:rPr>
          <w:spacing w:val="-2"/>
          <w:vertAlign w:val="superscript"/>
          <w:lang w:val="en-GB"/>
        </w:rPr>
        <w:t>-</w:t>
      </w:r>
      <w:r w:rsidR="00551838">
        <w:rPr>
          <w:spacing w:val="-2"/>
          <w:lang w:val="en-GB"/>
        </w:rPr>
        <w:t xml:space="preserve">; </w:t>
      </w:r>
      <w:r w:rsidR="00551838">
        <w:rPr>
          <w:lang w:val="en-CA"/>
        </w:rPr>
        <w:t>R</w:t>
      </w:r>
      <w:r w:rsidR="00687A07" w:rsidRPr="00050932">
        <w:rPr>
          <w:lang w:val="en-CA"/>
        </w:rPr>
        <w:t xml:space="preserve">ate constant of the reference reaction </w:t>
      </w:r>
      <w:r w:rsidR="00687A07">
        <w:rPr>
          <w:lang w:val="en-CA"/>
        </w:rPr>
        <w:t xml:space="preserve">is given by </w:t>
      </w:r>
      <w:r w:rsidR="00687A07" w:rsidRPr="00050932">
        <w:rPr>
          <w:i/>
          <w:lang w:val="en-CA"/>
        </w:rPr>
        <w:t>k</w:t>
      </w:r>
      <w:r w:rsidR="00687A07" w:rsidRPr="00050932">
        <w:rPr>
          <w:lang w:val="en-CA"/>
        </w:rPr>
        <w:t xml:space="preserve">(T) = 7.26 </w:t>
      </w:r>
      <w:r w:rsidR="00687A07" w:rsidRPr="00364535">
        <w:rPr>
          <w:spacing w:val="-3"/>
          <w:lang w:val="en-US"/>
        </w:rPr>
        <w:sym w:font="Symbol" w:char="F0B4"/>
      </w:r>
      <w:r w:rsidR="00687A07" w:rsidRPr="00E605EB">
        <w:rPr>
          <w:spacing w:val="-2"/>
          <w:lang w:val="fr-FR"/>
        </w:rPr>
        <w:t xml:space="preserve"> 10</w:t>
      </w:r>
      <w:r w:rsidR="00687A07" w:rsidRPr="00E605EB">
        <w:rPr>
          <w:spacing w:val="-2"/>
          <w:vertAlign w:val="superscript"/>
          <w:lang w:val="fr-FR"/>
        </w:rPr>
        <w:t>12</w:t>
      </w:r>
      <w:r w:rsidR="00687A07">
        <w:rPr>
          <w:spacing w:val="-2"/>
          <w:lang w:val="fr-FR"/>
        </w:rPr>
        <w:t xml:space="preserve"> exp</w:t>
      </w:r>
      <w:r w:rsidR="00C26534">
        <w:rPr>
          <w:spacing w:val="-2"/>
          <w:lang w:val="fr-FR"/>
        </w:rPr>
        <w:t>[</w:t>
      </w:r>
      <w:r w:rsidR="00687A07" w:rsidRPr="00E605EB">
        <w:rPr>
          <w:spacing w:val="-2"/>
          <w:lang w:val="fr-FR"/>
        </w:rPr>
        <w:t xml:space="preserve">(-1900 </w:t>
      </w:r>
      <w:r w:rsidR="00687A07" w:rsidRPr="00050932">
        <w:rPr>
          <w:lang w:val="en-CA"/>
        </w:rPr>
        <w:t>± 190) / T</w:t>
      </w:r>
      <w:r w:rsidR="00C26534">
        <w:rPr>
          <w:spacing w:val="-2"/>
          <w:lang w:val="fr-FR"/>
        </w:rPr>
        <w:t>]</w:t>
      </w:r>
      <w:r w:rsidR="00687A07">
        <w:rPr>
          <w:spacing w:val="-2"/>
          <w:lang w:val="fr-FR"/>
        </w:rPr>
        <w:t xml:space="preserve"> M</w:t>
      </w:r>
      <w:r w:rsidR="00687A07" w:rsidRPr="00E605EB">
        <w:rPr>
          <w:spacing w:val="-2"/>
          <w:vertAlign w:val="superscript"/>
          <w:lang w:val="fr-FR"/>
        </w:rPr>
        <w:t>-1</w:t>
      </w:r>
      <w:r w:rsidR="00687A07">
        <w:rPr>
          <w:spacing w:val="-2"/>
          <w:lang w:val="fr-FR"/>
        </w:rPr>
        <w:t>s</w:t>
      </w:r>
      <w:r w:rsidR="00687A07" w:rsidRPr="00E605EB">
        <w:rPr>
          <w:spacing w:val="-2"/>
          <w:vertAlign w:val="superscript"/>
          <w:lang w:val="fr-FR"/>
        </w:rPr>
        <w:t>-1</w:t>
      </w:r>
      <w:r w:rsidR="00551838">
        <w:t xml:space="preserve"> </w:t>
      </w:r>
      <w:r w:rsidR="00C26534">
        <w:t>referring to</w:t>
      </w:r>
      <w:r w:rsidR="00551838">
        <w:t xml:space="preserve"> Chin and Wine (1992</w:t>
      </w:r>
      <w:r w:rsidR="00687A07">
        <w:t>).</w:t>
      </w:r>
    </w:p>
    <w:p w:rsidR="00C958C8" w:rsidRDefault="00C958C8" w:rsidP="005329D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5766CA" w:rsidRDefault="005766CA" w:rsidP="00FE2F4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  <w:r>
        <w:rPr>
          <w:spacing w:val="-2"/>
          <w:lang w:val="en-GB"/>
        </w:rPr>
        <w:t>(e)</w:t>
      </w:r>
      <w:r>
        <w:rPr>
          <w:spacing w:val="-2"/>
          <w:lang w:val="en-GB"/>
        </w:rPr>
        <w:tab/>
      </w:r>
      <w:r w:rsidR="0050598D">
        <w:rPr>
          <w:spacing w:val="-2"/>
          <w:lang w:val="en-GB"/>
        </w:rPr>
        <w:t xml:space="preserve">PR of </w:t>
      </w:r>
      <w:r w:rsidRPr="000D0E5E">
        <w:rPr>
          <w:spacing w:val="-2"/>
          <w:lang w:val="en-GB"/>
        </w:rPr>
        <w:t>N</w:t>
      </w:r>
      <w:r w:rsidRPr="000D0E5E">
        <w:rPr>
          <w:spacing w:val="-2"/>
          <w:vertAlign w:val="subscript"/>
          <w:lang w:val="en-GB"/>
        </w:rPr>
        <w:t>2</w:t>
      </w:r>
      <w:r w:rsidR="0050598D">
        <w:rPr>
          <w:spacing w:val="-2"/>
          <w:lang w:val="en-GB"/>
        </w:rPr>
        <w:t xml:space="preserve">O- or </w:t>
      </w:r>
      <w:r w:rsidRPr="000D0E5E">
        <w:rPr>
          <w:spacing w:val="-2"/>
          <w:lang w:val="en-GB"/>
        </w:rPr>
        <w:t>Argon-saturated solutions</w:t>
      </w:r>
      <w:r>
        <w:rPr>
          <w:spacing w:val="-2"/>
          <w:lang w:val="en-GB"/>
        </w:rPr>
        <w:t xml:space="preserve">; </w:t>
      </w:r>
      <w:r w:rsidRPr="00C26534">
        <w:rPr>
          <w:i/>
          <w:spacing w:val="-2"/>
          <w:lang w:val="en-GB"/>
        </w:rPr>
        <w:t>c</w:t>
      </w:r>
      <w:r>
        <w:rPr>
          <w:spacing w:val="-2"/>
          <w:lang w:val="en-GB"/>
        </w:rPr>
        <w:t>(</w:t>
      </w:r>
      <w:r w:rsidRPr="005766CA">
        <w:rPr>
          <w:spacing w:val="-2"/>
          <w:lang w:val="en-GB"/>
        </w:rPr>
        <w:t>Na</w:t>
      </w:r>
      <w:r w:rsidRPr="005766CA">
        <w:rPr>
          <w:spacing w:val="-2"/>
          <w:vertAlign w:val="subscript"/>
          <w:lang w:val="en-GB"/>
        </w:rPr>
        <w:t>2</w:t>
      </w:r>
      <w:r>
        <w:rPr>
          <w:spacing w:val="-2"/>
          <w:lang w:val="en-GB"/>
        </w:rPr>
        <w:t>(</w:t>
      </w:r>
      <w:r w:rsidRPr="005766CA">
        <w:rPr>
          <w:spacing w:val="-2"/>
          <w:lang w:val="en-GB"/>
        </w:rPr>
        <w:t>COO</w:t>
      </w:r>
      <w:r w:rsidRPr="00155F60">
        <w:rPr>
          <w:spacing w:val="-2"/>
          <w:lang w:val="en-GB"/>
        </w:rPr>
        <w:t>)</w:t>
      </w:r>
      <w:r w:rsidRPr="00155F60">
        <w:rPr>
          <w:spacing w:val="-2"/>
          <w:vertAlign w:val="subscript"/>
          <w:lang w:val="en-GB"/>
        </w:rPr>
        <w:t>2</w:t>
      </w:r>
      <w:r>
        <w:rPr>
          <w:spacing w:val="-2"/>
          <w:lang w:val="en-GB"/>
        </w:rPr>
        <w:t>)</w:t>
      </w:r>
      <w:r w:rsidRPr="00155F60">
        <w:rPr>
          <w:spacing w:val="-2"/>
          <w:lang w:val="en-GB"/>
        </w:rPr>
        <w:t xml:space="preserve"> = </w:t>
      </w:r>
      <w:r>
        <w:rPr>
          <w:spacing w:val="-2"/>
          <w:lang w:val="en-GB"/>
        </w:rPr>
        <w:t>2</w:t>
      </w:r>
      <w:r w:rsidRPr="00155F60">
        <w:rPr>
          <w:spacing w:val="-2"/>
          <w:lang w:val="en-GB"/>
        </w:rPr>
        <w:t xml:space="preserve"> x 10</w:t>
      </w:r>
      <w:r w:rsidRPr="00155F60">
        <w:rPr>
          <w:spacing w:val="-2"/>
          <w:vertAlign w:val="superscript"/>
          <w:lang w:val="en-GB"/>
        </w:rPr>
        <w:t>-</w:t>
      </w:r>
      <w:r w:rsidR="00FE2F41">
        <w:rPr>
          <w:spacing w:val="-2"/>
          <w:vertAlign w:val="superscript"/>
          <w:lang w:val="en-GB"/>
        </w:rPr>
        <w:t>2</w:t>
      </w:r>
      <w:r w:rsidRPr="00155F60">
        <w:rPr>
          <w:spacing w:val="-2"/>
          <w:lang w:val="en-GB"/>
        </w:rPr>
        <w:t xml:space="preserve"> M</w:t>
      </w:r>
      <w:r w:rsidR="00FE2F41">
        <w:rPr>
          <w:spacing w:val="-2"/>
          <w:lang w:val="en-GB"/>
        </w:rPr>
        <w:t>; reaction was observed spectroscopically at 250 nm.</w:t>
      </w:r>
    </w:p>
    <w:p w:rsidR="005766CA" w:rsidRPr="00155F60" w:rsidRDefault="005766CA" w:rsidP="005329DE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B26A4C" w:rsidRDefault="00C958C8" w:rsidP="0018139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  <w:r w:rsidRPr="004115E8">
        <w:rPr>
          <w:spacing w:val="-2"/>
          <w:lang w:val="en-CA"/>
        </w:rPr>
        <w:t>(</w:t>
      </w:r>
      <w:r w:rsidR="005766CA">
        <w:rPr>
          <w:spacing w:val="-2"/>
          <w:lang w:val="en-CA"/>
        </w:rPr>
        <w:t>f</w:t>
      </w:r>
      <w:r w:rsidRPr="004115E8">
        <w:rPr>
          <w:spacing w:val="-2"/>
          <w:lang w:val="en-CA"/>
        </w:rPr>
        <w:t>)</w:t>
      </w:r>
      <w:r w:rsidRPr="004115E8">
        <w:rPr>
          <w:spacing w:val="-2"/>
          <w:lang w:val="en-CA"/>
        </w:rPr>
        <w:tab/>
      </w:r>
      <w:r w:rsidR="0050598D">
        <w:rPr>
          <w:spacing w:val="-2"/>
          <w:lang w:val="en-CA"/>
        </w:rPr>
        <w:t xml:space="preserve">PR of </w:t>
      </w:r>
      <w:r w:rsidRPr="000D0E5E">
        <w:rPr>
          <w:spacing w:val="-2"/>
          <w:lang w:val="en-GB"/>
        </w:rPr>
        <w:t>N</w:t>
      </w:r>
      <w:r w:rsidRPr="000D0E5E">
        <w:rPr>
          <w:spacing w:val="-2"/>
          <w:vertAlign w:val="subscript"/>
          <w:lang w:val="en-GB"/>
        </w:rPr>
        <w:t>2</w:t>
      </w:r>
      <w:r w:rsidRPr="000D0E5E">
        <w:rPr>
          <w:spacing w:val="-2"/>
          <w:lang w:val="en-GB"/>
        </w:rPr>
        <w:t>O-</w:t>
      </w:r>
      <w:r w:rsidR="0050598D">
        <w:rPr>
          <w:spacing w:val="-2"/>
          <w:lang w:val="en-GB"/>
        </w:rPr>
        <w:t xml:space="preserve"> or A</w:t>
      </w:r>
      <w:r w:rsidRPr="000D0E5E">
        <w:rPr>
          <w:spacing w:val="-2"/>
          <w:lang w:val="en-GB"/>
        </w:rPr>
        <w:t>rgon-saturated solutions</w:t>
      </w:r>
      <w:r w:rsidR="00551838">
        <w:rPr>
          <w:spacing w:val="-2"/>
          <w:lang w:val="en-GB"/>
        </w:rPr>
        <w:t>;</w:t>
      </w:r>
      <w:r>
        <w:rPr>
          <w:spacing w:val="-2"/>
          <w:lang w:val="en-GB"/>
        </w:rPr>
        <w:t xml:space="preserve"> </w:t>
      </w:r>
      <w:r w:rsidR="00C26534" w:rsidRPr="00C26534">
        <w:rPr>
          <w:i/>
          <w:spacing w:val="-2"/>
          <w:lang w:val="en-GB"/>
        </w:rPr>
        <w:t>c</w:t>
      </w:r>
      <w:r w:rsidR="00C26534">
        <w:rPr>
          <w:spacing w:val="-2"/>
          <w:lang w:val="en-GB"/>
        </w:rPr>
        <w:t>(</w:t>
      </w:r>
      <w:r>
        <w:rPr>
          <w:spacing w:val="-2"/>
          <w:lang w:val="en-GB"/>
        </w:rPr>
        <w:t>(</w:t>
      </w:r>
      <w:r w:rsidRPr="00155F60">
        <w:rPr>
          <w:spacing w:val="-2"/>
          <w:lang w:val="en-GB"/>
        </w:rPr>
        <w:t>COO</w:t>
      </w:r>
      <w:r w:rsidRPr="00155F60">
        <w:rPr>
          <w:spacing w:val="-2"/>
          <w:vertAlign w:val="superscript"/>
          <w:lang w:val="en-GB"/>
        </w:rPr>
        <w:t>-</w:t>
      </w:r>
      <w:r w:rsidRPr="00155F60">
        <w:rPr>
          <w:spacing w:val="-2"/>
          <w:lang w:val="en-GB"/>
        </w:rPr>
        <w:t>)</w:t>
      </w:r>
      <w:r w:rsidRPr="00155F60">
        <w:rPr>
          <w:spacing w:val="-2"/>
          <w:vertAlign w:val="subscript"/>
          <w:lang w:val="en-GB"/>
        </w:rPr>
        <w:t>2</w:t>
      </w:r>
      <w:r w:rsidR="00C26534">
        <w:rPr>
          <w:spacing w:val="-2"/>
          <w:lang w:val="en-GB"/>
        </w:rPr>
        <w:t>)</w:t>
      </w:r>
      <w:r w:rsidRPr="00155F60">
        <w:rPr>
          <w:spacing w:val="-2"/>
          <w:lang w:val="en-GB"/>
        </w:rPr>
        <w:t xml:space="preserve"> = 5 x 10</w:t>
      </w:r>
      <w:r w:rsidRPr="00155F60">
        <w:rPr>
          <w:spacing w:val="-2"/>
          <w:vertAlign w:val="superscript"/>
          <w:lang w:val="en-GB"/>
        </w:rPr>
        <w:t>-3</w:t>
      </w:r>
      <w:r w:rsidRPr="00155F60">
        <w:rPr>
          <w:spacing w:val="-2"/>
          <w:lang w:val="en-GB"/>
        </w:rPr>
        <w:t xml:space="preserve"> M</w:t>
      </w:r>
      <w:r w:rsidR="00551838">
        <w:rPr>
          <w:spacing w:val="-2"/>
          <w:lang w:val="en-GB"/>
        </w:rPr>
        <w:t>;</w:t>
      </w:r>
      <w:r w:rsidR="00E57B9C">
        <w:rPr>
          <w:spacing w:val="-2"/>
          <w:lang w:val="en-GB"/>
        </w:rPr>
        <w:t xml:space="preserve"> </w:t>
      </w:r>
      <w:r w:rsidR="00622389" w:rsidRPr="00622389">
        <w:rPr>
          <w:spacing w:val="-2"/>
          <w:lang w:val="en-GB"/>
        </w:rPr>
        <w:t xml:space="preserve">The radical anion </w:t>
      </w:r>
      <w:r w:rsidR="00D82FEB" w:rsidRPr="000D0E5E">
        <w:rPr>
          <w:spacing w:val="-2"/>
          <w:lang w:val="en-GB"/>
        </w:rPr>
        <w:t>·</w:t>
      </w:r>
      <w:r w:rsidR="00622389" w:rsidRPr="00622389">
        <w:rPr>
          <w:spacing w:val="-2"/>
          <w:lang w:val="en-GB"/>
        </w:rPr>
        <w:t>OOC</w:t>
      </w:r>
      <w:r w:rsidR="0005521E">
        <w:rPr>
          <w:spacing w:val="-2"/>
          <w:lang w:val="en-GB"/>
        </w:rPr>
        <w:noBreakHyphen/>
      </w:r>
      <w:r w:rsidR="00622389" w:rsidRPr="00622389">
        <w:rPr>
          <w:spacing w:val="-2"/>
          <w:lang w:val="en-GB"/>
        </w:rPr>
        <w:t>COO</w:t>
      </w:r>
      <w:r w:rsidR="00270156">
        <w:rPr>
          <w:spacing w:val="-2"/>
          <w:vertAlign w:val="superscript"/>
          <w:lang w:val="en-GB"/>
        </w:rPr>
        <w:t>-</w:t>
      </w:r>
      <w:r w:rsidR="00622389" w:rsidRPr="00622389">
        <w:rPr>
          <w:spacing w:val="-2"/>
          <w:lang w:val="en-GB"/>
        </w:rPr>
        <w:t xml:space="preserve"> exhibits absorption that monotonically increases on going to 220</w:t>
      </w:r>
      <w:r w:rsidR="00270156">
        <w:rPr>
          <w:spacing w:val="-2"/>
          <w:lang w:val="en-GB"/>
        </w:rPr>
        <w:t> </w:t>
      </w:r>
      <w:r w:rsidR="00622389" w:rsidRPr="00622389">
        <w:rPr>
          <w:spacing w:val="-2"/>
          <w:lang w:val="en-GB"/>
        </w:rPr>
        <w:t>nm (</w:t>
      </w:r>
      <w:r w:rsidR="00270156">
        <w:rPr>
          <w:lang w:val="en-CA"/>
        </w:rPr>
        <w:t>ε </w:t>
      </w:r>
      <w:r w:rsidR="00270156" w:rsidRPr="00875CB1">
        <w:rPr>
          <w:vertAlign w:val="subscript"/>
          <w:lang w:val="en-CA"/>
        </w:rPr>
        <w:t>2</w:t>
      </w:r>
      <w:r w:rsidR="00270156">
        <w:rPr>
          <w:vertAlign w:val="subscript"/>
          <w:lang w:val="en-CA"/>
        </w:rPr>
        <w:t>20</w:t>
      </w:r>
      <w:r w:rsidR="00270156" w:rsidRPr="00875CB1">
        <w:rPr>
          <w:vertAlign w:val="subscript"/>
          <w:lang w:val="en-CA"/>
        </w:rPr>
        <w:t>nm</w:t>
      </w:r>
      <w:r w:rsidR="00551838">
        <w:rPr>
          <w:lang w:val="en-CA"/>
        </w:rPr>
        <w:t> </w:t>
      </w:r>
      <w:r w:rsidR="00622389" w:rsidRPr="00622389">
        <w:rPr>
          <w:spacing w:val="-2"/>
          <w:lang w:val="en-GB"/>
        </w:rPr>
        <w:t xml:space="preserve">= 1800 </w:t>
      </w:r>
      <w:r w:rsidR="00270156">
        <w:rPr>
          <w:spacing w:val="-2"/>
          <w:lang w:val="en-GB"/>
        </w:rPr>
        <w:t>L</w:t>
      </w:r>
      <w:r w:rsidR="00622389" w:rsidRPr="00622389">
        <w:rPr>
          <w:spacing w:val="-2"/>
          <w:lang w:val="en-GB"/>
        </w:rPr>
        <w:t xml:space="preserve"> mol</w:t>
      </w:r>
      <w:r w:rsidR="00622389" w:rsidRPr="00270156">
        <w:rPr>
          <w:spacing w:val="-2"/>
          <w:vertAlign w:val="superscript"/>
          <w:lang w:val="en-GB"/>
        </w:rPr>
        <w:t>–1</w:t>
      </w:r>
      <w:r w:rsidR="00622389" w:rsidRPr="00622389">
        <w:rPr>
          <w:spacing w:val="-2"/>
          <w:lang w:val="en-GB"/>
        </w:rPr>
        <w:t xml:space="preserve"> cm</w:t>
      </w:r>
      <w:r w:rsidR="00622389" w:rsidRPr="00270156">
        <w:rPr>
          <w:spacing w:val="-2"/>
          <w:vertAlign w:val="superscript"/>
          <w:lang w:val="en-GB"/>
        </w:rPr>
        <w:t>–1</w:t>
      </w:r>
      <w:r w:rsidR="00622389" w:rsidRPr="00622389">
        <w:rPr>
          <w:spacing w:val="-2"/>
          <w:lang w:val="en-GB"/>
        </w:rPr>
        <w:t>)</w:t>
      </w:r>
      <w:r w:rsidR="00270156">
        <w:rPr>
          <w:spacing w:val="-2"/>
          <w:lang w:val="en-GB"/>
        </w:rPr>
        <w:t>.</w:t>
      </w:r>
    </w:p>
    <w:p w:rsidR="00687A07" w:rsidRDefault="00687A07" w:rsidP="0018139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687A07" w:rsidRPr="00181391" w:rsidRDefault="00687A07" w:rsidP="0018139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270156" w:rsidRPr="00F16250" w:rsidRDefault="00270156" w:rsidP="00270156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 Values</w:t>
      </w:r>
    </w:p>
    <w:p w:rsidR="00270156" w:rsidRPr="00F16250" w:rsidRDefault="00270156" w:rsidP="00270156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270156" w:rsidRPr="00F16250" w:rsidTr="004006E3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270156" w:rsidRPr="00F16250" w:rsidTr="004006E3">
        <w:tc>
          <w:tcPr>
            <w:tcW w:w="2059" w:type="dxa"/>
            <w:tcBorders>
              <w:top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270156" w:rsidRPr="00F16250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70156" w:rsidRPr="0098127C" w:rsidTr="004006E3">
        <w:tc>
          <w:tcPr>
            <w:tcW w:w="2059" w:type="dxa"/>
          </w:tcPr>
          <w:p w:rsidR="00270156" w:rsidRPr="004901BF" w:rsidRDefault="00270156" w:rsidP="0005521E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</w:t>
            </w:r>
            <w:r w:rsidR="0005521E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270156" w:rsidRPr="0098127C" w:rsidRDefault="00A55AF6" w:rsidP="0002155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98127C">
              <w:rPr>
                <w:spacing w:val="-2"/>
                <w:vertAlign w:val="subscript"/>
                <w:lang w:val="en-US"/>
              </w:rPr>
              <w:t>1</w:t>
            </w:r>
            <w:r w:rsidRPr="0098127C">
              <w:rPr>
                <w:spacing w:val="-2"/>
                <w:lang w:val="en-US"/>
              </w:rPr>
              <w:t> = 1.</w:t>
            </w:r>
            <w:r w:rsidR="00021552">
              <w:rPr>
                <w:spacing w:val="-2"/>
                <w:lang w:val="en-US"/>
              </w:rPr>
              <w:t>4</w:t>
            </w:r>
            <w:r w:rsid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>
              <w:rPr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2175" w:type="dxa"/>
          </w:tcPr>
          <w:p w:rsidR="00270156" w:rsidRPr="0098127C" w:rsidRDefault="00A55AF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0156" w:rsidRPr="0098127C" w:rsidTr="004006E3">
        <w:tc>
          <w:tcPr>
            <w:tcW w:w="205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270156" w:rsidRPr="0098127C" w:rsidTr="004006E3">
        <w:tc>
          <w:tcPr>
            <w:tcW w:w="2059" w:type="dxa"/>
          </w:tcPr>
          <w:p w:rsidR="00270156" w:rsidRPr="0098127C" w:rsidRDefault="00270156" w:rsidP="0005521E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98127C">
              <w:rPr>
                <w:rFonts w:ascii="Times New Roman" w:hAnsi="Times New Roman" w:cs="Times New Roman"/>
                <w:i/>
                <w:color w:val="000000"/>
                <w:vertAlign w:val="subscript"/>
                <w:lang w:val="en-US" w:eastAsia="de-DE"/>
              </w:rPr>
              <w:t>2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 </w:t>
            </w:r>
            <w:r w:rsidR="0005521E"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L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mol</w:t>
            </w:r>
            <w:r w:rsidRPr="0098127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98127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5069" w:type="dxa"/>
          </w:tcPr>
          <w:p w:rsidR="00270156" w:rsidRPr="0098127C" w:rsidRDefault="00A55AF6" w:rsidP="0002155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2072C8">
              <w:rPr>
                <w:i/>
              </w:rPr>
              <w:t>k</w:t>
            </w:r>
            <w:r w:rsidRPr="0098127C">
              <w:rPr>
                <w:spacing w:val="-2"/>
                <w:vertAlign w:val="subscript"/>
                <w:lang w:val="en-US"/>
              </w:rPr>
              <w:t>2</w:t>
            </w:r>
            <w:r w:rsidRPr="0098127C">
              <w:rPr>
                <w:spacing w:val="-2"/>
                <w:lang w:val="en-US"/>
              </w:rPr>
              <w:t> = </w:t>
            </w:r>
            <w:r w:rsidR="00067FA1">
              <w:rPr>
                <w:spacing w:val="-2"/>
                <w:lang w:val="en-US"/>
              </w:rPr>
              <w:t>1.0</w:t>
            </w:r>
            <w:r w:rsidRPr="00364535">
              <w:rPr>
                <w:spacing w:val="-3"/>
                <w:lang w:val="en-US"/>
              </w:rPr>
              <w:sym w:font="Symbol" w:char="F0B4"/>
            </w:r>
            <w:r w:rsidRPr="00364535">
              <w:rPr>
                <w:spacing w:val="-2"/>
                <w:lang w:val="fr-FR"/>
              </w:rPr>
              <w:t xml:space="preserve"> 10</w:t>
            </w:r>
            <w:r w:rsidR="00067FA1"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2175" w:type="dxa"/>
          </w:tcPr>
          <w:p w:rsidR="00270156" w:rsidRPr="0098127C" w:rsidRDefault="001228B4" w:rsidP="0098127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 w:rsid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9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8</w:t>
            </w:r>
          </w:p>
        </w:tc>
      </w:tr>
      <w:tr w:rsidR="00270156" w:rsidRPr="0098127C" w:rsidTr="004006E3">
        <w:tc>
          <w:tcPr>
            <w:tcW w:w="205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270156" w:rsidRPr="0098127C" w:rsidTr="004006E3">
        <w:tc>
          <w:tcPr>
            <w:tcW w:w="2059" w:type="dxa"/>
          </w:tcPr>
          <w:p w:rsidR="00270156" w:rsidRPr="0098127C" w:rsidRDefault="00270156" w:rsidP="0005521E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98127C">
              <w:rPr>
                <w:rFonts w:ascii="Times New Roman" w:hAnsi="Times New Roman" w:cs="Times New Roman"/>
                <w:i/>
                <w:color w:val="000000"/>
                <w:vertAlign w:val="subscript"/>
                <w:lang w:val="en-US" w:eastAsia="de-DE"/>
              </w:rPr>
              <w:t>3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 </w:t>
            </w:r>
            <w:r w:rsidR="0005521E"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L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mol</w:t>
            </w:r>
            <w:r w:rsidRPr="0098127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98127C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5069" w:type="dxa"/>
          </w:tcPr>
          <w:p w:rsidR="00270156" w:rsidRPr="0098127C" w:rsidRDefault="00F62FC2" w:rsidP="0002155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i/>
              </w:rPr>
              <w:t>k</w:t>
            </w:r>
            <w:r>
              <w:rPr>
                <w:spacing w:val="-2"/>
                <w:vertAlign w:val="subscript"/>
                <w:lang w:val="en-US"/>
              </w:rPr>
              <w:t>3</w:t>
            </w:r>
            <w:r w:rsidR="002072C8" w:rsidRPr="0098127C">
              <w:rPr>
                <w:spacing w:val="-2"/>
                <w:lang w:val="en-US"/>
              </w:rPr>
              <w:t> = </w:t>
            </w:r>
            <w:r w:rsidR="003C4AA7">
              <w:rPr>
                <w:spacing w:val="-2"/>
                <w:lang w:val="en-US"/>
              </w:rPr>
              <w:t>6</w:t>
            </w:r>
            <w:r w:rsidR="00067FA1">
              <w:rPr>
                <w:spacing w:val="-2"/>
                <w:lang w:val="en-US"/>
              </w:rPr>
              <w:t xml:space="preserve"> </w:t>
            </w:r>
            <w:r w:rsidR="002072C8" w:rsidRPr="00364535">
              <w:rPr>
                <w:spacing w:val="-3"/>
                <w:lang w:val="en-US"/>
              </w:rPr>
              <w:sym w:font="Symbol" w:char="F0B4"/>
            </w:r>
            <w:r w:rsidR="002072C8" w:rsidRPr="00364535">
              <w:rPr>
                <w:spacing w:val="-2"/>
                <w:lang w:val="fr-FR"/>
              </w:rPr>
              <w:t xml:space="preserve"> 10</w:t>
            </w:r>
            <w:r w:rsidR="002072C8">
              <w:rPr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2175" w:type="dxa"/>
          </w:tcPr>
          <w:p w:rsidR="00270156" w:rsidRPr="0098127C" w:rsidRDefault="001228B4" w:rsidP="002072C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 w:rsidR="002072C8">
              <w:rPr>
                <w:rFonts w:ascii="Times New Roman" w:hAnsi="Times New Roman" w:cs="Times New Roman"/>
                <w:color w:val="000000"/>
                <w:lang w:val="en-US" w:eastAsia="de-DE"/>
              </w:rPr>
              <w:t>9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>8</w:t>
            </w:r>
          </w:p>
        </w:tc>
      </w:tr>
      <w:tr w:rsidR="00270156" w:rsidRPr="0098127C" w:rsidTr="004006E3">
        <w:tc>
          <w:tcPr>
            <w:tcW w:w="205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:rsidR="00270156" w:rsidRPr="0098127C" w:rsidRDefault="00270156" w:rsidP="0027015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270156" w:rsidRPr="0098127C" w:rsidRDefault="00270156" w:rsidP="0027015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98127C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270156" w:rsidRPr="0098127C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98127C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  <w:r w:rsidRPr="0098127C">
              <w:rPr>
                <w:rFonts w:ascii="Times New Roman" w:hAnsi="Times New Roman" w:cs="Times New Roman"/>
                <w:i/>
                <w:color w:val="000000"/>
                <w:vertAlign w:val="subscript"/>
                <w:lang w:val="en-US" w:eastAsia="de-DE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270156" w:rsidP="00270156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8127C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± </w:t>
            </w:r>
            <w:r w:rsidR="00D75C50">
              <w:rPr>
                <w:rFonts w:ascii="Times New Roman" w:hAnsi="Times New Roman" w:cs="Times New Roman"/>
                <w:color w:val="000000"/>
                <w:lang w:val="en-US" w:eastAsia="de-DE"/>
              </w:rPr>
              <w:t>0.11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3C4AA7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0156" w:rsidRPr="0098127C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98127C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270156" w:rsidRPr="00067FA1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067FA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  <w:r w:rsidRPr="00067FA1">
              <w:rPr>
                <w:rFonts w:ascii="Times New Roman" w:hAnsi="Times New Roman" w:cs="Times New Roman"/>
                <w:i/>
                <w:color w:val="000000"/>
                <w:vertAlign w:val="subscript"/>
                <w:lang w:val="en-US" w:eastAsia="de-DE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D75C50" w:rsidP="003C4AA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 0.30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1228B4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0156" w:rsidRPr="00067FA1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270156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270156" w:rsidRPr="00067FA1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27015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067FA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  <w:r w:rsidRPr="00067FA1">
              <w:rPr>
                <w:rFonts w:ascii="Times New Roman" w:hAnsi="Times New Roman" w:cs="Times New Roman"/>
                <w:i/>
                <w:color w:val="000000"/>
                <w:vertAlign w:val="subscript"/>
                <w:lang w:val="en-US" w:eastAsia="de-DE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1228B4" w:rsidP="003C4AA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± </w:t>
            </w:r>
            <w:r w:rsidR="00D75C50">
              <w:rPr>
                <w:rFonts w:ascii="Times New Roman" w:hAnsi="Times New Roman" w:cs="Times New Roman"/>
                <w:color w:val="000000"/>
                <w:lang w:val="en-US" w:eastAsia="de-DE"/>
              </w:rPr>
              <w:t>0.20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1228B4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067FA1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0156" w:rsidRPr="00067FA1" w:rsidTr="004006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270156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70156" w:rsidRPr="00067FA1" w:rsidRDefault="00270156" w:rsidP="004006E3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:rsidR="00270156" w:rsidRPr="00067FA1" w:rsidRDefault="00270156" w:rsidP="0027015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40366F" w:rsidRPr="00067FA1" w:rsidRDefault="0040366F" w:rsidP="0027015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270156" w:rsidRPr="00F16250" w:rsidRDefault="00270156" w:rsidP="0027015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8B73EC" w:rsidRDefault="008B73EC" w:rsidP="008B73E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C147AC" w:rsidRDefault="00C147AC" w:rsidP="003C4AA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  <w:r w:rsidRPr="00375048">
        <w:rPr>
          <w:spacing w:val="-2"/>
          <w:lang w:val="en-GB"/>
        </w:rPr>
        <w:t>Available rate constants are largely scattered.</w:t>
      </w:r>
      <w:r w:rsidR="003C4AA7" w:rsidRPr="00375048">
        <w:rPr>
          <w:spacing w:val="-2"/>
          <w:lang w:val="en-GB"/>
        </w:rPr>
        <w:t xml:space="preserve"> Therefore, only room temperature rate constants are recommended as follows: For k</w:t>
      </w:r>
      <w:r w:rsidR="003C4AA7" w:rsidRPr="00375048">
        <w:rPr>
          <w:spacing w:val="-2"/>
          <w:vertAlign w:val="subscript"/>
          <w:lang w:val="en-GB"/>
        </w:rPr>
        <w:t>1</w:t>
      </w:r>
      <w:r w:rsidR="003C4AA7" w:rsidRPr="00375048">
        <w:rPr>
          <w:spacing w:val="-2"/>
          <w:lang w:val="en-GB"/>
        </w:rPr>
        <w:t xml:space="preserve"> (the undissociated oxal</w:t>
      </w:r>
      <w:r w:rsidR="009C28B6">
        <w:rPr>
          <w:spacing w:val="-2"/>
          <w:lang w:val="en-GB"/>
        </w:rPr>
        <w:t>ic</w:t>
      </w:r>
      <w:r w:rsidR="003C4AA7" w:rsidRPr="00375048">
        <w:rPr>
          <w:spacing w:val="-2"/>
          <w:lang w:val="en-GB"/>
        </w:rPr>
        <w:t xml:space="preserve"> acid</w:t>
      </w:r>
      <w:r w:rsidR="00375048" w:rsidRPr="00375048">
        <w:rPr>
          <w:spacing w:val="-2"/>
          <w:lang w:val="en-GB"/>
        </w:rPr>
        <w:t xml:space="preserve"> reaction</w:t>
      </w:r>
      <w:r w:rsidR="003C4AA7" w:rsidRPr="00375048">
        <w:rPr>
          <w:spacing w:val="-2"/>
          <w:lang w:val="en-GB"/>
        </w:rPr>
        <w:t>) the recommendation is the value of Buxton et al. (1988). For k</w:t>
      </w:r>
      <w:r w:rsidR="003C4AA7" w:rsidRPr="00375048">
        <w:rPr>
          <w:spacing w:val="-2"/>
          <w:vertAlign w:val="subscript"/>
          <w:lang w:val="en-GB"/>
        </w:rPr>
        <w:t>2</w:t>
      </w:r>
      <w:r w:rsidR="003C4AA7" w:rsidRPr="00375048">
        <w:rPr>
          <w:spacing w:val="-2"/>
          <w:lang w:val="en-GB"/>
        </w:rPr>
        <w:t xml:space="preserve"> (oxalate mono-anion) the recommended value is the average of the room temperature rate constants given by Buxton et al. (1988) and Ervens et al. (2003). For the oxalate dianion</w:t>
      </w:r>
      <w:r w:rsidR="00375048">
        <w:rPr>
          <w:spacing w:val="-2"/>
          <w:lang w:val="en-GB"/>
        </w:rPr>
        <w:t xml:space="preserve"> reaction (k</w:t>
      </w:r>
      <w:r w:rsidR="00375048" w:rsidRPr="00375048">
        <w:rPr>
          <w:spacing w:val="-2"/>
          <w:vertAlign w:val="subscript"/>
          <w:lang w:val="en-GB"/>
        </w:rPr>
        <w:t>3</w:t>
      </w:r>
      <w:r w:rsidR="00375048">
        <w:rPr>
          <w:spacing w:val="-2"/>
          <w:lang w:val="en-GB"/>
        </w:rPr>
        <w:t>)</w:t>
      </w:r>
      <w:r w:rsidR="003C4AA7" w:rsidRPr="00375048">
        <w:rPr>
          <w:spacing w:val="-2"/>
          <w:lang w:val="en-GB"/>
        </w:rPr>
        <w:t xml:space="preserve">, the recommended value is the average of the data by Buxton et al. (1988), Ervens et al. (2003) and Ershov et al (2007). </w:t>
      </w:r>
      <w:r w:rsidR="00067FA1">
        <w:rPr>
          <w:spacing w:val="-2"/>
          <w:lang w:val="en-GB"/>
        </w:rPr>
        <w:t xml:space="preserve">The relative </w:t>
      </w:r>
      <w:r w:rsidR="003C4AA7" w:rsidRPr="00375048">
        <w:rPr>
          <w:spacing w:val="-2"/>
          <w:lang w:val="en-GB"/>
        </w:rPr>
        <w:t>error</w:t>
      </w:r>
      <w:r w:rsidR="00067FA1">
        <w:rPr>
          <w:spacing w:val="-2"/>
          <w:lang w:val="en-GB"/>
        </w:rPr>
        <w:t>s</w:t>
      </w:r>
      <w:r w:rsidR="003C4AA7" w:rsidRPr="00375048">
        <w:rPr>
          <w:spacing w:val="-2"/>
          <w:lang w:val="en-GB"/>
        </w:rPr>
        <w:t xml:space="preserve"> of the average recommended rate constants is estimated</w:t>
      </w:r>
      <w:r w:rsidR="00067FA1">
        <w:rPr>
          <w:spacing w:val="-2"/>
          <w:lang w:val="en-GB"/>
        </w:rPr>
        <w:t xml:space="preserve"> to </w:t>
      </w:r>
      <w:r w:rsidR="00067FA1" w:rsidRPr="0098127C">
        <w:rPr>
          <w:rFonts w:ascii="Times New Roman" w:hAnsi="Times New Roman" w:cs="Times New Roman"/>
          <w:color w:val="000000"/>
          <w:lang w:val="en-US" w:eastAsia="de-DE"/>
        </w:rPr>
        <w:t xml:space="preserve">± 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 xml:space="preserve">20 %, </w:t>
      </w:r>
      <w:r w:rsidR="00067FA1" w:rsidRPr="0098127C">
        <w:rPr>
          <w:rFonts w:ascii="Times New Roman" w:hAnsi="Times New Roman" w:cs="Times New Roman"/>
          <w:color w:val="000000"/>
          <w:lang w:val="en-US" w:eastAsia="de-DE"/>
        </w:rPr>
        <w:t xml:space="preserve">± 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>50 %</w:t>
      </w:r>
      <w:r w:rsidR="003C4AA7" w:rsidRPr="00375048">
        <w:rPr>
          <w:spacing w:val="-2"/>
          <w:lang w:val="en-GB"/>
        </w:rPr>
        <w:t xml:space="preserve"> </w:t>
      </w:r>
      <w:r w:rsidR="00067FA1">
        <w:rPr>
          <w:spacing w:val="-2"/>
          <w:lang w:val="en-GB"/>
        </w:rPr>
        <w:t xml:space="preserve">and </w:t>
      </w:r>
      <w:r w:rsidR="00067FA1" w:rsidRPr="0098127C">
        <w:rPr>
          <w:rFonts w:ascii="Times New Roman" w:hAnsi="Times New Roman" w:cs="Times New Roman"/>
          <w:color w:val="000000"/>
          <w:lang w:val="en-US" w:eastAsia="de-DE"/>
        </w:rPr>
        <w:t xml:space="preserve">± 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 xml:space="preserve">30 % for </w:t>
      </w:r>
      <w:r w:rsidR="00067FA1" w:rsidRPr="00067FA1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067FA1" w:rsidRPr="00067FA1">
        <w:rPr>
          <w:rFonts w:ascii="Times New Roman" w:hAnsi="Times New Roman" w:cs="Times New Roman"/>
          <w:color w:val="000000"/>
          <w:vertAlign w:val="subscript"/>
          <w:lang w:val="en-US" w:eastAsia="de-DE"/>
        </w:rPr>
        <w:t>1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 xml:space="preserve">, </w:t>
      </w:r>
      <w:r w:rsidR="00067FA1" w:rsidRPr="00067FA1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067FA1" w:rsidRPr="00067FA1">
        <w:rPr>
          <w:rFonts w:ascii="Times New Roman" w:hAnsi="Times New Roman" w:cs="Times New Roman"/>
          <w:color w:val="000000"/>
          <w:vertAlign w:val="subscript"/>
          <w:lang w:val="en-US" w:eastAsia="de-DE"/>
        </w:rPr>
        <w:t>2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 xml:space="preserve"> and </w:t>
      </w:r>
      <w:r w:rsidR="00067FA1" w:rsidRPr="00067FA1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067FA1" w:rsidRPr="00067FA1">
        <w:rPr>
          <w:rFonts w:ascii="Times New Roman" w:hAnsi="Times New Roman" w:cs="Times New Roman"/>
          <w:color w:val="000000"/>
          <w:vertAlign w:val="subscript"/>
          <w:lang w:val="en-US" w:eastAsia="de-DE"/>
        </w:rPr>
        <w:t>3</w:t>
      </w:r>
      <w:r w:rsidR="00067FA1">
        <w:rPr>
          <w:rFonts w:ascii="Times New Roman" w:hAnsi="Times New Roman" w:cs="Times New Roman"/>
          <w:color w:val="000000"/>
          <w:lang w:val="en-US" w:eastAsia="de-DE"/>
        </w:rPr>
        <w:t>, respectively. No</w:t>
      </w:r>
      <w:r w:rsidR="003C4AA7" w:rsidRPr="00375048">
        <w:rPr>
          <w:spacing w:val="-2"/>
          <w:lang w:val="en-GB"/>
        </w:rPr>
        <w:t xml:space="preserve"> T-dependence is currently recommended. Overall, </w:t>
      </w:r>
      <w:r w:rsidR="00067FA1">
        <w:rPr>
          <w:spacing w:val="-2"/>
          <w:lang w:val="en-GB"/>
        </w:rPr>
        <w:t xml:space="preserve">based on the currently existing </w:t>
      </w:r>
      <w:r w:rsidR="003C4AA7" w:rsidRPr="00375048">
        <w:rPr>
          <w:spacing w:val="-2"/>
          <w:lang w:val="en-GB"/>
        </w:rPr>
        <w:t xml:space="preserve">kinetic data for this set of OH reactions </w:t>
      </w:r>
      <w:r w:rsidR="00067FA1">
        <w:rPr>
          <w:spacing w:val="-2"/>
          <w:lang w:val="en-GB"/>
        </w:rPr>
        <w:t>further measur</w:t>
      </w:r>
      <w:r w:rsidR="00D75C50">
        <w:rPr>
          <w:spacing w:val="-2"/>
          <w:lang w:val="en-GB"/>
        </w:rPr>
        <w:t>e</w:t>
      </w:r>
      <w:r w:rsidR="00067FA1">
        <w:rPr>
          <w:spacing w:val="-2"/>
          <w:lang w:val="en-GB"/>
        </w:rPr>
        <w:t xml:space="preserve">ments </w:t>
      </w:r>
      <w:r w:rsidR="00D75C50">
        <w:rPr>
          <w:spacing w:val="-2"/>
          <w:lang w:val="en-GB"/>
        </w:rPr>
        <w:t xml:space="preserve">appear to be </w:t>
      </w:r>
      <w:r w:rsidR="00067FA1">
        <w:rPr>
          <w:spacing w:val="-2"/>
          <w:lang w:val="en-GB"/>
        </w:rPr>
        <w:t xml:space="preserve">required </w:t>
      </w:r>
      <w:r w:rsidR="003C4AA7" w:rsidRPr="00375048">
        <w:rPr>
          <w:spacing w:val="-2"/>
          <w:lang w:val="en-GB"/>
        </w:rPr>
        <w:t xml:space="preserve">to </w:t>
      </w:r>
      <w:r w:rsidR="00067FA1">
        <w:rPr>
          <w:spacing w:val="-2"/>
          <w:lang w:val="en-GB"/>
        </w:rPr>
        <w:t xml:space="preserve">better </w:t>
      </w:r>
      <w:r w:rsidR="003C4AA7" w:rsidRPr="00375048">
        <w:rPr>
          <w:spacing w:val="-2"/>
          <w:lang w:val="en-GB"/>
        </w:rPr>
        <w:t>resolve the existing discrepancies.</w:t>
      </w:r>
    </w:p>
    <w:p w:rsidR="00551838" w:rsidRDefault="00551838" w:rsidP="00E21159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  <w:lang w:val="en-GB"/>
        </w:rPr>
      </w:pPr>
    </w:p>
    <w:p w:rsidR="00551838" w:rsidRPr="00155F60" w:rsidRDefault="00551838" w:rsidP="008B73E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2"/>
          <w:lang w:val="en-GB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lastRenderedPageBreak/>
        <w:t>References</w:t>
      </w:r>
    </w:p>
    <w:p w:rsidR="0005521E" w:rsidRDefault="0005521E" w:rsidP="0005521E">
      <w:pPr>
        <w:tabs>
          <w:tab w:val="left" w:pos="28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4A3480" w:rsidRPr="004A3480" w:rsidRDefault="004A3480" w:rsidP="004A3480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4A3480">
        <w:rPr>
          <w:rFonts w:ascii="Times New Roman" w:hAnsi="Times New Roman" w:cs="Times New Roman"/>
          <w:color w:val="000000"/>
          <w:lang w:val="en-CA" w:eastAsia="en-CA"/>
        </w:rPr>
        <w:t>Buxton, G. V., Greenstock, C. L., Helman, W. P. and Ross, A. B.: J. Phys. Chem. Ref. Data, 12(2), 513 – 886, 1988.</w:t>
      </w:r>
    </w:p>
    <w:p w:rsidR="00687A07" w:rsidRDefault="00687A07" w:rsidP="0005521E">
      <w:pPr>
        <w:tabs>
          <w:tab w:val="left" w:pos="28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</w:p>
    <w:p w:rsidR="00C81008" w:rsidRDefault="00253345" w:rsidP="0005521E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Chin, M.</w:t>
      </w:r>
      <w:r w:rsidR="007C0AB1" w:rsidRPr="007C0AB1">
        <w:rPr>
          <w:spacing w:val="-3"/>
        </w:rPr>
        <w:t xml:space="preserve"> and Wine, P. H: J. Photochem. Photobiol., A, 69(1), 17-25, 1992.</w:t>
      </w:r>
    </w:p>
    <w:p w:rsidR="007C0AB1" w:rsidRDefault="007C0AB1" w:rsidP="0005521E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4A3480" w:rsidRPr="004A3480" w:rsidRDefault="004A3480" w:rsidP="004A3480">
      <w:pPr>
        <w:jc w:val="both"/>
        <w:rPr>
          <w:color w:val="000000"/>
          <w:lang w:val="en-CA" w:eastAsia="en-CA"/>
        </w:rPr>
      </w:pPr>
      <w:r w:rsidRPr="004A3480">
        <w:rPr>
          <w:color w:val="000000"/>
          <w:lang w:val="en-CA" w:eastAsia="en-CA"/>
        </w:rPr>
        <w:t>Ervens, B., Gligorovski, S. and Herrmann, H.: Phys. Chem. Chem. Phys., 5(9), 1811-1824, 2003.</w:t>
      </w:r>
    </w:p>
    <w:p w:rsidR="007C0AB1" w:rsidRDefault="007C0AB1" w:rsidP="0005521E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</w:p>
    <w:p w:rsidR="004A3480" w:rsidRPr="004A3480" w:rsidRDefault="004A3480" w:rsidP="004A3480">
      <w:pPr>
        <w:jc w:val="both"/>
        <w:rPr>
          <w:color w:val="000000"/>
          <w:lang w:val="en-CA" w:eastAsia="en-CA"/>
        </w:rPr>
      </w:pPr>
      <w:r w:rsidRPr="004A3480">
        <w:rPr>
          <w:color w:val="000000"/>
          <w:lang w:val="en-CA" w:eastAsia="en-CA"/>
        </w:rPr>
        <w:t>Ershov, B. G., Janata, E., Alam, M. S., Gordeev, A. V.: High Energ. Chem., 42 (1), 1 - 6, 2008.</w:t>
      </w:r>
    </w:p>
    <w:p w:rsidR="005766CA" w:rsidRDefault="005766CA" w:rsidP="0005521E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</w:p>
    <w:p w:rsidR="004A3480" w:rsidRPr="004A3480" w:rsidRDefault="004A3480" w:rsidP="004A3480">
      <w:pPr>
        <w:jc w:val="both"/>
        <w:rPr>
          <w:color w:val="000000"/>
          <w:lang w:val="en-CA" w:eastAsia="en-CA"/>
        </w:rPr>
      </w:pPr>
      <w:r w:rsidRPr="004A3480">
        <w:rPr>
          <w:color w:val="000000"/>
          <w:lang w:val="en-CA" w:eastAsia="en-CA"/>
        </w:rPr>
        <w:t>Ershov, B. G., Janata, E., Alam, M. S. and Gordeev, A. V., Russ. Chem. Bull., 57(6), 1187-1189, 2008.</w:t>
      </w:r>
    </w:p>
    <w:p w:rsidR="007C0AB1" w:rsidRPr="00E83E34" w:rsidRDefault="007C0AB1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de-DE"/>
        </w:rPr>
      </w:pPr>
    </w:p>
    <w:p w:rsidR="004A3480" w:rsidRPr="004A3480" w:rsidRDefault="004A3480" w:rsidP="004A3480">
      <w:pPr>
        <w:jc w:val="both"/>
        <w:rPr>
          <w:color w:val="000000"/>
          <w:lang w:val="en-CA" w:eastAsia="en-CA"/>
        </w:rPr>
      </w:pPr>
      <w:r w:rsidRPr="004A3480">
        <w:rPr>
          <w:color w:val="000000"/>
          <w:lang w:val="en-CA" w:eastAsia="en-CA"/>
        </w:rPr>
        <w:t>Getoff, N., Schwoerer, F., Markovic, V. M., Nielsen, S. O. and S</w:t>
      </w:r>
      <w:r>
        <w:rPr>
          <w:color w:val="000000"/>
          <w:lang w:val="en-CA" w:eastAsia="en-CA"/>
        </w:rPr>
        <w:t>ehested, K.: J. Phys. Chem., 75</w:t>
      </w:r>
      <w:r w:rsidRPr="004A3480">
        <w:rPr>
          <w:color w:val="000000"/>
          <w:lang w:val="en-CA" w:eastAsia="en-CA"/>
        </w:rPr>
        <w:t>(6), 749 - 755, 1971.</w:t>
      </w:r>
    </w:p>
    <w:p w:rsidR="00251A44" w:rsidRDefault="00251A44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551838" w:rsidRDefault="0005521E" w:rsidP="004A3480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>Lide, D.R.: “CRC Handbook of Chemistry and Physics”, 76</w:t>
      </w:r>
      <w:r w:rsidRPr="00511AC8">
        <w:rPr>
          <w:spacing w:val="-3"/>
          <w:vertAlign w:val="superscript"/>
          <w:lang w:val="en-US"/>
        </w:rPr>
        <w:t>th</w:t>
      </w:r>
      <w:r>
        <w:rPr>
          <w:spacing w:val="-3"/>
          <w:lang w:val="en-US"/>
        </w:rPr>
        <w:t xml:space="preserve"> Ed., CRC Press, Boca Raton, 1996.</w:t>
      </w:r>
    </w:p>
    <w:p w:rsidR="00551838" w:rsidRDefault="00551838" w:rsidP="00551838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</w:p>
    <w:p w:rsidR="0005521E" w:rsidRDefault="0005521E" w:rsidP="00551838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6" w:hanging="426"/>
        <w:jc w:val="both"/>
      </w:pPr>
      <w:r w:rsidRPr="007C1BA6">
        <w:t>Scholes, G.</w:t>
      </w:r>
      <w:r w:rsidR="00253345">
        <w:t xml:space="preserve"> and</w:t>
      </w:r>
      <w:r w:rsidRPr="007C1BA6">
        <w:t xml:space="preserve"> Willson, R.L.: </w:t>
      </w:r>
      <w:r w:rsidRPr="00A12788">
        <w:t>Trans. Faraday</w:t>
      </w:r>
      <w:r>
        <w:t xml:space="preserve"> </w:t>
      </w:r>
      <w:r w:rsidRPr="00A12788">
        <w:t>Soc., 63,</w:t>
      </w:r>
      <w:r>
        <w:t xml:space="preserve"> 2983</w:t>
      </w:r>
      <w:r w:rsidRPr="007C1BA6">
        <w:t>-2993</w:t>
      </w:r>
      <w:r w:rsidRPr="00A12788">
        <w:t>, 1967.</w:t>
      </w:r>
    </w:p>
    <w:p w:rsidR="00551838" w:rsidRDefault="00551838" w:rsidP="00551838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6" w:hanging="426"/>
        <w:jc w:val="both"/>
      </w:pPr>
    </w:p>
    <w:p w:rsidR="00FF48E6" w:rsidRDefault="00FF48E6" w:rsidP="0040366F">
      <w:pPr>
        <w:tabs>
          <w:tab w:val="left" w:pos="288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</w:p>
    <w:p w:rsidR="00FF48E6" w:rsidRDefault="00FF48E6" w:rsidP="0040366F">
      <w:pPr>
        <w:tabs>
          <w:tab w:val="left" w:pos="288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</w:p>
    <w:p w:rsidR="00FF48E6" w:rsidRDefault="00124528" w:rsidP="0040366F">
      <w:pPr>
        <w:tabs>
          <w:tab w:val="left" w:pos="288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  <w:r>
        <w:rPr>
          <w:noProof/>
          <w:spacing w:val="-3"/>
          <w:lang w:val="en-GB" w:eastAsia="en-GB"/>
        </w:rPr>
        <w:drawing>
          <wp:inline distT="0" distB="0" distL="0" distR="0">
            <wp:extent cx="5749925" cy="4060190"/>
            <wp:effectExtent l="0" t="0" r="3175" b="0"/>
            <wp:docPr id="1" name="Image 1" descr="Arrhenius oxalic acid + OH (aq)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henius oxalic acid + OH (aq) V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11" w:rsidRPr="003B12CD" w:rsidRDefault="00A67911" w:rsidP="00A6791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Figure 1: T-dependent rate constants for the reaction of </w:t>
      </w:r>
      <w:r w:rsidR="001228B4">
        <w:rPr>
          <w:rFonts w:ascii="Times New Roman" w:eastAsia="Symbol" w:hAnsi="Times New Roman" w:cs="Times New Roman"/>
          <w:color w:val="000000"/>
          <w:lang w:val="en-GB" w:eastAsia="de-DE"/>
        </w:rPr>
        <w:t>Oxalic acid (monoanion and dianon, respectively)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with OH in aqueous solution. Data 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taken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from </w:t>
      </w:r>
      <w:r w:rsidR="001228B4">
        <w:rPr>
          <w:rFonts w:ascii="Times New Roman" w:eastAsia="Symbol" w:hAnsi="Times New Roman" w:cs="Times New Roman"/>
          <w:color w:val="000000"/>
          <w:lang w:val="en-GB" w:eastAsia="de-DE"/>
        </w:rPr>
        <w:t>Buxton et al. (1988)</w:t>
      </w:r>
      <w:r w:rsidR="007631EB">
        <w:rPr>
          <w:rFonts w:ascii="Times New Roman" w:eastAsia="Symbol" w:hAnsi="Times New Roman" w:cs="Times New Roman"/>
          <w:color w:val="000000"/>
          <w:lang w:val="en-GB" w:eastAsia="de-DE"/>
        </w:rPr>
        <w:t>,</w:t>
      </w:r>
      <w:r w:rsidR="001228B4">
        <w:rPr>
          <w:rFonts w:ascii="Times New Roman" w:eastAsia="Symbol" w:hAnsi="Times New Roman" w:cs="Times New Roman"/>
          <w:color w:val="000000"/>
          <w:lang w:val="en-GB" w:eastAsia="de-DE"/>
        </w:rPr>
        <w:t xml:space="preserve"> Ervens et al. (2003)</w:t>
      </w:r>
      <w:r w:rsidR="007631EB"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Ershov et al (2007)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sectPr w:rsidR="00A67911" w:rsidRPr="003B12CD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3BFA16BF"/>
    <w:multiLevelType w:val="hybridMultilevel"/>
    <w:tmpl w:val="31145ADA"/>
    <w:lvl w:ilvl="0" w:tplc="B5065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06BC"/>
    <w:multiLevelType w:val="hybridMultilevel"/>
    <w:tmpl w:val="AB9CF748"/>
    <w:lvl w:ilvl="0" w:tplc="C238764C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D2D"/>
    <w:multiLevelType w:val="hybridMultilevel"/>
    <w:tmpl w:val="37844C2A"/>
    <w:lvl w:ilvl="0" w:tplc="E048C814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003186"/>
    <w:rsid w:val="0000681C"/>
    <w:rsid w:val="000100DA"/>
    <w:rsid w:val="00013BD2"/>
    <w:rsid w:val="000142D0"/>
    <w:rsid w:val="00015135"/>
    <w:rsid w:val="00021552"/>
    <w:rsid w:val="000226C3"/>
    <w:rsid w:val="00037BE6"/>
    <w:rsid w:val="00053BFF"/>
    <w:rsid w:val="0005521E"/>
    <w:rsid w:val="000623D4"/>
    <w:rsid w:val="00063311"/>
    <w:rsid w:val="00064D18"/>
    <w:rsid w:val="000671E6"/>
    <w:rsid w:val="00067FA1"/>
    <w:rsid w:val="000702C3"/>
    <w:rsid w:val="00077A3A"/>
    <w:rsid w:val="000811D4"/>
    <w:rsid w:val="00081DF2"/>
    <w:rsid w:val="000857CF"/>
    <w:rsid w:val="00090C16"/>
    <w:rsid w:val="000921DC"/>
    <w:rsid w:val="000969E4"/>
    <w:rsid w:val="000977C2"/>
    <w:rsid w:val="000A162B"/>
    <w:rsid w:val="000A2FAF"/>
    <w:rsid w:val="000A50BC"/>
    <w:rsid w:val="000A71A1"/>
    <w:rsid w:val="000C3CAA"/>
    <w:rsid w:val="000C7F9F"/>
    <w:rsid w:val="000D0E5E"/>
    <w:rsid w:val="000D37DF"/>
    <w:rsid w:val="000D65CF"/>
    <w:rsid w:val="000D78B2"/>
    <w:rsid w:val="000E03DB"/>
    <w:rsid w:val="000E2CC9"/>
    <w:rsid w:val="000E3FE8"/>
    <w:rsid w:val="00101645"/>
    <w:rsid w:val="00106A74"/>
    <w:rsid w:val="00112844"/>
    <w:rsid w:val="00117052"/>
    <w:rsid w:val="00120EED"/>
    <w:rsid w:val="00121AC9"/>
    <w:rsid w:val="001228B4"/>
    <w:rsid w:val="00124528"/>
    <w:rsid w:val="001318D0"/>
    <w:rsid w:val="00133FEA"/>
    <w:rsid w:val="00145C54"/>
    <w:rsid w:val="00153BFD"/>
    <w:rsid w:val="00155F60"/>
    <w:rsid w:val="001574B6"/>
    <w:rsid w:val="00157A3A"/>
    <w:rsid w:val="001637C3"/>
    <w:rsid w:val="00173419"/>
    <w:rsid w:val="00181391"/>
    <w:rsid w:val="0018490C"/>
    <w:rsid w:val="00192FCA"/>
    <w:rsid w:val="00195B6D"/>
    <w:rsid w:val="001977C2"/>
    <w:rsid w:val="001A1912"/>
    <w:rsid w:val="001B27BC"/>
    <w:rsid w:val="001D6CBA"/>
    <w:rsid w:val="001E1C70"/>
    <w:rsid w:val="001E4685"/>
    <w:rsid w:val="001F4EB5"/>
    <w:rsid w:val="0020061C"/>
    <w:rsid w:val="002072C8"/>
    <w:rsid w:val="002103C5"/>
    <w:rsid w:val="00213E99"/>
    <w:rsid w:val="00220DDF"/>
    <w:rsid w:val="0022452F"/>
    <w:rsid w:val="0024491D"/>
    <w:rsid w:val="00247EA4"/>
    <w:rsid w:val="00251A44"/>
    <w:rsid w:val="00253345"/>
    <w:rsid w:val="00263497"/>
    <w:rsid w:val="00270156"/>
    <w:rsid w:val="002837BB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C7E9C"/>
    <w:rsid w:val="002D191B"/>
    <w:rsid w:val="002E55A3"/>
    <w:rsid w:val="0030119A"/>
    <w:rsid w:val="00303330"/>
    <w:rsid w:val="00304CDC"/>
    <w:rsid w:val="003263B4"/>
    <w:rsid w:val="003515B2"/>
    <w:rsid w:val="003570CC"/>
    <w:rsid w:val="003610F8"/>
    <w:rsid w:val="0036323E"/>
    <w:rsid w:val="00375048"/>
    <w:rsid w:val="00390D27"/>
    <w:rsid w:val="003A2660"/>
    <w:rsid w:val="003A5766"/>
    <w:rsid w:val="003A5A2D"/>
    <w:rsid w:val="003A71F8"/>
    <w:rsid w:val="003B37E9"/>
    <w:rsid w:val="003B72AC"/>
    <w:rsid w:val="003C4AA7"/>
    <w:rsid w:val="003D1543"/>
    <w:rsid w:val="003D7F54"/>
    <w:rsid w:val="003E3C46"/>
    <w:rsid w:val="003E5427"/>
    <w:rsid w:val="003F1CCB"/>
    <w:rsid w:val="004006E3"/>
    <w:rsid w:val="0040366F"/>
    <w:rsid w:val="0040368A"/>
    <w:rsid w:val="00405E8B"/>
    <w:rsid w:val="00410929"/>
    <w:rsid w:val="004115E8"/>
    <w:rsid w:val="004117FE"/>
    <w:rsid w:val="004123DB"/>
    <w:rsid w:val="00420BAC"/>
    <w:rsid w:val="0042295A"/>
    <w:rsid w:val="00422D77"/>
    <w:rsid w:val="00443E37"/>
    <w:rsid w:val="004450AB"/>
    <w:rsid w:val="00447665"/>
    <w:rsid w:val="00447730"/>
    <w:rsid w:val="004513F5"/>
    <w:rsid w:val="00465C22"/>
    <w:rsid w:val="00484C52"/>
    <w:rsid w:val="00485EFF"/>
    <w:rsid w:val="004A02D9"/>
    <w:rsid w:val="004A3480"/>
    <w:rsid w:val="004A407F"/>
    <w:rsid w:val="004A7BA6"/>
    <w:rsid w:val="004C0B34"/>
    <w:rsid w:val="004C3213"/>
    <w:rsid w:val="004C4D3E"/>
    <w:rsid w:val="004C6446"/>
    <w:rsid w:val="004E5D00"/>
    <w:rsid w:val="004E7108"/>
    <w:rsid w:val="004F0504"/>
    <w:rsid w:val="004F7104"/>
    <w:rsid w:val="00501D48"/>
    <w:rsid w:val="00502F51"/>
    <w:rsid w:val="00505161"/>
    <w:rsid w:val="0050598D"/>
    <w:rsid w:val="00506140"/>
    <w:rsid w:val="00511AC8"/>
    <w:rsid w:val="00513019"/>
    <w:rsid w:val="00515086"/>
    <w:rsid w:val="0052608B"/>
    <w:rsid w:val="005329DE"/>
    <w:rsid w:val="005424C6"/>
    <w:rsid w:val="00551838"/>
    <w:rsid w:val="00560013"/>
    <w:rsid w:val="00565A6E"/>
    <w:rsid w:val="005712E4"/>
    <w:rsid w:val="0057662D"/>
    <w:rsid w:val="005766CA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731B"/>
    <w:rsid w:val="005E518D"/>
    <w:rsid w:val="005E6A58"/>
    <w:rsid w:val="005F2EE0"/>
    <w:rsid w:val="00613C73"/>
    <w:rsid w:val="00615583"/>
    <w:rsid w:val="00622389"/>
    <w:rsid w:val="00636A12"/>
    <w:rsid w:val="0063704E"/>
    <w:rsid w:val="00663250"/>
    <w:rsid w:val="00670889"/>
    <w:rsid w:val="00675054"/>
    <w:rsid w:val="00687A07"/>
    <w:rsid w:val="006A0635"/>
    <w:rsid w:val="006A1A56"/>
    <w:rsid w:val="006A544C"/>
    <w:rsid w:val="006A6692"/>
    <w:rsid w:val="006B2DDA"/>
    <w:rsid w:val="006B5440"/>
    <w:rsid w:val="006D2807"/>
    <w:rsid w:val="006D5DBD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467C"/>
    <w:rsid w:val="007468AA"/>
    <w:rsid w:val="00751CEC"/>
    <w:rsid w:val="00762860"/>
    <w:rsid w:val="007631EB"/>
    <w:rsid w:val="00776BA1"/>
    <w:rsid w:val="00777324"/>
    <w:rsid w:val="00782B33"/>
    <w:rsid w:val="00784793"/>
    <w:rsid w:val="00790A52"/>
    <w:rsid w:val="0079362F"/>
    <w:rsid w:val="00795528"/>
    <w:rsid w:val="007A2D7C"/>
    <w:rsid w:val="007A3298"/>
    <w:rsid w:val="007A62D6"/>
    <w:rsid w:val="007B0E88"/>
    <w:rsid w:val="007C0AB1"/>
    <w:rsid w:val="007C0F73"/>
    <w:rsid w:val="007E1890"/>
    <w:rsid w:val="007E5705"/>
    <w:rsid w:val="007E57D2"/>
    <w:rsid w:val="007E7B8E"/>
    <w:rsid w:val="007F017D"/>
    <w:rsid w:val="007F2DF3"/>
    <w:rsid w:val="008061CF"/>
    <w:rsid w:val="008126BA"/>
    <w:rsid w:val="00816FDF"/>
    <w:rsid w:val="00821651"/>
    <w:rsid w:val="0082456F"/>
    <w:rsid w:val="008344BF"/>
    <w:rsid w:val="008363F5"/>
    <w:rsid w:val="0083653B"/>
    <w:rsid w:val="00853D83"/>
    <w:rsid w:val="008549FA"/>
    <w:rsid w:val="00855918"/>
    <w:rsid w:val="008559B0"/>
    <w:rsid w:val="00860B72"/>
    <w:rsid w:val="0086602C"/>
    <w:rsid w:val="008666C4"/>
    <w:rsid w:val="008727AD"/>
    <w:rsid w:val="0088073C"/>
    <w:rsid w:val="00880F4E"/>
    <w:rsid w:val="00881D55"/>
    <w:rsid w:val="008820EB"/>
    <w:rsid w:val="00884D99"/>
    <w:rsid w:val="00885C65"/>
    <w:rsid w:val="00887539"/>
    <w:rsid w:val="008A4EE3"/>
    <w:rsid w:val="008A547D"/>
    <w:rsid w:val="008A733A"/>
    <w:rsid w:val="008B73EC"/>
    <w:rsid w:val="008C3846"/>
    <w:rsid w:val="008C4819"/>
    <w:rsid w:val="008D16B0"/>
    <w:rsid w:val="008D271F"/>
    <w:rsid w:val="008E23AA"/>
    <w:rsid w:val="008F0755"/>
    <w:rsid w:val="008F63FC"/>
    <w:rsid w:val="009027B1"/>
    <w:rsid w:val="009044BD"/>
    <w:rsid w:val="00913834"/>
    <w:rsid w:val="00923C28"/>
    <w:rsid w:val="00931B9D"/>
    <w:rsid w:val="00934A6A"/>
    <w:rsid w:val="00942081"/>
    <w:rsid w:val="009475A7"/>
    <w:rsid w:val="00950BA8"/>
    <w:rsid w:val="00953212"/>
    <w:rsid w:val="00955D52"/>
    <w:rsid w:val="00962DA4"/>
    <w:rsid w:val="00976D47"/>
    <w:rsid w:val="00977BF1"/>
    <w:rsid w:val="0098127C"/>
    <w:rsid w:val="0099441C"/>
    <w:rsid w:val="00994D88"/>
    <w:rsid w:val="00997AF5"/>
    <w:rsid w:val="009B21A3"/>
    <w:rsid w:val="009C28B6"/>
    <w:rsid w:val="009C37A2"/>
    <w:rsid w:val="009C4BE5"/>
    <w:rsid w:val="009C785D"/>
    <w:rsid w:val="009D2B8F"/>
    <w:rsid w:val="009D3390"/>
    <w:rsid w:val="009F405B"/>
    <w:rsid w:val="00A005C1"/>
    <w:rsid w:val="00A11587"/>
    <w:rsid w:val="00A17123"/>
    <w:rsid w:val="00A23BD8"/>
    <w:rsid w:val="00A25342"/>
    <w:rsid w:val="00A35C85"/>
    <w:rsid w:val="00A36C41"/>
    <w:rsid w:val="00A47C2F"/>
    <w:rsid w:val="00A528B3"/>
    <w:rsid w:val="00A55AF6"/>
    <w:rsid w:val="00A57E5E"/>
    <w:rsid w:val="00A67911"/>
    <w:rsid w:val="00A74455"/>
    <w:rsid w:val="00A7500E"/>
    <w:rsid w:val="00A80284"/>
    <w:rsid w:val="00A840F2"/>
    <w:rsid w:val="00A90959"/>
    <w:rsid w:val="00AD0E6A"/>
    <w:rsid w:val="00AD56C9"/>
    <w:rsid w:val="00AE0A26"/>
    <w:rsid w:val="00AE2E3B"/>
    <w:rsid w:val="00AF2E74"/>
    <w:rsid w:val="00AF43D2"/>
    <w:rsid w:val="00AF52EF"/>
    <w:rsid w:val="00B01FBD"/>
    <w:rsid w:val="00B12B55"/>
    <w:rsid w:val="00B26A4C"/>
    <w:rsid w:val="00B52179"/>
    <w:rsid w:val="00B525A0"/>
    <w:rsid w:val="00B61525"/>
    <w:rsid w:val="00B73CCE"/>
    <w:rsid w:val="00B84B46"/>
    <w:rsid w:val="00B95A51"/>
    <w:rsid w:val="00BA1397"/>
    <w:rsid w:val="00BA71C5"/>
    <w:rsid w:val="00BB3581"/>
    <w:rsid w:val="00BB7807"/>
    <w:rsid w:val="00BB7992"/>
    <w:rsid w:val="00BC167C"/>
    <w:rsid w:val="00BC7F59"/>
    <w:rsid w:val="00BD22BD"/>
    <w:rsid w:val="00BD2606"/>
    <w:rsid w:val="00BE50FB"/>
    <w:rsid w:val="00BF2B4D"/>
    <w:rsid w:val="00C00643"/>
    <w:rsid w:val="00C013BC"/>
    <w:rsid w:val="00C10304"/>
    <w:rsid w:val="00C11A68"/>
    <w:rsid w:val="00C147AC"/>
    <w:rsid w:val="00C17A31"/>
    <w:rsid w:val="00C22890"/>
    <w:rsid w:val="00C25093"/>
    <w:rsid w:val="00C26534"/>
    <w:rsid w:val="00C47713"/>
    <w:rsid w:val="00C568C5"/>
    <w:rsid w:val="00C573B5"/>
    <w:rsid w:val="00C57B22"/>
    <w:rsid w:val="00C60D61"/>
    <w:rsid w:val="00C62254"/>
    <w:rsid w:val="00C631AC"/>
    <w:rsid w:val="00C648E1"/>
    <w:rsid w:val="00C67934"/>
    <w:rsid w:val="00C67C68"/>
    <w:rsid w:val="00C70E23"/>
    <w:rsid w:val="00C716CC"/>
    <w:rsid w:val="00C75688"/>
    <w:rsid w:val="00C81008"/>
    <w:rsid w:val="00C90E43"/>
    <w:rsid w:val="00C94795"/>
    <w:rsid w:val="00C958C8"/>
    <w:rsid w:val="00CA60D8"/>
    <w:rsid w:val="00CB0B81"/>
    <w:rsid w:val="00CB2425"/>
    <w:rsid w:val="00CB2EE5"/>
    <w:rsid w:val="00CD1F98"/>
    <w:rsid w:val="00CD27A8"/>
    <w:rsid w:val="00CE2122"/>
    <w:rsid w:val="00CE24B0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3025"/>
    <w:rsid w:val="00D75C50"/>
    <w:rsid w:val="00D76D1B"/>
    <w:rsid w:val="00D77C1D"/>
    <w:rsid w:val="00D82FEB"/>
    <w:rsid w:val="00D93016"/>
    <w:rsid w:val="00DB46A3"/>
    <w:rsid w:val="00DB6F16"/>
    <w:rsid w:val="00DD5CB6"/>
    <w:rsid w:val="00DF34AF"/>
    <w:rsid w:val="00DF64B2"/>
    <w:rsid w:val="00DF6645"/>
    <w:rsid w:val="00DF7B35"/>
    <w:rsid w:val="00E03515"/>
    <w:rsid w:val="00E16CA4"/>
    <w:rsid w:val="00E21159"/>
    <w:rsid w:val="00E214EB"/>
    <w:rsid w:val="00E34A5D"/>
    <w:rsid w:val="00E40753"/>
    <w:rsid w:val="00E50B31"/>
    <w:rsid w:val="00E57B9C"/>
    <w:rsid w:val="00E83E34"/>
    <w:rsid w:val="00EC0F25"/>
    <w:rsid w:val="00EC61B0"/>
    <w:rsid w:val="00ED05AC"/>
    <w:rsid w:val="00ED2B1A"/>
    <w:rsid w:val="00EE0A46"/>
    <w:rsid w:val="00EF005A"/>
    <w:rsid w:val="00EF080E"/>
    <w:rsid w:val="00EF196F"/>
    <w:rsid w:val="00F06A3D"/>
    <w:rsid w:val="00F06E5B"/>
    <w:rsid w:val="00F1021C"/>
    <w:rsid w:val="00F1682E"/>
    <w:rsid w:val="00F16B80"/>
    <w:rsid w:val="00F21069"/>
    <w:rsid w:val="00F2273A"/>
    <w:rsid w:val="00F22DF5"/>
    <w:rsid w:val="00F249D1"/>
    <w:rsid w:val="00F264DD"/>
    <w:rsid w:val="00F35EF2"/>
    <w:rsid w:val="00F40FC2"/>
    <w:rsid w:val="00F45DD3"/>
    <w:rsid w:val="00F51B21"/>
    <w:rsid w:val="00F55117"/>
    <w:rsid w:val="00F62CD4"/>
    <w:rsid w:val="00F62FC2"/>
    <w:rsid w:val="00F66440"/>
    <w:rsid w:val="00F726F5"/>
    <w:rsid w:val="00F74858"/>
    <w:rsid w:val="00F90411"/>
    <w:rsid w:val="00FA1715"/>
    <w:rsid w:val="00FA41C3"/>
    <w:rsid w:val="00FA5651"/>
    <w:rsid w:val="00FB53C1"/>
    <w:rsid w:val="00FB64DA"/>
    <w:rsid w:val="00FC5209"/>
    <w:rsid w:val="00FC798E"/>
    <w:rsid w:val="00FD25E5"/>
    <w:rsid w:val="00FE2F41"/>
    <w:rsid w:val="00FF0D42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Normal"/>
    <w:rsid w:val="00485EFF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Marquedecommentaire">
    <w:name w:val="annotation reference"/>
    <w:rsid w:val="0074467C"/>
    <w:rPr>
      <w:sz w:val="16"/>
      <w:szCs w:val="16"/>
    </w:rPr>
  </w:style>
  <w:style w:type="paragraph" w:styleId="Commentaire">
    <w:name w:val="annotation text"/>
    <w:basedOn w:val="Normal"/>
    <w:link w:val="CommentaireCar"/>
    <w:rsid w:val="0074467C"/>
    <w:rPr>
      <w:sz w:val="20"/>
      <w:szCs w:val="20"/>
    </w:rPr>
  </w:style>
  <w:style w:type="character" w:customStyle="1" w:styleId="CommentaireCar">
    <w:name w:val="Commentaire Car"/>
    <w:link w:val="Commentaire"/>
    <w:rsid w:val="0074467C"/>
    <w:rPr>
      <w:rFonts w:ascii="Times" w:hAnsi="Times" w:cs="Times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4467C"/>
    <w:rPr>
      <w:b/>
      <w:bCs/>
    </w:rPr>
  </w:style>
  <w:style w:type="character" w:customStyle="1" w:styleId="ObjetducommentaireCar">
    <w:name w:val="Objet du commentaire Car"/>
    <w:link w:val="Objetducommentaire"/>
    <w:rsid w:val="0074467C"/>
    <w:rPr>
      <w:rFonts w:ascii="Times" w:hAnsi="Times" w:cs="Times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Normal"/>
    <w:rsid w:val="00485EFF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Marquedecommentaire">
    <w:name w:val="annotation reference"/>
    <w:rsid w:val="0074467C"/>
    <w:rPr>
      <w:sz w:val="16"/>
      <w:szCs w:val="16"/>
    </w:rPr>
  </w:style>
  <w:style w:type="paragraph" w:styleId="Commentaire">
    <w:name w:val="annotation text"/>
    <w:basedOn w:val="Normal"/>
    <w:link w:val="CommentaireCar"/>
    <w:rsid w:val="0074467C"/>
    <w:rPr>
      <w:sz w:val="20"/>
      <w:szCs w:val="20"/>
    </w:rPr>
  </w:style>
  <w:style w:type="character" w:customStyle="1" w:styleId="CommentaireCar">
    <w:name w:val="Commentaire Car"/>
    <w:link w:val="Commentaire"/>
    <w:rsid w:val="0074467C"/>
    <w:rPr>
      <w:rFonts w:ascii="Times" w:hAnsi="Times" w:cs="Times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4467C"/>
    <w:rPr>
      <w:b/>
      <w:bCs/>
    </w:rPr>
  </w:style>
  <w:style w:type="character" w:customStyle="1" w:styleId="ObjetducommentaireCar">
    <w:name w:val="Objet du commentaire Car"/>
    <w:link w:val="Objetducommentaire"/>
    <w:rsid w:val="0074467C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ook.nist.gov/cgi/cbook.cgi?ID=3352576&amp;Units=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book.nist.gov/cgi/cbook.cgi?ID=3352576&amp;Units=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ebbook.nist.gov/cgi/cbook.cgi?ID=3352576&amp;Units=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HONO  + mineral oxide (dust) surfaces</vt:lpstr>
      <vt:lpstr>HONO  + mineral oxide (dust) surfaces</vt:lpstr>
      <vt:lpstr>HONO  + mineral oxide (dust) surfaces</vt:lpstr>
    </vt:vector>
  </TitlesOfParts>
  <Company>Paul Scherrer Institut</Company>
  <LinksUpToDate>false</LinksUpToDate>
  <CharactersWithSpaces>5359</CharactersWithSpaces>
  <SharedDoc>false</SharedDoc>
  <HLinks>
    <vt:vector size="24" baseType="variant"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Phuong Nguyen</cp:lastModifiedBy>
  <cp:revision>2</cp:revision>
  <cp:lastPrinted>2016-05-27T13:19:00Z</cp:lastPrinted>
  <dcterms:created xsi:type="dcterms:W3CDTF">2017-11-17T18:34:00Z</dcterms:created>
  <dcterms:modified xsi:type="dcterms:W3CDTF">2017-11-17T18:34:00Z</dcterms:modified>
</cp:coreProperties>
</file>