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D40DA9">
        <w:t>AQ_TH1_OH_1</w:t>
      </w:r>
    </w:p>
    <w:p w:rsidR="002D4554" w:rsidRDefault="008A4EE3" w:rsidP="002D4554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2D4554">
        <w:t xml:space="preserve">The citation for this datasheet is: IUPAC Task Group on Atmospheric Chemical Kinetic Data Evaluation, </w:t>
      </w:r>
      <w:hyperlink r:id="rId6" w:history="1">
        <w:r w:rsidR="002D4554">
          <w:rPr>
            <w:rStyle w:val="Lienhypertexte"/>
          </w:rPr>
          <w:t>http://iupac.pole-ether.fr</w:t>
        </w:r>
      </w:hyperlink>
      <w:r w:rsidR="002D4554">
        <w:t>.</w:t>
      </w:r>
    </w:p>
    <w:p w:rsidR="002D4554" w:rsidRDefault="002D4554" w:rsidP="002D4554">
      <w:pPr>
        <w:pStyle w:val="IUPACtopparagraph"/>
      </w:pPr>
      <w:r w:rsidRPr="00F70B0F">
        <w:t>This datasheet last evaluated: May 201</w:t>
      </w:r>
      <w:r w:rsidR="00D40DA9">
        <w:t>7</w:t>
      </w:r>
      <w:r w:rsidRPr="00F70B0F">
        <w:t>; last change in preferred values: May 2016</w:t>
      </w:r>
    </w:p>
    <w:p w:rsidR="002D4554" w:rsidRPr="00702C8F" w:rsidRDefault="002D4554" w:rsidP="002D4554">
      <w:pPr>
        <w:pStyle w:val="IUPACtopparagraph"/>
      </w:pPr>
    </w:p>
    <w:p w:rsidR="00F726F5" w:rsidRDefault="00F726F5" w:rsidP="00F726F5">
      <w:pPr>
        <w:pStyle w:val="IUPACTitlereaction"/>
        <w:rPr>
          <w:lang w:val="pt-BR"/>
        </w:rPr>
      </w:pPr>
      <w:r>
        <w:rPr>
          <w:lang w:val="pt-BR"/>
        </w:rPr>
        <w:t>OH</w:t>
      </w:r>
      <w:r w:rsidR="00F13C78" w:rsidRPr="00F13C78">
        <w:rPr>
          <w:rFonts w:cs="Times New Roman"/>
          <w:vertAlign w:val="superscript"/>
          <w:lang w:val="pt-BR"/>
        </w:rPr>
        <w:t>·</w:t>
      </w:r>
      <w:r>
        <w:rPr>
          <w:lang w:val="pt-BR"/>
        </w:rPr>
        <w:t xml:space="preserve">(aq) + </w:t>
      </w:r>
      <w:r w:rsidR="00F13C78">
        <w:rPr>
          <w:lang w:val="pt-BR"/>
        </w:rPr>
        <w:t>[</w:t>
      </w:r>
      <w:r>
        <w:rPr>
          <w:lang w:val="pt-BR"/>
        </w:rPr>
        <w:t>C</w:t>
      </w:r>
      <w:r w:rsidR="00215F21">
        <w:rPr>
          <w:lang w:val="pt-BR"/>
        </w:rPr>
        <w:t>H</w:t>
      </w:r>
      <w:r w:rsidR="00F13C78">
        <w:rPr>
          <w:lang w:val="pt-BR"/>
        </w:rPr>
        <w:t>(OH)</w:t>
      </w:r>
      <w:r w:rsidR="00F13C78" w:rsidRPr="00F13C78">
        <w:rPr>
          <w:vertAlign w:val="subscript"/>
          <w:lang w:val="pt-BR"/>
        </w:rPr>
        <w:t>2</w:t>
      </w:r>
      <w:r w:rsidR="00F13C78">
        <w:rPr>
          <w:lang w:val="pt-BR"/>
        </w:rPr>
        <w:t>]</w:t>
      </w:r>
      <w:r w:rsidR="00F13C78" w:rsidRPr="00F13C78">
        <w:rPr>
          <w:vertAlign w:val="subscript"/>
          <w:lang w:val="pt-BR"/>
        </w:rPr>
        <w:t>2</w:t>
      </w:r>
      <w:r>
        <w:rPr>
          <w:lang w:val="pt-BR"/>
        </w:rPr>
        <w:t xml:space="preserve">(aq) </w:t>
      </w:r>
      <w:r>
        <w:sym w:font="Symbol" w:char="F0AE"/>
      </w:r>
      <w:r>
        <w:rPr>
          <w:lang w:val="pt-BR"/>
        </w:rPr>
        <w:t xml:space="preserve"> </w:t>
      </w:r>
      <w:r w:rsidR="00F13C78" w:rsidRPr="00F13C78">
        <w:rPr>
          <w:rFonts w:cs="Times New Roman"/>
          <w:vertAlign w:val="superscript"/>
          <w:lang w:val="pt-BR"/>
        </w:rPr>
        <w:t>·</w:t>
      </w:r>
      <w:r>
        <w:rPr>
          <w:lang w:val="pt-BR"/>
        </w:rPr>
        <w:t>C</w:t>
      </w:r>
      <w:r w:rsidR="00F13C78">
        <w:rPr>
          <w:lang w:val="pt-BR"/>
        </w:rPr>
        <w:t>(</w:t>
      </w:r>
      <w:r w:rsidR="00215F21">
        <w:rPr>
          <w:lang w:val="pt-BR"/>
        </w:rPr>
        <w:t>O</w:t>
      </w:r>
      <w:r w:rsidR="00F13C78">
        <w:rPr>
          <w:lang w:val="pt-BR"/>
        </w:rPr>
        <w:t>H)</w:t>
      </w:r>
      <w:r w:rsidR="00F13C78" w:rsidRPr="00F13C78">
        <w:rPr>
          <w:vertAlign w:val="subscript"/>
          <w:lang w:val="pt-BR"/>
        </w:rPr>
        <w:t>2</w:t>
      </w:r>
      <w:r w:rsidR="00215F21">
        <w:rPr>
          <w:lang w:val="pt-BR"/>
        </w:rPr>
        <w:t>C</w:t>
      </w:r>
      <w:r w:rsidR="00F13C78">
        <w:rPr>
          <w:lang w:val="pt-BR"/>
        </w:rPr>
        <w:t>H(</w:t>
      </w:r>
      <w:r w:rsidR="00215F21">
        <w:rPr>
          <w:lang w:val="pt-BR"/>
        </w:rPr>
        <w:t>O</w:t>
      </w:r>
      <w:r w:rsidR="00F13C78">
        <w:rPr>
          <w:lang w:val="pt-BR"/>
        </w:rPr>
        <w:t>H)</w:t>
      </w:r>
      <w:r w:rsidR="00F13C78" w:rsidRPr="00F13C78">
        <w:rPr>
          <w:vertAlign w:val="subscript"/>
          <w:lang w:val="pt-BR"/>
        </w:rPr>
        <w:t>2</w:t>
      </w:r>
      <w:r>
        <w:rPr>
          <w:lang w:val="pt-BR"/>
        </w:rPr>
        <w:t xml:space="preserve">  +  H</w:t>
      </w:r>
      <w:r>
        <w:rPr>
          <w:vertAlign w:val="subscript"/>
          <w:lang w:val="pt-BR"/>
        </w:rPr>
        <w:t>2</w:t>
      </w:r>
      <w:r>
        <w:rPr>
          <w:lang w:val="pt-BR"/>
        </w:rPr>
        <w:t>O (</w:t>
      </w:r>
      <w:r w:rsidR="00CE24C8">
        <w:rPr>
          <w:lang w:val="pt-BR"/>
        </w:rPr>
        <w:t>l</w:t>
      </w:r>
      <w:r>
        <w:rPr>
          <w:lang w:val="pt-BR"/>
        </w:rPr>
        <w:t>)</w:t>
      </w:r>
    </w:p>
    <w:p w:rsidR="00F726F5" w:rsidRDefault="007372D1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t>Aqueous phase thermochemical data not available</w:t>
      </w:r>
      <w:r w:rsidR="00B546CE">
        <w:t>. Thermochemical g</w:t>
      </w:r>
      <w:r w:rsidR="00C1536B">
        <w:t>as phase data for</w:t>
      </w:r>
      <w:r w:rsidR="002D4554">
        <w:t xml:space="preserve"> comparison</w:t>
      </w:r>
      <w:r w:rsidR="00C1536B">
        <w:t xml:space="preserve"> also not available because of the hydration of gl</w:t>
      </w:r>
      <w:r w:rsidR="00587DC0">
        <w:t>y</w:t>
      </w:r>
      <w:r w:rsidR="00C1536B">
        <w:t>oxal in aqueous solution.</w:t>
      </w:r>
    </w:p>
    <w:p w:rsidR="007372D1" w:rsidRDefault="007372D1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586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09"/>
        <w:gridCol w:w="15"/>
        <w:gridCol w:w="10"/>
        <w:gridCol w:w="1686"/>
        <w:gridCol w:w="1697"/>
        <w:gridCol w:w="14"/>
        <w:gridCol w:w="1530"/>
        <w:gridCol w:w="15"/>
      </w:tblGrid>
      <w:tr w:rsidR="00C648E1" w:rsidRPr="00821651" w:rsidTr="00022466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648E1" w:rsidRPr="00821651" w:rsidRDefault="00C648E1" w:rsidP="00BF0D62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r w:rsidR="00BF0D62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8216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8216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82165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>T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3D15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i/>
                <w:spacing w:val="-3"/>
                <w:lang w:val="en-US"/>
              </w:rPr>
            </w:pPr>
            <w:r w:rsidRPr="003D1543">
              <w:rPr>
                <w:i/>
                <w:spacing w:val="-3"/>
                <w:lang w:val="en-US"/>
              </w:rPr>
              <w:t>pH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3D15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i/>
                <w:spacing w:val="-3"/>
                <w:lang w:val="en-US"/>
              </w:rPr>
            </w:pPr>
            <w:r w:rsidRPr="003D1543">
              <w:rPr>
                <w:i/>
                <w:spacing w:val="-3"/>
                <w:lang w:val="en-US"/>
              </w:rPr>
              <w:t>I</w:t>
            </w:r>
            <w:r w:rsidRPr="003D154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EC7398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EC7398" w:rsidRPr="00EC7398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821651" w:rsidRDefault="00C648E1" w:rsidP="004E7108">
            <w:pPr>
              <w:pStyle w:val="Titre2"/>
              <w:spacing w:before="120" w:after="120" w:line="240" w:lineRule="auto"/>
              <w:jc w:val="center"/>
              <w:rPr>
                <w:b w:val="0"/>
                <w:szCs w:val="24"/>
              </w:rPr>
            </w:pPr>
            <w:r w:rsidRPr="00821651">
              <w:rPr>
                <w:b w:val="0"/>
                <w:szCs w:val="24"/>
              </w:rPr>
              <w:t>Reference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C648E1" w:rsidRPr="0082165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7372D1" w:rsidTr="0042203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7372D1" w:rsidRDefault="007372D1" w:rsidP="0042203A">
            <w:pPr>
              <w:suppressAutoHyphens/>
              <w:spacing w:line="263" w:lineRule="atLeast"/>
              <w:jc w:val="center"/>
              <w:rPr>
                <w:i/>
                <w:spacing w:val="-2"/>
                <w:lang w:val="en-US"/>
              </w:rPr>
            </w:pPr>
          </w:p>
        </w:tc>
      </w:tr>
      <w:tr w:rsidR="00C648E1" w:rsidTr="00D66BE8">
        <w:tblPrEx>
          <w:tblCellMar>
            <w:top w:w="0" w:type="dxa"/>
            <w:bottom w:w="0" w:type="dxa"/>
          </w:tblCellMar>
        </w:tblPrEx>
        <w:tc>
          <w:tcPr>
            <w:tcW w:w="9586" w:type="dxa"/>
            <w:gridSpan w:val="10"/>
            <w:vAlign w:val="center"/>
          </w:tcPr>
          <w:p w:rsidR="00C648E1" w:rsidRDefault="00F967B9" w:rsidP="007372D1">
            <w:pPr>
              <w:suppressAutoHyphens/>
              <w:spacing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236871" w:rsidTr="002F545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871" w:rsidRPr="00FA0C8D" w:rsidRDefault="00236871" w:rsidP="004E019C">
            <w:pPr>
              <w:suppressAutoHyphens/>
              <w:spacing w:line="360" w:lineRule="auto"/>
              <w:jc w:val="center"/>
              <w:rPr>
                <w:spacing w:val="-3"/>
                <w:lang w:val="en-CA"/>
              </w:rPr>
            </w:pPr>
            <w:r>
              <w:rPr>
                <w:spacing w:val="-3"/>
                <w:lang w:val="en-CA"/>
              </w:rPr>
              <w:t>6.6</w:t>
            </w:r>
            <w:r w:rsidRPr="00FA0C8D">
              <w:rPr>
                <w:spacing w:val="-3"/>
                <w:lang w:val="en-CA"/>
              </w:rPr>
              <w:t xml:space="preserve"> × 10</w:t>
            </w:r>
            <w:r>
              <w:rPr>
                <w:spacing w:val="-3"/>
                <w:vertAlign w:val="superscript"/>
                <w:lang w:val="en-C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871" w:rsidRPr="00D557B7" w:rsidRDefault="00236871" w:rsidP="002F5457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871" w:rsidRPr="00FA0C8D" w:rsidRDefault="00236871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1.3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871" w:rsidRPr="00FA0C8D" w:rsidRDefault="00236871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871" w:rsidRDefault="00236871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Buxton et al., 1988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6871" w:rsidRPr="00FA0C8D" w:rsidRDefault="00580268" w:rsidP="002F545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FA0C8D">
              <w:rPr>
                <w:spacing w:val="-2"/>
                <w:lang w:val="en-US"/>
              </w:rPr>
              <w:t>(</w:t>
            </w:r>
            <w:r>
              <w:rPr>
                <w:spacing w:val="-2"/>
                <w:lang w:val="en-US"/>
              </w:rPr>
              <w:t>a</w:t>
            </w:r>
            <w:r w:rsidRPr="00FA0C8D">
              <w:rPr>
                <w:spacing w:val="-2"/>
                <w:lang w:val="en-US"/>
              </w:rPr>
              <w:t>)</w:t>
            </w:r>
          </w:p>
        </w:tc>
      </w:tr>
      <w:tr w:rsidR="00CE24C8" w:rsidTr="002F545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4C8" w:rsidRPr="00FA0C8D" w:rsidRDefault="00CE24C8" w:rsidP="004E019C">
            <w:pPr>
              <w:suppressAutoHyphens/>
              <w:spacing w:line="360" w:lineRule="auto"/>
              <w:jc w:val="center"/>
              <w:rPr>
                <w:spacing w:val="-2"/>
                <w:lang w:val="fr-FR"/>
              </w:rPr>
            </w:pPr>
            <w:r w:rsidRPr="00FA0C8D">
              <w:rPr>
                <w:spacing w:val="-3"/>
                <w:lang w:val="en-CA"/>
              </w:rPr>
              <w:t>(1.10 ± 0.04) × 10</w:t>
            </w:r>
            <w:r w:rsidRPr="00FA0C8D">
              <w:rPr>
                <w:spacing w:val="-3"/>
                <w:vertAlign w:val="superscript"/>
                <w:lang w:val="en-C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8" w:rsidRPr="00D557B7" w:rsidRDefault="00CE24C8" w:rsidP="002F5457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 w:rsidRPr="00D557B7">
              <w:rPr>
                <w:spacing w:val="-2"/>
                <w:lang w:val="fr-FR"/>
              </w:rPr>
              <w:t>293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8" w:rsidRPr="00FA0C8D" w:rsidRDefault="00CE24C8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FA0C8D">
              <w:rPr>
                <w:spacing w:val="-2"/>
                <w:lang w:val="en-CA"/>
              </w:rPr>
              <w:t>2.0 – 6.0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8" w:rsidRPr="00FA0C8D" w:rsidRDefault="00CE24C8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8" w:rsidRPr="00FA0C8D" w:rsidRDefault="00CE24C8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B</w:t>
            </w:r>
            <w:r w:rsidRPr="00FA0C8D">
              <w:rPr>
                <w:spacing w:val="-2"/>
                <w:lang w:val="en-CA"/>
              </w:rPr>
              <w:t>uxton et al., 1997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24C8" w:rsidRPr="00FA0C8D" w:rsidRDefault="00CE24C8" w:rsidP="00580268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FA0C8D">
              <w:rPr>
                <w:spacing w:val="-2"/>
                <w:lang w:val="en-US"/>
              </w:rPr>
              <w:t>PR</w:t>
            </w:r>
            <w:r>
              <w:rPr>
                <w:spacing w:val="-2"/>
                <w:lang w:val="en-US"/>
              </w:rPr>
              <w:t>-UV/Vis (b1)</w:t>
            </w:r>
          </w:p>
        </w:tc>
      </w:tr>
      <w:tr w:rsidR="00CE24C8" w:rsidTr="000A2C8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4C8" w:rsidRDefault="00CE24C8" w:rsidP="004E019C">
            <w:pPr>
              <w:suppressAutoHyphens/>
              <w:spacing w:line="360" w:lineRule="auto"/>
              <w:jc w:val="center"/>
              <w:rPr>
                <w:spacing w:val="-3"/>
                <w:lang w:val="en-CA"/>
              </w:rPr>
            </w:pPr>
            <w:r>
              <w:rPr>
                <w:spacing w:val="-3"/>
                <w:lang w:val="en-CA"/>
              </w:rPr>
              <w:t>(1.10 ± 0.1</w:t>
            </w:r>
            <w:r w:rsidRPr="00FA0C8D">
              <w:rPr>
                <w:spacing w:val="-3"/>
                <w:lang w:val="en-CA"/>
              </w:rPr>
              <w:t>) × 10</w:t>
            </w:r>
            <w:r w:rsidRPr="00FA0C8D">
              <w:rPr>
                <w:spacing w:val="-3"/>
                <w:vertAlign w:val="superscript"/>
                <w:lang w:val="en-C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4C8" w:rsidRDefault="00CE24C8" w:rsidP="000A2C8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4C8" w:rsidRDefault="00CE24C8" w:rsidP="000A2C8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4C8" w:rsidRPr="00FA0C8D" w:rsidRDefault="00CE24C8" w:rsidP="000A2C8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4C8" w:rsidRPr="00FA0C8D" w:rsidRDefault="00CE24C8" w:rsidP="000A2C8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E24C8" w:rsidRPr="00FA0C8D" w:rsidRDefault="00CE24C8" w:rsidP="00580268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FA0C8D">
              <w:rPr>
                <w:spacing w:val="-2"/>
                <w:lang w:val="en-US"/>
              </w:rPr>
              <w:t>PR</w:t>
            </w:r>
            <w:r>
              <w:rPr>
                <w:spacing w:val="-2"/>
                <w:lang w:val="en-US"/>
              </w:rPr>
              <w:t>-UV/Vis (b2)</w:t>
            </w:r>
          </w:p>
        </w:tc>
      </w:tr>
      <w:tr w:rsidR="00CE24C8" w:rsidTr="000A2C8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4C8" w:rsidRPr="00FA0C8D" w:rsidRDefault="00CE24C8" w:rsidP="004E019C">
            <w:pPr>
              <w:suppressAutoHyphens/>
              <w:spacing w:line="360" w:lineRule="auto"/>
              <w:jc w:val="center"/>
              <w:rPr>
                <w:spacing w:val="-2"/>
                <w:lang w:val="en-CA"/>
              </w:rPr>
            </w:pPr>
            <w:r>
              <w:rPr>
                <w:spacing w:val="-3"/>
                <w:lang w:val="en-CA"/>
              </w:rPr>
              <w:t>1.9</w:t>
            </w:r>
            <w:r w:rsidRPr="00FA0C8D">
              <w:rPr>
                <w:spacing w:val="-3"/>
                <w:lang w:val="en-CA"/>
              </w:rPr>
              <w:t xml:space="preserve"> × 10</w:t>
            </w:r>
            <w:r>
              <w:rPr>
                <w:spacing w:val="-3"/>
                <w:vertAlign w:val="superscript"/>
                <w:lang w:val="en-CA"/>
              </w:rPr>
              <w:t>11</w:t>
            </w:r>
            <w:r>
              <w:rPr>
                <w:spacing w:val="-3"/>
                <w:lang w:val="en-CA"/>
              </w:rPr>
              <w:t xml:space="preserve"> exp[(-1516 </w:t>
            </w:r>
            <w:r w:rsidRPr="00FA0C8D">
              <w:rPr>
                <w:spacing w:val="-3"/>
                <w:lang w:val="en-CA"/>
              </w:rPr>
              <w:t>±</w:t>
            </w:r>
            <w:r>
              <w:rPr>
                <w:spacing w:val="-3"/>
                <w:lang w:val="en-CA"/>
              </w:rPr>
              <w:t xml:space="preserve"> 30)/T]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4C8" w:rsidRPr="00FA0C8D" w:rsidRDefault="00CE24C8" w:rsidP="000A2C8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279 - 319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4C8" w:rsidRPr="00FA0C8D" w:rsidRDefault="00CE24C8" w:rsidP="000A2C8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4C8" w:rsidRPr="00FA0C8D" w:rsidRDefault="00CE24C8" w:rsidP="000A2C8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4C8" w:rsidRDefault="00CE24C8" w:rsidP="000A2C8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24C8" w:rsidRDefault="00CE24C8" w:rsidP="000A2C8D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110C8F" w:rsidTr="002F545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0C8F" w:rsidRPr="00FA0C8D" w:rsidRDefault="00110C8F" w:rsidP="004E019C">
            <w:pPr>
              <w:suppressAutoHyphens/>
              <w:spacing w:line="360" w:lineRule="auto"/>
              <w:jc w:val="center"/>
              <w:rPr>
                <w:spacing w:val="-3"/>
                <w:lang w:val="en-CA"/>
              </w:rPr>
            </w:pPr>
            <w:r w:rsidRPr="00FA0C8D">
              <w:rPr>
                <w:spacing w:val="-3"/>
                <w:lang w:val="en-CA"/>
              </w:rPr>
              <w:t>(</w:t>
            </w:r>
            <w:r>
              <w:rPr>
                <w:spacing w:val="-3"/>
                <w:lang w:val="en-CA"/>
              </w:rPr>
              <w:t>9.4</w:t>
            </w:r>
            <w:r w:rsidRPr="00FA0C8D">
              <w:rPr>
                <w:spacing w:val="-3"/>
                <w:lang w:val="en-CA"/>
              </w:rPr>
              <w:t xml:space="preserve"> ± 0.4) × 10</w:t>
            </w:r>
            <w:r>
              <w:rPr>
                <w:spacing w:val="-3"/>
                <w:vertAlign w:val="superscript"/>
                <w:lang w:val="en-C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Pr="00352F06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highlight w:val="yellow"/>
                <w:lang w:val="fr-FR"/>
              </w:rPr>
            </w:pPr>
            <w:r w:rsidRPr="00352F06">
              <w:rPr>
                <w:spacing w:val="-2"/>
                <w:lang w:val="fr-FR"/>
              </w:rPr>
              <w:t>298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Pr="00FA0C8D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2.0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Pr="00FA0C8D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Pr="00FA0C8D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Schaefer et al., 2015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0C8F" w:rsidRPr="00FA0C8D" w:rsidRDefault="00110C8F" w:rsidP="00580268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LFP (</w:t>
            </w:r>
            <w:r w:rsidR="00580268">
              <w:rPr>
                <w:spacing w:val="-2"/>
                <w:lang w:val="en-US"/>
              </w:rPr>
              <w:t>c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110C8F" w:rsidTr="00BF0D6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0C8F" w:rsidRPr="00FA0C8D" w:rsidRDefault="00110C8F" w:rsidP="004E019C">
            <w:pPr>
              <w:suppressAutoHyphens/>
              <w:spacing w:line="360" w:lineRule="auto"/>
              <w:jc w:val="center"/>
              <w:rPr>
                <w:spacing w:val="-3"/>
                <w:lang w:val="en-CA"/>
              </w:rPr>
            </w:pPr>
            <w:r w:rsidRPr="00FA0C8D">
              <w:rPr>
                <w:spacing w:val="-3"/>
                <w:lang w:val="en-CA"/>
              </w:rPr>
              <w:t>(</w:t>
            </w:r>
            <w:r>
              <w:rPr>
                <w:spacing w:val="-3"/>
                <w:lang w:val="en-CA"/>
              </w:rPr>
              <w:t>9.2</w:t>
            </w:r>
            <w:r w:rsidRPr="00FA0C8D">
              <w:rPr>
                <w:spacing w:val="-3"/>
                <w:lang w:val="en-CA"/>
              </w:rPr>
              <w:t xml:space="preserve"> ± 0.</w:t>
            </w:r>
            <w:r>
              <w:rPr>
                <w:spacing w:val="-3"/>
                <w:lang w:val="en-CA"/>
              </w:rPr>
              <w:t>5</w:t>
            </w:r>
            <w:r w:rsidRPr="00FA0C8D">
              <w:rPr>
                <w:spacing w:val="-3"/>
                <w:lang w:val="en-CA"/>
              </w:rPr>
              <w:t>) × 10</w:t>
            </w:r>
            <w:r>
              <w:rPr>
                <w:spacing w:val="-3"/>
                <w:vertAlign w:val="superscript"/>
                <w:lang w:val="en-C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Pr="00352F06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 w:rsidRPr="00352F06">
              <w:rPr>
                <w:spacing w:val="-2"/>
                <w:lang w:val="fr-FR"/>
              </w:rPr>
              <w:t>298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6.0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Pr="00FA0C8D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10C8F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110C8F" w:rsidTr="00BF0D6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0C8F" w:rsidRPr="00FA0C8D" w:rsidRDefault="00110C8F" w:rsidP="004E019C">
            <w:pPr>
              <w:suppressAutoHyphens/>
              <w:spacing w:line="360" w:lineRule="auto"/>
              <w:jc w:val="center"/>
              <w:rPr>
                <w:spacing w:val="-3"/>
                <w:lang w:val="en-CA"/>
              </w:rPr>
            </w:pPr>
            <w:r w:rsidRPr="00FA0C8D">
              <w:rPr>
                <w:spacing w:val="-3"/>
                <w:lang w:val="en-CA"/>
              </w:rPr>
              <w:t>(1.1 ± 0.</w:t>
            </w:r>
            <w:r>
              <w:rPr>
                <w:spacing w:val="-3"/>
                <w:lang w:val="en-CA"/>
              </w:rPr>
              <w:t>1</w:t>
            </w:r>
            <w:r w:rsidRPr="00FA0C8D">
              <w:rPr>
                <w:spacing w:val="-3"/>
                <w:lang w:val="en-CA"/>
              </w:rPr>
              <w:t>) × 10</w:t>
            </w:r>
            <w:r w:rsidRPr="00FA0C8D">
              <w:rPr>
                <w:spacing w:val="-3"/>
                <w:vertAlign w:val="superscript"/>
                <w:lang w:val="en-C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Pr="00352F06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 w:rsidRPr="00352F06">
              <w:rPr>
                <w:spacing w:val="-2"/>
                <w:lang w:val="fr-FR"/>
              </w:rPr>
              <w:t>298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9.0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Pr="00FA0C8D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C8F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10C8F" w:rsidRDefault="00110C8F" w:rsidP="002F545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1B54E7" w:rsidTr="001B54E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7" w:rsidRPr="00FA0C8D" w:rsidRDefault="001B54E7" w:rsidP="004E019C">
            <w:pPr>
              <w:suppressAutoHyphens/>
              <w:spacing w:line="360" w:lineRule="auto"/>
              <w:jc w:val="center"/>
              <w:rPr>
                <w:spacing w:val="-2"/>
                <w:lang w:val="en-CA"/>
              </w:rPr>
            </w:pPr>
            <w:r>
              <w:rPr>
                <w:spacing w:val="-3"/>
                <w:lang w:val="en-CA"/>
              </w:rPr>
              <w:t>5.8</w:t>
            </w:r>
            <w:r w:rsidRPr="00FA0C8D">
              <w:rPr>
                <w:spacing w:val="-3"/>
                <w:lang w:val="en-CA"/>
              </w:rPr>
              <w:t xml:space="preserve"> × 10</w:t>
            </w:r>
            <w:r>
              <w:rPr>
                <w:spacing w:val="-3"/>
                <w:vertAlign w:val="superscript"/>
                <w:lang w:val="en-CA"/>
              </w:rPr>
              <w:t>10</w:t>
            </w:r>
            <w:r>
              <w:rPr>
                <w:spacing w:val="-3"/>
                <w:lang w:val="en-CA"/>
              </w:rPr>
              <w:t xml:space="preserve"> exp[(</w:t>
            </w:r>
            <w:r>
              <w:rPr>
                <w:spacing w:val="-3"/>
                <w:lang w:val="en-CA"/>
              </w:rPr>
              <w:noBreakHyphen/>
              <w:t xml:space="preserve">1200 </w:t>
            </w:r>
            <w:r w:rsidRPr="00FA0C8D">
              <w:rPr>
                <w:spacing w:val="-3"/>
                <w:lang w:val="en-CA"/>
              </w:rPr>
              <w:t>±</w:t>
            </w:r>
            <w:r>
              <w:rPr>
                <w:spacing w:val="-3"/>
                <w:lang w:val="en-CA"/>
              </w:rPr>
              <w:t xml:space="preserve"> 120)/T]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7" w:rsidRPr="00FA0C8D" w:rsidRDefault="00C427FC" w:rsidP="00110C8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278 - 318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7" w:rsidRPr="00FA0C8D" w:rsidRDefault="000A2C8D" w:rsidP="00110C8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6.0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7" w:rsidRPr="00FA0C8D" w:rsidRDefault="001B54E7" w:rsidP="00110C8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4E7" w:rsidRDefault="001B54E7" w:rsidP="002F545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B54E7" w:rsidRDefault="001B54E7" w:rsidP="002F545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</w:tbl>
    <w:p w:rsidR="00C72D3C" w:rsidRDefault="00C72D3C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US"/>
        </w:rPr>
      </w:pPr>
    </w:p>
    <w:p w:rsidR="00C72D3C" w:rsidRDefault="00C72D3C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US"/>
        </w:rPr>
      </w:pPr>
    </w:p>
    <w:p w:rsidR="00821651" w:rsidRPr="006E1881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de-DE"/>
        </w:rPr>
      </w:pPr>
      <w:r w:rsidRPr="006E1881">
        <w:rPr>
          <w:b/>
          <w:spacing w:val="-3"/>
          <w:lang w:val="de-DE"/>
        </w:rPr>
        <w:t>Comments</w:t>
      </w:r>
    </w:p>
    <w:p w:rsidR="00821651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de-DE"/>
        </w:rPr>
      </w:pPr>
    </w:p>
    <w:p w:rsidR="00BE6877" w:rsidRPr="00D40DA9" w:rsidRDefault="008527A5" w:rsidP="008527A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40" w:lineRule="atLeast"/>
        <w:ind w:hanging="502"/>
        <w:jc w:val="both"/>
        <w:rPr>
          <w:spacing w:val="-3"/>
          <w:lang w:val="en-US"/>
        </w:rPr>
      </w:pPr>
      <w:r w:rsidRPr="00D40DA9">
        <w:rPr>
          <w:spacing w:val="-3"/>
          <w:lang w:val="en-US"/>
        </w:rPr>
        <w:t xml:space="preserve">Buxton et al. </w:t>
      </w:r>
      <w:r w:rsidR="00F8035C">
        <w:rPr>
          <w:spacing w:val="-3"/>
          <w:lang w:val="en-US"/>
        </w:rPr>
        <w:t>refers to a</w:t>
      </w:r>
      <w:r w:rsidRPr="00D40DA9">
        <w:rPr>
          <w:spacing w:val="-3"/>
          <w:lang w:val="en-US"/>
        </w:rPr>
        <w:t xml:space="preserve"> value determined by </w:t>
      </w:r>
      <w:r>
        <w:t>Draganic and Marcovic (1968, unpublished</w:t>
      </w:r>
      <w:r w:rsidR="00F8035C">
        <w:t xml:space="preserve"> work</w:t>
      </w:r>
      <w:r>
        <w:t>)</w:t>
      </w:r>
      <w:r w:rsidR="00580268">
        <w:t xml:space="preserve"> in their review</w:t>
      </w:r>
      <w:r w:rsidR="00F8035C">
        <w:t xml:space="preserve">, relative to </w:t>
      </w:r>
      <w:hyperlink r:id="rId7" w:tgtFrame="_blank" w:history="1">
        <w:r w:rsidR="00F8035C" w:rsidRPr="00580268">
          <w:rPr>
            <w:rStyle w:val="Lienhypertexte"/>
            <w:color w:val="auto"/>
            <w:u w:val="none"/>
            <w:lang w:val="en-CA"/>
          </w:rPr>
          <w:t>·OH</w:t>
        </w:r>
      </w:hyperlink>
      <w:r w:rsidR="00F8035C" w:rsidRPr="00580268">
        <w:rPr>
          <w:lang w:val="en-CA"/>
        </w:rPr>
        <w:t xml:space="preserve"> + </w:t>
      </w:r>
      <w:r w:rsidR="00F8035C">
        <w:rPr>
          <w:rFonts w:ascii="Times New Roman" w:hAnsi="Times New Roman" w:cs="Times New Roman"/>
          <w:lang w:val="en-CA" w:eastAsia="en-CA"/>
        </w:rPr>
        <w:t xml:space="preserve">oxalic acid; for the rate constant of oxalic acid, Buxton et al. recommends </w:t>
      </w:r>
      <w:r w:rsidR="00F8035C">
        <w:rPr>
          <w:rFonts w:ascii="Times New Roman" w:hAnsi="Times New Roman" w:cs="Times New Roman"/>
          <w:i/>
          <w:lang w:val="en-CA" w:eastAsia="en-CA"/>
        </w:rPr>
        <w:t>k</w:t>
      </w:r>
      <w:r w:rsidR="00F8035C">
        <w:t>(</w:t>
      </w:r>
      <w:hyperlink r:id="rId8" w:tgtFrame="_blank" w:history="1">
        <w:r w:rsidR="00F8035C" w:rsidRPr="00580268">
          <w:rPr>
            <w:rStyle w:val="Lienhypertexte"/>
            <w:color w:val="auto"/>
            <w:u w:val="none"/>
            <w:lang w:val="en-CA"/>
          </w:rPr>
          <w:t>·OH</w:t>
        </w:r>
      </w:hyperlink>
      <w:r w:rsidR="00F8035C" w:rsidRPr="00580268">
        <w:rPr>
          <w:lang w:val="en-CA"/>
        </w:rPr>
        <w:t xml:space="preserve"> + </w:t>
      </w:r>
      <w:r w:rsidR="00F8035C">
        <w:rPr>
          <w:rFonts w:ascii="Times New Roman" w:hAnsi="Times New Roman" w:cs="Times New Roman"/>
          <w:lang w:val="en-CA" w:eastAsia="en-CA"/>
        </w:rPr>
        <w:t>oxalic acid) = 1.4 × 10</w:t>
      </w:r>
      <w:r w:rsidR="00F8035C">
        <w:rPr>
          <w:rFonts w:ascii="Times New Roman" w:hAnsi="Times New Roman" w:cs="Times New Roman"/>
          <w:vertAlign w:val="superscript"/>
          <w:lang w:val="en-CA" w:eastAsia="en-CA"/>
        </w:rPr>
        <w:t>9</w:t>
      </w:r>
      <w:r w:rsidR="00F8035C">
        <w:rPr>
          <w:rFonts w:ascii="Times New Roman" w:hAnsi="Times New Roman" w:cs="Times New Roman"/>
          <w:lang w:val="en-CA" w:eastAsia="en-CA"/>
        </w:rPr>
        <w:t> M</w:t>
      </w:r>
      <w:r w:rsidR="00F8035C">
        <w:rPr>
          <w:rFonts w:ascii="Times New Roman" w:hAnsi="Times New Roman" w:cs="Times New Roman"/>
          <w:vertAlign w:val="superscript"/>
          <w:lang w:val="en-CA" w:eastAsia="en-CA"/>
        </w:rPr>
        <w:noBreakHyphen/>
        <w:t>1</w:t>
      </w:r>
      <w:r w:rsidR="00F8035C">
        <w:rPr>
          <w:rFonts w:ascii="Times New Roman" w:hAnsi="Times New Roman" w:cs="Times New Roman"/>
          <w:lang w:val="en-CA" w:eastAsia="en-CA"/>
        </w:rPr>
        <w:t> s</w:t>
      </w:r>
      <w:r w:rsidR="00F8035C">
        <w:rPr>
          <w:rFonts w:ascii="Times New Roman" w:hAnsi="Times New Roman" w:cs="Times New Roman"/>
          <w:vertAlign w:val="superscript"/>
          <w:lang w:val="en-CA" w:eastAsia="en-CA"/>
        </w:rPr>
        <w:noBreakHyphen/>
        <w:t>1</w:t>
      </w:r>
      <w:r w:rsidR="00F8035C">
        <w:rPr>
          <w:rFonts w:ascii="Times New Roman" w:hAnsi="Times New Roman" w:cs="Times New Roman"/>
          <w:lang w:val="en-CA" w:eastAsia="en-CA"/>
        </w:rPr>
        <w:t>;</w:t>
      </w:r>
      <w:r>
        <w:t xml:space="preserve"> th</w:t>
      </w:r>
      <w:r w:rsidR="00F8035C">
        <w:t>ese</w:t>
      </w:r>
      <w:r>
        <w:t xml:space="preserve"> value</w:t>
      </w:r>
      <w:r w:rsidR="00F8035C">
        <w:t>s</w:t>
      </w:r>
      <w:r>
        <w:t xml:space="preserve"> </w:t>
      </w:r>
      <w:r w:rsidR="00F8035C">
        <w:t>are</w:t>
      </w:r>
      <w:r>
        <w:t xml:space="preserve"> also </w:t>
      </w:r>
      <w:r w:rsidR="00580268">
        <w:t xml:space="preserve">given in the </w:t>
      </w:r>
      <w:r>
        <w:t>NIST</w:t>
      </w:r>
      <w:r w:rsidR="00580268">
        <w:t xml:space="preserve"> database</w:t>
      </w:r>
      <w:r>
        <w:t>.</w:t>
      </w:r>
    </w:p>
    <w:p w:rsidR="008527A5" w:rsidRPr="00D40DA9" w:rsidRDefault="008527A5" w:rsidP="008527A5">
      <w:pPr>
        <w:tabs>
          <w:tab w:val="left" w:pos="0"/>
          <w:tab w:val="left" w:pos="426"/>
        </w:tabs>
        <w:suppressAutoHyphens/>
        <w:spacing w:line="240" w:lineRule="atLeast"/>
        <w:ind w:left="502"/>
        <w:jc w:val="both"/>
        <w:rPr>
          <w:spacing w:val="-3"/>
          <w:lang w:val="en-US"/>
        </w:rPr>
      </w:pPr>
      <w:hyperlink r:id="rId9" w:history="1">
        <w:r w:rsidRPr="00D40DA9">
          <w:rPr>
            <w:rStyle w:val="Lienhypertexte"/>
            <w:spacing w:val="-3"/>
            <w:lang w:val="en-US"/>
          </w:rPr>
          <w:t>http://kinetics.nist.gov/solution/Detail?id=1968D</w:t>
        </w:r>
        <w:r w:rsidRPr="00D40DA9">
          <w:rPr>
            <w:rStyle w:val="Lienhypertexte"/>
            <w:spacing w:val="-3"/>
            <w:lang w:val="en-US"/>
          </w:rPr>
          <w:t>R</w:t>
        </w:r>
        <w:r w:rsidRPr="00D40DA9">
          <w:rPr>
            <w:rStyle w:val="Lienhypertexte"/>
            <w:spacing w:val="-3"/>
            <w:lang w:val="en-US"/>
          </w:rPr>
          <w:t>A/MARB:1</w:t>
        </w:r>
      </w:hyperlink>
    </w:p>
    <w:p w:rsidR="00BE6877" w:rsidRPr="00D40DA9" w:rsidRDefault="00BE6877" w:rsidP="008527A5">
      <w:pPr>
        <w:tabs>
          <w:tab w:val="left" w:pos="0"/>
          <w:tab w:val="left" w:pos="426"/>
        </w:tabs>
        <w:suppressAutoHyphens/>
        <w:spacing w:line="240" w:lineRule="atLeast"/>
        <w:ind w:left="502" w:hanging="502"/>
        <w:jc w:val="both"/>
        <w:rPr>
          <w:spacing w:val="-3"/>
          <w:lang w:val="en-US"/>
        </w:rPr>
      </w:pPr>
    </w:p>
    <w:p w:rsidR="00522E43" w:rsidRDefault="00BF0D62" w:rsidP="008527A5">
      <w:pPr>
        <w:numPr>
          <w:ilvl w:val="0"/>
          <w:numId w:val="2"/>
        </w:numPr>
        <w:tabs>
          <w:tab w:val="left" w:pos="426"/>
        </w:tabs>
        <w:suppressAutoHyphens/>
        <w:spacing w:line="240" w:lineRule="atLeast"/>
        <w:ind w:hanging="420"/>
        <w:jc w:val="both"/>
        <w:rPr>
          <w:lang w:val="en-GB"/>
        </w:rPr>
      </w:pPr>
      <w:r>
        <w:rPr>
          <w:lang w:val="en-GB"/>
        </w:rPr>
        <w:t>M</w:t>
      </w:r>
      <w:r w:rsidR="009C30C0" w:rsidRPr="002F5457">
        <w:rPr>
          <w:lang w:val="en-GB"/>
        </w:rPr>
        <w:t>easured in N</w:t>
      </w:r>
      <w:r w:rsidR="009C30C0" w:rsidRPr="002F5457">
        <w:rPr>
          <w:vertAlign w:val="subscript"/>
          <w:lang w:val="en-GB"/>
        </w:rPr>
        <w:t>2</w:t>
      </w:r>
      <w:r w:rsidR="009C30C0" w:rsidRPr="002F5457">
        <w:rPr>
          <w:lang w:val="en-GB"/>
        </w:rPr>
        <w:t>O</w:t>
      </w:r>
      <w:r w:rsidR="002F5457">
        <w:rPr>
          <w:lang w:val="en-GB"/>
        </w:rPr>
        <w:t>-</w:t>
      </w:r>
      <w:r w:rsidR="001777A6" w:rsidRPr="002F5457">
        <w:rPr>
          <w:lang w:val="en-GB"/>
        </w:rPr>
        <w:t xml:space="preserve">saturated </w:t>
      </w:r>
      <w:r w:rsidR="009C30C0" w:rsidRPr="002F5457">
        <w:rPr>
          <w:lang w:val="en-GB"/>
        </w:rPr>
        <w:t>solution</w:t>
      </w:r>
      <w:r w:rsidR="002F5457" w:rsidRPr="002F5457">
        <w:rPr>
          <w:lang w:val="en-GB"/>
        </w:rPr>
        <w:t xml:space="preserve">; </w:t>
      </w:r>
      <w:r w:rsidR="009C30C0" w:rsidRPr="002F5457">
        <w:rPr>
          <w:lang w:val="en-GB"/>
        </w:rPr>
        <w:t>competition kinetics</w:t>
      </w:r>
      <w:r w:rsidR="00F8035C">
        <w:rPr>
          <w:lang w:val="en-GB"/>
        </w:rPr>
        <w:t xml:space="preserve">; reference reaction: </w:t>
      </w:r>
      <w:hyperlink r:id="rId10" w:tgtFrame="_blank" w:history="1">
        <w:r w:rsidR="00F8035C" w:rsidRPr="00580268">
          <w:rPr>
            <w:rStyle w:val="Lienhypertexte"/>
            <w:color w:val="auto"/>
            <w:u w:val="none"/>
            <w:lang w:val="en-CA"/>
          </w:rPr>
          <w:t>·OH</w:t>
        </w:r>
      </w:hyperlink>
      <w:r w:rsidR="00F8035C" w:rsidRPr="00580268">
        <w:rPr>
          <w:lang w:val="en-CA"/>
        </w:rPr>
        <w:t xml:space="preserve"> + </w:t>
      </w:r>
      <w:r w:rsidR="00F8035C" w:rsidRPr="002F5457">
        <w:rPr>
          <w:lang w:val="en-GB"/>
        </w:rPr>
        <w:t>Fe(CN)</w:t>
      </w:r>
      <w:r w:rsidR="00F8035C" w:rsidRPr="002F5457">
        <w:rPr>
          <w:vertAlign w:val="subscript"/>
          <w:lang w:val="en-GB"/>
        </w:rPr>
        <w:t>6</w:t>
      </w:r>
      <w:r w:rsidR="00F8035C" w:rsidRPr="002F5457">
        <w:rPr>
          <w:vertAlign w:val="superscript"/>
          <w:lang w:val="en-GB"/>
        </w:rPr>
        <w:t>4-</w:t>
      </w:r>
      <w:r w:rsidR="00F8035C">
        <w:rPr>
          <w:lang w:val="en-GB"/>
        </w:rPr>
        <w:t xml:space="preserve"> with </w:t>
      </w:r>
      <w:r w:rsidR="00F8035C" w:rsidRPr="002F5457">
        <w:rPr>
          <w:i/>
          <w:lang w:val="en-GB"/>
        </w:rPr>
        <w:t>k</w:t>
      </w:r>
      <w:r w:rsidR="00F8035C">
        <w:rPr>
          <w:lang w:val="en-GB"/>
        </w:rPr>
        <w:t>(</w:t>
      </w:r>
      <w:hyperlink r:id="rId11" w:tgtFrame="_blank" w:history="1">
        <w:r w:rsidR="00F8035C" w:rsidRPr="00580268">
          <w:rPr>
            <w:rStyle w:val="Lienhypertexte"/>
            <w:color w:val="auto"/>
            <w:u w:val="none"/>
            <w:lang w:val="en-CA"/>
          </w:rPr>
          <w:t>·OH</w:t>
        </w:r>
      </w:hyperlink>
      <w:r w:rsidR="00F8035C" w:rsidRPr="00580268">
        <w:rPr>
          <w:lang w:val="en-CA"/>
        </w:rPr>
        <w:t xml:space="preserve"> + </w:t>
      </w:r>
      <w:r w:rsidR="00F8035C" w:rsidRPr="002F5457">
        <w:rPr>
          <w:lang w:val="en-GB"/>
        </w:rPr>
        <w:t>Fe(CN)</w:t>
      </w:r>
      <w:r w:rsidR="00F8035C" w:rsidRPr="002F5457">
        <w:rPr>
          <w:vertAlign w:val="subscript"/>
          <w:lang w:val="en-GB"/>
        </w:rPr>
        <w:t>6</w:t>
      </w:r>
      <w:r w:rsidR="00F8035C" w:rsidRPr="002F5457">
        <w:rPr>
          <w:vertAlign w:val="superscript"/>
          <w:lang w:val="en-GB"/>
        </w:rPr>
        <w:t>4-</w:t>
      </w:r>
      <w:r w:rsidR="00F8035C">
        <w:rPr>
          <w:lang w:val="en-GB"/>
        </w:rPr>
        <w:t>)</w:t>
      </w:r>
      <w:r w:rsidR="00F8035C" w:rsidRPr="002F5457">
        <w:rPr>
          <w:lang w:val="en-GB"/>
        </w:rPr>
        <w:t xml:space="preserve"> = </w:t>
      </w:r>
      <w:r w:rsidR="00F8035C" w:rsidRPr="002F5457">
        <w:rPr>
          <w:spacing w:val="-3"/>
          <w:lang w:val="en-CA"/>
        </w:rPr>
        <w:t>1.0 × 10</w:t>
      </w:r>
      <w:r w:rsidR="00F8035C" w:rsidRPr="002F5457">
        <w:rPr>
          <w:spacing w:val="-3"/>
          <w:vertAlign w:val="superscript"/>
          <w:lang w:val="en-CA"/>
        </w:rPr>
        <w:t xml:space="preserve">10 </w:t>
      </w:r>
      <w:r w:rsidR="00F8035C">
        <w:t xml:space="preserve"> M</w:t>
      </w:r>
      <w:r w:rsidR="00F8035C" w:rsidRPr="002F5457">
        <w:rPr>
          <w:vertAlign w:val="superscript"/>
        </w:rPr>
        <w:t>-1</w:t>
      </w:r>
      <w:r w:rsidR="00F8035C">
        <w:t xml:space="preserve"> s</w:t>
      </w:r>
      <w:r w:rsidR="00F8035C" w:rsidRPr="002F5457">
        <w:rPr>
          <w:vertAlign w:val="superscript"/>
        </w:rPr>
        <w:t>-1</w:t>
      </w:r>
      <w:r w:rsidR="00F8035C">
        <w:t xml:space="preserve"> (</w:t>
      </w:r>
      <w:r w:rsidR="00F8035C" w:rsidRPr="002F5457">
        <w:rPr>
          <w:lang w:val="en-GB"/>
        </w:rPr>
        <w:t xml:space="preserve">Buxton </w:t>
      </w:r>
      <w:r w:rsidR="00F8035C" w:rsidRPr="00BF0D62">
        <w:rPr>
          <w:lang w:val="en-GB"/>
        </w:rPr>
        <w:t>et al.</w:t>
      </w:r>
      <w:r w:rsidR="00F8035C">
        <w:rPr>
          <w:lang w:val="en-GB"/>
        </w:rPr>
        <w:t>,</w:t>
      </w:r>
      <w:r w:rsidR="00F8035C" w:rsidRPr="002F5457">
        <w:rPr>
          <w:lang w:val="en-GB"/>
        </w:rPr>
        <w:t xml:space="preserve"> 1988)</w:t>
      </w:r>
      <w:r w:rsidR="002F5457" w:rsidRPr="002F5457">
        <w:rPr>
          <w:lang w:val="en-GB"/>
        </w:rPr>
        <w:t xml:space="preserve">; </w:t>
      </w:r>
      <w:r w:rsidR="00791126">
        <w:rPr>
          <w:lang w:val="en-GB"/>
        </w:rPr>
        <w:t>measured</w:t>
      </w:r>
      <w:r w:rsidR="002F5457" w:rsidRPr="002F5457">
        <w:rPr>
          <w:lang w:val="en-GB"/>
        </w:rPr>
        <w:t xml:space="preserve"> at </w:t>
      </w:r>
      <w:r w:rsidR="001777A6">
        <w:rPr>
          <w:lang w:val="en-GB"/>
        </w:rPr>
        <w:sym w:font="Symbol" w:char="F06C"/>
      </w:r>
      <w:r w:rsidR="001777A6" w:rsidRPr="002F5457">
        <w:rPr>
          <w:lang w:val="en-GB"/>
        </w:rPr>
        <w:t xml:space="preserve"> =</w:t>
      </w:r>
      <w:r w:rsidR="002F5457" w:rsidRPr="002F5457">
        <w:rPr>
          <w:lang w:val="en-GB"/>
        </w:rPr>
        <w:t xml:space="preserve"> 420 nm;</w:t>
      </w:r>
      <w:r w:rsidR="00791126">
        <w:rPr>
          <w:lang w:val="en-GB"/>
        </w:rPr>
        <w:t xml:space="preserve"> the rate constant has been confirmed by direct observation; temperature dependent data was gathered via direct observation with no specific values for </w:t>
      </w:r>
      <w:r w:rsidR="00791126">
        <w:rPr>
          <w:i/>
          <w:lang w:val="en-GB"/>
        </w:rPr>
        <w:t>k</w:t>
      </w:r>
      <w:r w:rsidR="00791126">
        <w:rPr>
          <w:lang w:val="en-GB"/>
        </w:rPr>
        <w:t xml:space="preserve">(T) </w:t>
      </w:r>
      <w:r w:rsidR="00791126">
        <w:rPr>
          <w:lang w:val="en-GB"/>
        </w:rPr>
        <w:lastRenderedPageBreak/>
        <w:t xml:space="preserve">given; activation energy is given as </w:t>
      </w:r>
      <w:r w:rsidR="00791126" w:rsidRPr="00580268">
        <w:rPr>
          <w:lang w:val="en-GB"/>
        </w:rPr>
        <w:t>E</w:t>
      </w:r>
      <w:r w:rsidR="00791126" w:rsidRPr="00580268">
        <w:rPr>
          <w:vertAlign w:val="subscript"/>
          <w:lang w:val="en-GB"/>
        </w:rPr>
        <w:t>A</w:t>
      </w:r>
      <w:r w:rsidR="00791126" w:rsidRPr="00580268">
        <w:rPr>
          <w:lang w:val="en-GB"/>
        </w:rPr>
        <w:t xml:space="preserve"> </w:t>
      </w:r>
      <w:r w:rsidR="00791126">
        <w:rPr>
          <w:lang w:val="en-GB"/>
        </w:rPr>
        <w:t>=</w:t>
      </w:r>
      <w:r w:rsidR="00791126" w:rsidRPr="00580268">
        <w:rPr>
          <w:lang w:val="en-GB"/>
        </w:rPr>
        <w:t xml:space="preserve"> (12.6 </w:t>
      </w:r>
      <w:r w:rsidR="00791126" w:rsidRPr="00580268">
        <w:rPr>
          <w:spacing w:val="-3"/>
          <w:lang w:val="en-CA"/>
        </w:rPr>
        <w:t>±</w:t>
      </w:r>
      <w:r w:rsidR="00791126" w:rsidRPr="00580268">
        <w:rPr>
          <w:lang w:val="en-GB"/>
        </w:rPr>
        <w:t xml:space="preserve"> 0.9) kJ mol</w:t>
      </w:r>
      <w:r w:rsidR="00791126" w:rsidRPr="00580268">
        <w:rPr>
          <w:vertAlign w:val="superscript"/>
          <w:lang w:val="en-GB"/>
        </w:rPr>
        <w:t>-1</w:t>
      </w:r>
      <w:r w:rsidR="00791126">
        <w:rPr>
          <w:lang w:val="en-GB"/>
        </w:rPr>
        <w:t>; Arrhenius expression was calculated using the given data; reviewed by Schaefer et al. (2015).</w:t>
      </w:r>
    </w:p>
    <w:p w:rsidR="00522E43" w:rsidRDefault="00522E43" w:rsidP="008527A5">
      <w:pPr>
        <w:tabs>
          <w:tab w:val="left" w:pos="426"/>
        </w:tabs>
        <w:suppressAutoHyphens/>
        <w:spacing w:line="240" w:lineRule="atLeast"/>
        <w:ind w:left="502" w:hanging="502"/>
        <w:jc w:val="both"/>
        <w:rPr>
          <w:lang w:val="en-GB"/>
        </w:rPr>
      </w:pPr>
    </w:p>
    <w:p w:rsidR="00522E43" w:rsidRPr="00580268" w:rsidRDefault="00522E43" w:rsidP="008527A5">
      <w:pPr>
        <w:numPr>
          <w:ilvl w:val="0"/>
          <w:numId w:val="2"/>
        </w:numPr>
        <w:tabs>
          <w:tab w:val="left" w:pos="426"/>
        </w:tabs>
        <w:suppressAutoHyphens/>
        <w:spacing w:line="240" w:lineRule="atLeast"/>
        <w:ind w:hanging="420"/>
        <w:jc w:val="both"/>
        <w:rPr>
          <w:lang w:val="en-GB"/>
        </w:rPr>
      </w:pPr>
      <w:r w:rsidRPr="00580268">
        <w:rPr>
          <w:spacing w:val="-2"/>
          <w:lang w:val="en-CA"/>
        </w:rPr>
        <w:t>Reference reaction (RR)</w:t>
      </w:r>
      <w:r w:rsidRPr="00580268">
        <w:rPr>
          <w:spacing w:val="-3"/>
          <w:lang w:val="en-CA"/>
        </w:rPr>
        <w:t xml:space="preserve">: </w:t>
      </w:r>
      <w:hyperlink r:id="rId12" w:tgtFrame="_blank" w:history="1">
        <w:r w:rsidRPr="00580268">
          <w:rPr>
            <w:rStyle w:val="Lienhypertexte"/>
            <w:color w:val="auto"/>
            <w:u w:val="none"/>
            <w:lang w:val="en-CA"/>
          </w:rPr>
          <w:t>·OH</w:t>
        </w:r>
      </w:hyperlink>
      <w:r w:rsidRPr="00580268">
        <w:rPr>
          <w:lang w:val="en-CA"/>
        </w:rPr>
        <w:t xml:space="preserve"> + SCN</w:t>
      </w:r>
      <w:r w:rsidRPr="00580268">
        <w:rPr>
          <w:vertAlign w:val="superscript"/>
          <w:lang w:val="en-CA"/>
        </w:rPr>
        <w:t>-</w:t>
      </w:r>
      <w:r w:rsidRPr="00580268">
        <w:rPr>
          <w:lang w:val="en-CA"/>
        </w:rPr>
        <w:t xml:space="preserve">; rate constant is given by </w:t>
      </w:r>
      <w:r w:rsidRPr="00580268">
        <w:rPr>
          <w:i/>
          <w:lang w:val="en-CA"/>
        </w:rPr>
        <w:t>k</w:t>
      </w:r>
      <w:r w:rsidRPr="00580268">
        <w:rPr>
          <w:lang w:val="en-CA"/>
        </w:rPr>
        <w:t xml:space="preserve">(T) = 7.26 </w:t>
      </w:r>
      <w:r w:rsidRPr="00364535">
        <w:rPr>
          <w:spacing w:val="-3"/>
          <w:lang w:val="en-US"/>
        </w:rPr>
        <w:sym w:font="Symbol" w:char="F0B4"/>
      </w:r>
      <w:r w:rsidRPr="00580268">
        <w:rPr>
          <w:spacing w:val="-2"/>
          <w:lang w:val="fr-FR"/>
        </w:rPr>
        <w:t xml:space="preserve"> 10</w:t>
      </w:r>
      <w:r w:rsidRPr="00580268">
        <w:rPr>
          <w:spacing w:val="-2"/>
          <w:vertAlign w:val="superscript"/>
          <w:lang w:val="fr-FR"/>
        </w:rPr>
        <w:t>12</w:t>
      </w:r>
      <w:r w:rsidRPr="00580268">
        <w:rPr>
          <w:spacing w:val="-2"/>
          <w:lang w:val="fr-FR"/>
        </w:rPr>
        <w:t xml:space="preserve"> exp[(-1900 </w:t>
      </w:r>
      <w:r w:rsidRPr="00580268">
        <w:rPr>
          <w:lang w:val="en-CA"/>
        </w:rPr>
        <w:t>± 190) / T</w:t>
      </w:r>
      <w:r w:rsidRPr="00580268">
        <w:rPr>
          <w:spacing w:val="-2"/>
          <w:lang w:val="fr-FR"/>
        </w:rPr>
        <w:t>] M</w:t>
      </w:r>
      <w:r w:rsidRPr="00580268">
        <w:rPr>
          <w:spacing w:val="-2"/>
          <w:vertAlign w:val="superscript"/>
          <w:lang w:val="fr-FR"/>
        </w:rPr>
        <w:t>-1</w:t>
      </w:r>
      <w:r w:rsidRPr="00580268">
        <w:rPr>
          <w:spacing w:val="-2"/>
          <w:lang w:val="fr-FR"/>
        </w:rPr>
        <w:t>s</w:t>
      </w:r>
      <w:r w:rsidRPr="00580268">
        <w:rPr>
          <w:spacing w:val="-2"/>
          <w:vertAlign w:val="superscript"/>
          <w:lang w:val="fr-FR"/>
        </w:rPr>
        <w:t>-1</w:t>
      </w:r>
      <w:r>
        <w:t xml:space="preserve"> </w:t>
      </w:r>
      <w:r w:rsidR="00F04DBF">
        <w:t>according to</w:t>
      </w:r>
      <w:r>
        <w:t xml:space="preserve"> Chin and Wine (1992) (at pH</w:t>
      </w:r>
      <w:r w:rsidR="00F04DBF">
        <w:t xml:space="preserve"> </w:t>
      </w:r>
      <w:r>
        <w:t>= 6).</w:t>
      </w:r>
      <w:r w:rsidR="00580268">
        <w:t xml:space="preserve"> An a</w:t>
      </w:r>
      <w:r w:rsidRPr="00580268">
        <w:rPr>
          <w:lang w:val="en-GB"/>
        </w:rPr>
        <w:t xml:space="preserve">ctivation energy </w:t>
      </w:r>
      <w:r w:rsidR="00BF0D62" w:rsidRPr="00580268">
        <w:rPr>
          <w:lang w:val="en-GB"/>
        </w:rPr>
        <w:t>E</w:t>
      </w:r>
      <w:r w:rsidR="00BF0D62" w:rsidRPr="00580268">
        <w:rPr>
          <w:vertAlign w:val="subscript"/>
          <w:lang w:val="en-GB"/>
        </w:rPr>
        <w:t>A</w:t>
      </w:r>
      <w:r w:rsidR="00BF0D62" w:rsidRPr="00580268">
        <w:rPr>
          <w:lang w:val="en-GB"/>
        </w:rPr>
        <w:t xml:space="preserve"> </w:t>
      </w:r>
      <w:r w:rsidRPr="00580268">
        <w:rPr>
          <w:lang w:val="en-GB"/>
        </w:rPr>
        <w:t xml:space="preserve">of (12.6 </w:t>
      </w:r>
      <w:r w:rsidRPr="00580268">
        <w:rPr>
          <w:spacing w:val="-3"/>
          <w:lang w:val="en-CA"/>
        </w:rPr>
        <w:t>±</w:t>
      </w:r>
      <w:r w:rsidRPr="00580268">
        <w:rPr>
          <w:lang w:val="en-GB"/>
        </w:rPr>
        <w:t xml:space="preserve"> 0.9) kJ mol</w:t>
      </w:r>
      <w:r w:rsidRPr="00580268">
        <w:rPr>
          <w:vertAlign w:val="superscript"/>
          <w:lang w:val="en-GB"/>
        </w:rPr>
        <w:t>-1</w:t>
      </w:r>
      <w:r w:rsidRPr="00580268">
        <w:rPr>
          <w:lang w:val="en-GB"/>
        </w:rPr>
        <w:t xml:space="preserve"> was obtained from direct measurements of</w:t>
      </w:r>
      <w:r w:rsidR="001B54E7" w:rsidRPr="00580268">
        <w:rPr>
          <w:lang w:val="en-GB"/>
        </w:rPr>
        <w:t xml:space="preserve"> </w:t>
      </w:r>
      <w:r w:rsidRPr="00580268">
        <w:rPr>
          <w:i/>
          <w:lang w:val="en-GB"/>
        </w:rPr>
        <w:t>k</w:t>
      </w:r>
      <w:r w:rsidR="00635634">
        <w:rPr>
          <w:lang w:val="en-GB"/>
        </w:rPr>
        <w:t>.</w:t>
      </w:r>
    </w:p>
    <w:p w:rsidR="00522E43" w:rsidRDefault="00522E43" w:rsidP="00580268">
      <w:pPr>
        <w:tabs>
          <w:tab w:val="left" w:pos="444"/>
          <w:tab w:val="left" w:pos="720"/>
        </w:tabs>
        <w:suppressAutoHyphens/>
        <w:spacing w:line="240" w:lineRule="atLeast"/>
        <w:jc w:val="both"/>
        <w:rPr>
          <w:lang w:val="en-GB"/>
        </w:rPr>
      </w:pPr>
    </w:p>
    <w:p w:rsidR="00110C8F" w:rsidRDefault="00110C8F" w:rsidP="00522E43">
      <w:pPr>
        <w:pStyle w:val="Paragraphedeliste"/>
        <w:ind w:left="0"/>
        <w:rPr>
          <w:spacing w:val="-2"/>
          <w:lang w:val="en-CA"/>
        </w:rPr>
      </w:pPr>
    </w:p>
    <w:p w:rsidR="00580268" w:rsidRDefault="00580268" w:rsidP="00522E43">
      <w:pPr>
        <w:pStyle w:val="Paragraphedeliste"/>
        <w:ind w:left="0"/>
        <w:rPr>
          <w:spacing w:val="-2"/>
          <w:lang w:val="en-CA"/>
        </w:rPr>
      </w:pPr>
    </w:p>
    <w:p w:rsidR="00B82AA4" w:rsidRPr="00F16250" w:rsidRDefault="00B82AA4" w:rsidP="00B82AA4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 Values</w:t>
      </w:r>
    </w:p>
    <w:p w:rsidR="00B82AA4" w:rsidRPr="00F16250" w:rsidRDefault="00B82AA4" w:rsidP="00B82AA4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B82AA4" w:rsidRPr="00F16250" w:rsidTr="00145B82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B82AA4" w:rsidRPr="00F16250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B82AA4" w:rsidRPr="00F16250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B82AA4" w:rsidRPr="00F16250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B82AA4" w:rsidRPr="00F16250" w:rsidTr="00145B82">
        <w:tc>
          <w:tcPr>
            <w:tcW w:w="2059" w:type="dxa"/>
            <w:tcBorders>
              <w:top w:val="single" w:sz="4" w:space="0" w:color="000000"/>
            </w:tcBorders>
          </w:tcPr>
          <w:p w:rsidR="00B82AA4" w:rsidRPr="00F16250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B82AA4" w:rsidRPr="00F16250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B82AA4" w:rsidRPr="00F16250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82AA4" w:rsidRPr="004901BF" w:rsidTr="00145B82">
        <w:tc>
          <w:tcPr>
            <w:tcW w:w="2059" w:type="dxa"/>
          </w:tcPr>
          <w:p w:rsidR="00B82AA4" w:rsidRPr="004901BF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l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B82AA4" w:rsidRPr="004901BF" w:rsidRDefault="00D67B0C" w:rsidP="0044755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spacing w:val="-3"/>
                <w:lang w:val="en-CA"/>
              </w:rPr>
              <w:t>9.2</w:t>
            </w:r>
            <w:r w:rsidRPr="00FA0C8D">
              <w:rPr>
                <w:spacing w:val="-3"/>
                <w:lang w:val="en-CA"/>
              </w:rPr>
              <w:t xml:space="preserve"> × 10</w:t>
            </w:r>
            <w:r>
              <w:rPr>
                <w:spacing w:val="-3"/>
                <w:vertAlign w:val="superscript"/>
                <w:lang w:val="en-CA"/>
              </w:rPr>
              <w:t>8</w:t>
            </w:r>
          </w:p>
        </w:tc>
        <w:tc>
          <w:tcPr>
            <w:tcW w:w="2175" w:type="dxa"/>
          </w:tcPr>
          <w:p w:rsidR="00B82AA4" w:rsidRPr="004901BF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B82AA4" w:rsidRPr="004901BF" w:rsidTr="00145B82">
        <w:tc>
          <w:tcPr>
            <w:tcW w:w="2059" w:type="dxa"/>
          </w:tcPr>
          <w:p w:rsidR="00B82AA4" w:rsidRPr="004901BF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k 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/ l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B82AA4" w:rsidRPr="004901BF" w:rsidRDefault="00D67B0C" w:rsidP="0044755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spacing w:val="-3"/>
                <w:lang w:val="en-CA"/>
              </w:rPr>
              <w:t>5.8</w:t>
            </w:r>
            <w:r w:rsidRPr="00FA0C8D">
              <w:rPr>
                <w:spacing w:val="-3"/>
                <w:lang w:val="en-CA"/>
              </w:rPr>
              <w:t xml:space="preserve"> × 10</w:t>
            </w:r>
            <w:r>
              <w:rPr>
                <w:spacing w:val="-3"/>
                <w:vertAlign w:val="superscript"/>
                <w:lang w:val="en-CA"/>
              </w:rPr>
              <w:t>10</w:t>
            </w:r>
            <w:r>
              <w:rPr>
                <w:spacing w:val="-3"/>
                <w:lang w:val="en-CA"/>
              </w:rPr>
              <w:t xml:space="preserve"> · exp[</w:t>
            </w:r>
            <w:r w:rsidR="0094494F">
              <w:rPr>
                <w:spacing w:val="-3"/>
                <w:lang w:val="en-CA"/>
              </w:rPr>
              <w:t xml:space="preserve">- </w:t>
            </w:r>
            <w:r>
              <w:rPr>
                <w:spacing w:val="-3"/>
                <w:lang w:val="en-CA"/>
              </w:rPr>
              <w:t>(1200)/T]</w:t>
            </w:r>
          </w:p>
        </w:tc>
        <w:tc>
          <w:tcPr>
            <w:tcW w:w="2175" w:type="dxa"/>
          </w:tcPr>
          <w:p w:rsidR="00B82AA4" w:rsidRPr="004901BF" w:rsidRDefault="00B82AA4" w:rsidP="0007274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2</w:t>
            </w:r>
            <w:r w:rsidR="00072742">
              <w:rPr>
                <w:rFonts w:ascii="Times New Roman" w:hAnsi="Times New Roman" w:cs="Times New Roman"/>
                <w:color w:val="000000"/>
                <w:lang w:val="de-DE" w:eastAsia="de-DE"/>
              </w:rPr>
              <w:t>78</w:t>
            </w:r>
            <w:r w:rsidR="00447557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-</w:t>
            </w:r>
            <w:r w:rsidR="00447557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3</w:t>
            </w:r>
            <w:r w:rsidR="00072742">
              <w:rPr>
                <w:rFonts w:ascii="Times New Roman" w:hAnsi="Times New Roman" w:cs="Times New Roman"/>
                <w:color w:val="000000"/>
                <w:lang w:val="de-DE" w:eastAsia="de-DE"/>
              </w:rPr>
              <w:t>18</w:t>
            </w:r>
          </w:p>
        </w:tc>
      </w:tr>
      <w:tr w:rsidR="00B82AA4" w:rsidRPr="0098240E" w:rsidTr="00145B82">
        <w:tc>
          <w:tcPr>
            <w:tcW w:w="2059" w:type="dxa"/>
          </w:tcPr>
          <w:p w:rsidR="00B82AA4" w:rsidRPr="0098240E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</w:p>
        </w:tc>
        <w:tc>
          <w:tcPr>
            <w:tcW w:w="5069" w:type="dxa"/>
          </w:tcPr>
          <w:p w:rsidR="00B82AA4" w:rsidRPr="0098240E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</w:p>
        </w:tc>
        <w:tc>
          <w:tcPr>
            <w:tcW w:w="2175" w:type="dxa"/>
          </w:tcPr>
          <w:p w:rsidR="00B82AA4" w:rsidRPr="0098240E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</w:p>
        </w:tc>
      </w:tr>
    </w:tbl>
    <w:p w:rsidR="00B82AA4" w:rsidRPr="0098240E" w:rsidRDefault="00B82AA4" w:rsidP="00B82AA4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de-DE" w:eastAsia="de-DE"/>
        </w:rPr>
      </w:pPr>
    </w:p>
    <w:p w:rsidR="00B82AA4" w:rsidRPr="008F5A1A" w:rsidRDefault="00B82AA4" w:rsidP="00B82AA4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  <w:r w:rsidRPr="008F5A1A">
        <w:rPr>
          <w:rFonts w:ascii="Times New Roman" w:hAnsi="Times New Roman" w:cs="Times New Roman"/>
          <w:i/>
          <w:color w:val="000000"/>
          <w:lang w:val="de-DE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B82AA4" w:rsidRPr="008F5A1A" w:rsidTr="00145B8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82AA4" w:rsidRPr="008F5A1A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 log</w:t>
            </w:r>
            <w:r w:rsidRPr="008F5A1A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AA4" w:rsidRPr="008F5A1A" w:rsidRDefault="00B82AA4" w:rsidP="00D67B0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±  0.</w:t>
            </w:r>
            <w:r w:rsidR="00D67B0C">
              <w:rPr>
                <w:rFonts w:ascii="Times New Roman" w:hAnsi="Times New Roman" w:cs="Times New Roman"/>
                <w:color w:val="000000"/>
                <w:lang w:val="de-DE" w:eastAsia="de-DE"/>
              </w:rPr>
              <w:t>3</w:t>
            </w:r>
            <w:r w:rsidR="00171721">
              <w:rPr>
                <w:rFonts w:ascii="Times New Roman" w:hAnsi="Times New Roman" w:cs="Times New Roman"/>
                <w:color w:val="000000"/>
                <w:lang w:val="de-DE" w:eastAsia="de-DE"/>
              </w:rPr>
              <w:t>90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82AA4" w:rsidRPr="008F5A1A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B82AA4" w:rsidRPr="00F16250" w:rsidTr="00145B8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82AA4" w:rsidRPr="008F5A1A" w:rsidRDefault="00B82A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 E</w:t>
            </w:r>
            <w:r w:rsidRPr="008F5A1A"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A</w:t>
            </w: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AA4" w:rsidRPr="00F16250" w:rsidRDefault="00B82AA4" w:rsidP="0094494F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</w:t>
            </w:r>
            <w:r w:rsidR="00D67B0C">
              <w:rPr>
                <w:rFonts w:ascii="Times New Roman" w:hAnsi="Times New Roman" w:cs="Times New Roman"/>
                <w:color w:val="000000"/>
                <w:lang w:val="de-DE" w:eastAsia="de-DE"/>
              </w:rPr>
              <w:t>1</w:t>
            </w: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82AA4" w:rsidRPr="00F16250" w:rsidRDefault="00A727A4" w:rsidP="00145B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78</w:t>
            </w:r>
            <w:r w:rsidR="00447557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-</w:t>
            </w:r>
            <w:r w:rsidR="00447557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18</w:t>
            </w:r>
          </w:p>
        </w:tc>
      </w:tr>
    </w:tbl>
    <w:p w:rsidR="00B82AA4" w:rsidRDefault="00B82AA4" w:rsidP="00B82AA4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p w:rsidR="00B82AA4" w:rsidRPr="00072742" w:rsidRDefault="00B82AA4" w:rsidP="00B82AA4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072742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7372D1" w:rsidRDefault="00D67B0C" w:rsidP="007372D1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lang w:val="en-GB"/>
        </w:rPr>
      </w:pPr>
      <w:r w:rsidRPr="00072742">
        <w:rPr>
          <w:lang w:val="en-GB"/>
        </w:rPr>
        <w:t>The recent T-dependent determination by Schaefer at al.</w:t>
      </w:r>
      <w:r w:rsidR="000A2C8D">
        <w:rPr>
          <w:lang w:val="en-GB"/>
        </w:rPr>
        <w:t xml:space="preserve"> (2015)</w:t>
      </w:r>
      <w:r w:rsidRPr="00072742">
        <w:rPr>
          <w:lang w:val="en-GB"/>
        </w:rPr>
        <w:t xml:space="preserve"> leads to a </w:t>
      </w:r>
      <w:r w:rsidR="004C15C3">
        <w:rPr>
          <w:lang w:val="en-GB"/>
        </w:rPr>
        <w:t xml:space="preserve">slightly </w:t>
      </w:r>
      <w:r w:rsidRPr="00072742">
        <w:rPr>
          <w:lang w:val="en-GB"/>
        </w:rPr>
        <w:t>lower rate constant than suggested by Buxton et al.</w:t>
      </w:r>
      <w:r w:rsidR="00943635" w:rsidRPr="00072742">
        <w:rPr>
          <w:lang w:val="en-GB"/>
        </w:rPr>
        <w:t xml:space="preserve"> in the first determination of this rate constant</w:t>
      </w:r>
      <w:r w:rsidR="00072742">
        <w:rPr>
          <w:lang w:val="en-GB"/>
        </w:rPr>
        <w:t xml:space="preserve"> when the d</w:t>
      </w:r>
      <w:r w:rsidR="002F5457">
        <w:rPr>
          <w:lang w:val="en-GB"/>
        </w:rPr>
        <w:t>a</w:t>
      </w:r>
      <w:r w:rsidR="00072742">
        <w:rPr>
          <w:lang w:val="en-GB"/>
        </w:rPr>
        <w:t xml:space="preserve">ta for </w:t>
      </w:r>
      <w:r w:rsidR="00EC7398">
        <w:rPr>
          <w:lang w:val="en-GB"/>
        </w:rPr>
        <w:t>p</w:t>
      </w:r>
      <w:r w:rsidR="00072742">
        <w:rPr>
          <w:lang w:val="en-GB"/>
        </w:rPr>
        <w:t>H 6 are compared</w:t>
      </w:r>
      <w:r w:rsidR="00943635" w:rsidRPr="00072742">
        <w:rPr>
          <w:lang w:val="en-GB"/>
        </w:rPr>
        <w:t>.</w:t>
      </w:r>
      <w:r w:rsidR="004C15C3">
        <w:rPr>
          <w:lang w:val="en-GB"/>
        </w:rPr>
        <w:t xml:space="preserve"> The value </w:t>
      </w:r>
      <w:r w:rsidR="00580268">
        <w:rPr>
          <w:lang w:val="en-GB"/>
        </w:rPr>
        <w:t>previously recommended by</w:t>
      </w:r>
      <w:r w:rsidR="004C15C3">
        <w:rPr>
          <w:lang w:val="en-GB"/>
        </w:rPr>
        <w:t xml:space="preserve"> Buxton et al. (1988) </w:t>
      </w:r>
      <w:r w:rsidR="00580268">
        <w:rPr>
          <w:lang w:val="en-GB"/>
        </w:rPr>
        <w:t>a</w:t>
      </w:r>
      <w:r w:rsidR="001A64FB">
        <w:rPr>
          <w:lang w:val="en-GB"/>
        </w:rPr>
        <w:t>s</w:t>
      </w:r>
      <w:r w:rsidR="00580268">
        <w:rPr>
          <w:lang w:val="en-GB"/>
        </w:rPr>
        <w:t xml:space="preserve"> determined by </w:t>
      </w:r>
      <w:r w:rsidR="00580268">
        <w:t xml:space="preserve">Draganic and Marcovic (1968, unpublished) </w:t>
      </w:r>
      <w:r w:rsidR="004C15C3">
        <w:rPr>
          <w:lang w:val="en-GB"/>
        </w:rPr>
        <w:t xml:space="preserve">is not </w:t>
      </w:r>
      <w:r w:rsidR="00580268">
        <w:rPr>
          <w:lang w:val="en-GB"/>
        </w:rPr>
        <w:t>confirmed by the later determinations.</w:t>
      </w:r>
    </w:p>
    <w:p w:rsidR="00E22791" w:rsidRPr="00A625F9" w:rsidRDefault="00E22791" w:rsidP="007372D1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lang w:val="en-GB"/>
        </w:rPr>
      </w:pPr>
    </w:p>
    <w:p w:rsidR="00821651" w:rsidRPr="009C30C0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GB"/>
        </w:rPr>
      </w:pPr>
      <w:r w:rsidRPr="009C30C0">
        <w:rPr>
          <w:b/>
          <w:spacing w:val="-3"/>
          <w:lang w:val="en-GB"/>
        </w:rPr>
        <w:t>References</w:t>
      </w:r>
    </w:p>
    <w:p w:rsidR="00EC7398" w:rsidRDefault="00EC7398" w:rsidP="00EC7398">
      <w:pPr>
        <w:ind w:left="426" w:hanging="426"/>
        <w:rPr>
          <w:lang w:val="en-CA" w:eastAsia="en-CA"/>
        </w:rPr>
      </w:pPr>
    </w:p>
    <w:p w:rsidR="00EC7398" w:rsidRDefault="00EC7398" w:rsidP="00EC7398">
      <w:pPr>
        <w:ind w:left="426" w:hanging="426"/>
        <w:rPr>
          <w:lang w:val="en-CA" w:eastAsia="en-CA"/>
        </w:rPr>
      </w:pPr>
      <w:r w:rsidRPr="00716396">
        <w:rPr>
          <w:lang w:val="en-CA" w:eastAsia="en-CA"/>
        </w:rPr>
        <w:t>Adams, G. E., and R. L. Willson</w:t>
      </w:r>
      <w:r>
        <w:rPr>
          <w:lang w:val="en-CA" w:eastAsia="en-CA"/>
        </w:rPr>
        <w:t xml:space="preserve">: </w:t>
      </w:r>
      <w:r w:rsidRPr="00C3122F">
        <w:rPr>
          <w:iCs/>
          <w:lang w:val="en-CA" w:eastAsia="en-CA"/>
        </w:rPr>
        <w:t>Trans</w:t>
      </w:r>
      <w:r w:rsidR="0060072B">
        <w:rPr>
          <w:iCs/>
          <w:lang w:val="en-CA" w:eastAsia="en-CA"/>
        </w:rPr>
        <w:t>.</w:t>
      </w:r>
      <w:r w:rsidRPr="00C3122F">
        <w:rPr>
          <w:iCs/>
          <w:lang w:val="en-CA" w:eastAsia="en-CA"/>
        </w:rPr>
        <w:t xml:space="preserve"> Faraday Soc</w:t>
      </w:r>
      <w:r w:rsidR="0060072B">
        <w:rPr>
          <w:iCs/>
          <w:lang w:val="en-CA" w:eastAsia="en-CA"/>
        </w:rPr>
        <w:t>.</w:t>
      </w:r>
      <w:r>
        <w:rPr>
          <w:iCs/>
          <w:lang w:val="en-CA" w:eastAsia="en-CA"/>
        </w:rPr>
        <w:t>,</w:t>
      </w:r>
      <w:r w:rsidRPr="00716396">
        <w:rPr>
          <w:lang w:val="en-CA" w:eastAsia="en-CA"/>
        </w:rPr>
        <w:t xml:space="preserve"> 65</w:t>
      </w:r>
      <w:r>
        <w:rPr>
          <w:lang w:val="en-CA" w:eastAsia="en-CA"/>
        </w:rPr>
        <w:t>,</w:t>
      </w:r>
      <w:r w:rsidRPr="00716396">
        <w:rPr>
          <w:lang w:val="en-CA" w:eastAsia="en-CA"/>
        </w:rPr>
        <w:t xml:space="preserve"> 2981-2987</w:t>
      </w:r>
      <w:r>
        <w:rPr>
          <w:lang w:val="en-CA" w:eastAsia="en-CA"/>
        </w:rPr>
        <w:t>, 1969.</w:t>
      </w:r>
    </w:p>
    <w:p w:rsidR="00821651" w:rsidRPr="009C30C0" w:rsidRDefault="00821651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E26FA1" w:rsidRDefault="00E26FA1" w:rsidP="00EC7398">
      <w:pPr>
        <w:ind w:left="426" w:hanging="426"/>
      </w:pPr>
      <w:r>
        <w:rPr>
          <w:rStyle w:val="bold"/>
        </w:rPr>
        <w:t>Buxton, George V.,</w:t>
      </w:r>
      <w:r>
        <w:t xml:space="preserve"> </w:t>
      </w:r>
      <w:r>
        <w:rPr>
          <w:rStyle w:val="bold"/>
        </w:rPr>
        <w:t>Malone, T</w:t>
      </w:r>
      <w:r w:rsidR="00D67B0C">
        <w:rPr>
          <w:rStyle w:val="bold"/>
        </w:rPr>
        <w:t>.</w:t>
      </w:r>
      <w:r>
        <w:rPr>
          <w:rStyle w:val="bold"/>
        </w:rPr>
        <w:t xml:space="preserve"> N. and Salmon, G. Arthur: </w:t>
      </w:r>
      <w:r w:rsidRPr="00A625F9">
        <w:rPr>
          <w:rStyle w:val="italic"/>
        </w:rPr>
        <w:t>J. Chem. Soc., Faraday Trans.,</w:t>
      </w:r>
      <w:r w:rsidRPr="00A625F9">
        <w:t xml:space="preserve"> </w:t>
      </w:r>
      <w:r w:rsidRPr="00A625F9">
        <w:rPr>
          <w:rStyle w:val="lev"/>
          <w:b w:val="0"/>
        </w:rPr>
        <w:t>93</w:t>
      </w:r>
      <w:r>
        <w:t>, 2889-</w:t>
      </w:r>
      <w:r w:rsidRPr="00A625F9">
        <w:t>2891, 1997.</w:t>
      </w:r>
    </w:p>
    <w:p w:rsidR="00EC7398" w:rsidRDefault="00EC7398" w:rsidP="00EC7398">
      <w:pPr>
        <w:jc w:val="both"/>
        <w:rPr>
          <w:rFonts w:ascii="Times New Roman" w:hAnsi="Times New Roman" w:cs="Times New Roman"/>
          <w:lang w:val="en-CA" w:eastAsia="en-CA"/>
        </w:rPr>
      </w:pPr>
    </w:p>
    <w:p w:rsidR="00EC7398" w:rsidRDefault="0060072B" w:rsidP="00EC7398">
      <w:pPr>
        <w:tabs>
          <w:tab w:val="left" w:pos="0"/>
          <w:tab w:val="left" w:pos="288"/>
          <w:tab w:val="left" w:pos="567"/>
        </w:tabs>
        <w:suppressAutoHyphens/>
        <w:spacing w:line="240" w:lineRule="atLeast"/>
        <w:ind w:left="426" w:hanging="426"/>
        <w:jc w:val="both"/>
        <w:rPr>
          <w:spacing w:val="-3"/>
        </w:rPr>
      </w:pPr>
      <w:r w:rsidRPr="0060072B">
        <w:rPr>
          <w:spacing w:val="-3"/>
        </w:rPr>
        <w:t>Chin, M., and Wine, P. H: J. Photochem. Photobiol., A, 69(1), 17-25, 1992.</w:t>
      </w:r>
    </w:p>
    <w:p w:rsidR="0060072B" w:rsidRDefault="0060072B" w:rsidP="00EC7398">
      <w:pPr>
        <w:tabs>
          <w:tab w:val="left" w:pos="0"/>
          <w:tab w:val="left" w:pos="288"/>
          <w:tab w:val="left" w:pos="567"/>
        </w:tabs>
        <w:suppressAutoHyphens/>
        <w:spacing w:line="240" w:lineRule="atLeast"/>
        <w:ind w:left="426" w:hanging="426"/>
        <w:jc w:val="both"/>
        <w:rPr>
          <w:spacing w:val="-3"/>
        </w:rPr>
      </w:pPr>
    </w:p>
    <w:p w:rsidR="005D181D" w:rsidRDefault="0060072B" w:rsidP="005D181D">
      <w:pPr>
        <w:pStyle w:val="headertext"/>
        <w:tabs>
          <w:tab w:val="left" w:pos="567"/>
          <w:tab w:val="left" w:pos="709"/>
        </w:tabs>
        <w:spacing w:before="0" w:beforeAutospacing="0" w:after="0" w:afterAutospacing="0"/>
        <w:ind w:left="709" w:hanging="709"/>
        <w:rPr>
          <w:rFonts w:ascii="Times" w:hAnsi="Times" w:cs="Times"/>
          <w:spacing w:val="-3"/>
          <w:lang w:val="en-AU" w:eastAsia="en-US"/>
        </w:rPr>
      </w:pPr>
      <w:r w:rsidRPr="0060072B">
        <w:rPr>
          <w:rFonts w:ascii="Times" w:hAnsi="Times" w:cs="Times"/>
          <w:spacing w:val="-3"/>
          <w:lang w:val="en-AU" w:eastAsia="en-US"/>
        </w:rPr>
        <w:t>Ervens, B., and Volkamer, R.: Atmos. Chem. Phys., 10 (17), 8219 – 8244, 2010.</w:t>
      </w:r>
    </w:p>
    <w:p w:rsidR="0060072B" w:rsidRDefault="0060072B" w:rsidP="005D181D">
      <w:pPr>
        <w:pStyle w:val="headertext"/>
        <w:tabs>
          <w:tab w:val="left" w:pos="567"/>
          <w:tab w:val="left" w:pos="709"/>
        </w:tabs>
        <w:spacing w:before="0" w:beforeAutospacing="0" w:after="0" w:afterAutospacing="0"/>
        <w:ind w:left="709" w:hanging="709"/>
      </w:pPr>
    </w:p>
    <w:p w:rsidR="001D6CBA" w:rsidRDefault="002F79AD" w:rsidP="00BF0D62">
      <w:pPr>
        <w:ind w:left="426" w:hanging="426"/>
      </w:pPr>
      <w:r w:rsidRPr="00352F06">
        <w:t>Schaefer</w:t>
      </w:r>
      <w:r>
        <w:t>,</w:t>
      </w:r>
      <w:r w:rsidRPr="00D557B7">
        <w:t xml:space="preserve"> </w:t>
      </w:r>
      <w:r w:rsidRPr="00352F06">
        <w:t>T.</w:t>
      </w:r>
      <w:r>
        <w:t>,</w:t>
      </w:r>
      <w:r w:rsidRPr="00352F06">
        <w:t xml:space="preserve"> </w:t>
      </w:r>
      <w:r w:rsidR="00D67B0C">
        <w:t>v</w:t>
      </w:r>
      <w:r w:rsidRPr="00352F06">
        <w:t>an Pinxteren,</w:t>
      </w:r>
      <w:r>
        <w:t xml:space="preserve"> D.,</w:t>
      </w:r>
      <w:r w:rsidRPr="00352F06">
        <w:t xml:space="preserve"> and Herrmann</w:t>
      </w:r>
      <w:r>
        <w:t xml:space="preserve">, </w:t>
      </w:r>
      <w:r w:rsidRPr="00352F06">
        <w:t xml:space="preserve">H.: </w:t>
      </w:r>
      <w:r w:rsidRPr="00A625F9">
        <w:t>Environ</w:t>
      </w:r>
      <w:r w:rsidR="0060072B">
        <w:t>.</w:t>
      </w:r>
      <w:r w:rsidRPr="00A625F9">
        <w:t xml:space="preserve"> Sci</w:t>
      </w:r>
      <w:r w:rsidR="0060072B">
        <w:t>.</w:t>
      </w:r>
      <w:r w:rsidRPr="00A625F9">
        <w:t xml:space="preserve"> Technol</w:t>
      </w:r>
      <w:r w:rsidR="0060072B">
        <w:t>.</w:t>
      </w:r>
      <w:r w:rsidRPr="00A625F9">
        <w:t>, 49, 343 – 350, 2015.</w:t>
      </w:r>
    </w:p>
    <w:p w:rsidR="00BE6877" w:rsidRDefault="00BE6877" w:rsidP="00BF0D62">
      <w:pPr>
        <w:ind w:left="426" w:hanging="426"/>
      </w:pPr>
    </w:p>
    <w:p w:rsidR="000647EB" w:rsidRDefault="000647EB" w:rsidP="00BF0D62">
      <w:pPr>
        <w:ind w:left="426" w:hanging="426"/>
      </w:pPr>
    </w:p>
    <w:p w:rsidR="000647EB" w:rsidRDefault="000647EB" w:rsidP="00BF0D62">
      <w:pPr>
        <w:ind w:left="426" w:hanging="426"/>
      </w:pPr>
    </w:p>
    <w:p w:rsidR="000647EB" w:rsidRDefault="000647EB" w:rsidP="00BF0D62">
      <w:pPr>
        <w:ind w:left="426" w:hanging="426"/>
      </w:pPr>
    </w:p>
    <w:p w:rsidR="00BE6877" w:rsidRDefault="00E96793" w:rsidP="00BF0D62">
      <w:pPr>
        <w:ind w:left="426" w:hanging="426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53100" cy="4067175"/>
            <wp:effectExtent l="0" t="0" r="0" b="9525"/>
            <wp:docPr id="1" name="Image 1" descr="Glyoxal_OH_DK_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yoxal_OH_DK_V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77" w:rsidRDefault="008527A5" w:rsidP="00580268">
      <w:r>
        <w:t>Figure 1: T-dependent rate constants for the reaction of glyoxal with OH in aqueous solution.</w:t>
      </w:r>
      <w:r w:rsidR="00580268">
        <w:t xml:space="preserve"> </w:t>
      </w:r>
      <w:r w:rsidR="00580268">
        <w:br/>
      </w:r>
      <w:r>
        <w:t xml:space="preserve">Data from </w:t>
      </w:r>
      <w:r w:rsidR="000647EB">
        <w:t>B</w:t>
      </w:r>
      <w:r>
        <w:t>uxton et al. (1997) and Schaefer et al. (2015).</w:t>
      </w:r>
    </w:p>
    <w:p w:rsidR="008527A5" w:rsidRDefault="008527A5" w:rsidP="00BF0D62">
      <w:pPr>
        <w:ind w:left="426" w:hanging="426"/>
      </w:pPr>
    </w:p>
    <w:p w:rsidR="008527A5" w:rsidRDefault="008527A5" w:rsidP="00BF0D62">
      <w:pPr>
        <w:ind w:left="426" w:hanging="426"/>
      </w:pPr>
    </w:p>
    <w:p w:rsidR="00BE6877" w:rsidRDefault="00BE6877" w:rsidP="00BF0D62">
      <w:pPr>
        <w:ind w:left="426" w:hanging="426"/>
        <w:rPr>
          <w:lang w:val="en-GB"/>
        </w:rPr>
      </w:pPr>
    </w:p>
    <w:sectPr w:rsidR="00BE6877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47655F"/>
    <w:multiLevelType w:val="hybridMultilevel"/>
    <w:tmpl w:val="4E56A1A4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897CA2"/>
    <w:multiLevelType w:val="hybridMultilevel"/>
    <w:tmpl w:val="E4BC9B6E"/>
    <w:lvl w:ilvl="0" w:tplc="0D30309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24" w:hanging="360"/>
      </w:pPr>
    </w:lvl>
    <w:lvl w:ilvl="2" w:tplc="1009001B" w:tentative="1">
      <w:start w:val="1"/>
      <w:numFmt w:val="lowerRoman"/>
      <w:lvlText w:val="%3."/>
      <w:lvlJc w:val="right"/>
      <w:pPr>
        <w:ind w:left="2144" w:hanging="180"/>
      </w:pPr>
    </w:lvl>
    <w:lvl w:ilvl="3" w:tplc="1009000F" w:tentative="1">
      <w:start w:val="1"/>
      <w:numFmt w:val="decimal"/>
      <w:lvlText w:val="%4."/>
      <w:lvlJc w:val="left"/>
      <w:pPr>
        <w:ind w:left="2864" w:hanging="360"/>
      </w:pPr>
    </w:lvl>
    <w:lvl w:ilvl="4" w:tplc="10090019" w:tentative="1">
      <w:start w:val="1"/>
      <w:numFmt w:val="lowerLetter"/>
      <w:lvlText w:val="%5."/>
      <w:lvlJc w:val="left"/>
      <w:pPr>
        <w:ind w:left="3584" w:hanging="360"/>
      </w:pPr>
    </w:lvl>
    <w:lvl w:ilvl="5" w:tplc="1009001B" w:tentative="1">
      <w:start w:val="1"/>
      <w:numFmt w:val="lowerRoman"/>
      <w:lvlText w:val="%6."/>
      <w:lvlJc w:val="right"/>
      <w:pPr>
        <w:ind w:left="4304" w:hanging="180"/>
      </w:pPr>
    </w:lvl>
    <w:lvl w:ilvl="6" w:tplc="1009000F" w:tentative="1">
      <w:start w:val="1"/>
      <w:numFmt w:val="decimal"/>
      <w:lvlText w:val="%7."/>
      <w:lvlJc w:val="left"/>
      <w:pPr>
        <w:ind w:left="5024" w:hanging="360"/>
      </w:pPr>
    </w:lvl>
    <w:lvl w:ilvl="7" w:tplc="10090019" w:tentative="1">
      <w:start w:val="1"/>
      <w:numFmt w:val="lowerLetter"/>
      <w:lvlText w:val="%8."/>
      <w:lvlJc w:val="left"/>
      <w:pPr>
        <w:ind w:left="5744" w:hanging="360"/>
      </w:pPr>
    </w:lvl>
    <w:lvl w:ilvl="8" w:tplc="100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A"/>
    <w:rsid w:val="00003186"/>
    <w:rsid w:val="0000681C"/>
    <w:rsid w:val="000100DA"/>
    <w:rsid w:val="000142D0"/>
    <w:rsid w:val="00022466"/>
    <w:rsid w:val="000226C3"/>
    <w:rsid w:val="0002644F"/>
    <w:rsid w:val="00032D98"/>
    <w:rsid w:val="00037BE6"/>
    <w:rsid w:val="00053BFF"/>
    <w:rsid w:val="000623D4"/>
    <w:rsid w:val="00063311"/>
    <w:rsid w:val="000647EB"/>
    <w:rsid w:val="00064D18"/>
    <w:rsid w:val="000702C3"/>
    <w:rsid w:val="00072742"/>
    <w:rsid w:val="00077A3A"/>
    <w:rsid w:val="00081DF2"/>
    <w:rsid w:val="000857CF"/>
    <w:rsid w:val="00090C16"/>
    <w:rsid w:val="000921DC"/>
    <w:rsid w:val="0009418D"/>
    <w:rsid w:val="000977C2"/>
    <w:rsid w:val="000A162B"/>
    <w:rsid w:val="000A2C8D"/>
    <w:rsid w:val="000A2FAF"/>
    <w:rsid w:val="000A50BC"/>
    <w:rsid w:val="000A71A1"/>
    <w:rsid w:val="000C3CAA"/>
    <w:rsid w:val="000C7F9F"/>
    <w:rsid w:val="000D37DF"/>
    <w:rsid w:val="000D65CF"/>
    <w:rsid w:val="000D78B2"/>
    <w:rsid w:val="000E03DB"/>
    <w:rsid w:val="000E3FE8"/>
    <w:rsid w:val="000F061A"/>
    <w:rsid w:val="000F62FD"/>
    <w:rsid w:val="00101645"/>
    <w:rsid w:val="00106A74"/>
    <w:rsid w:val="00110C8F"/>
    <w:rsid w:val="00112844"/>
    <w:rsid w:val="00120EED"/>
    <w:rsid w:val="00121AC9"/>
    <w:rsid w:val="001318D0"/>
    <w:rsid w:val="00133FEA"/>
    <w:rsid w:val="00145B82"/>
    <w:rsid w:val="00145C54"/>
    <w:rsid w:val="00153BFD"/>
    <w:rsid w:val="001574B6"/>
    <w:rsid w:val="00157A3A"/>
    <w:rsid w:val="001637C3"/>
    <w:rsid w:val="00171721"/>
    <w:rsid w:val="001777A6"/>
    <w:rsid w:val="0018490C"/>
    <w:rsid w:val="00192FCA"/>
    <w:rsid w:val="00195B6D"/>
    <w:rsid w:val="001977C2"/>
    <w:rsid w:val="001A1912"/>
    <w:rsid w:val="001A64FB"/>
    <w:rsid w:val="001B27BC"/>
    <w:rsid w:val="001B54E7"/>
    <w:rsid w:val="001D6CBA"/>
    <w:rsid w:val="001E1C70"/>
    <w:rsid w:val="001E4685"/>
    <w:rsid w:val="001F4EB5"/>
    <w:rsid w:val="0020061C"/>
    <w:rsid w:val="002103C5"/>
    <w:rsid w:val="00213E99"/>
    <w:rsid w:val="00215F21"/>
    <w:rsid w:val="00220181"/>
    <w:rsid w:val="00220DDF"/>
    <w:rsid w:val="0022452F"/>
    <w:rsid w:val="00236871"/>
    <w:rsid w:val="00263497"/>
    <w:rsid w:val="00266D30"/>
    <w:rsid w:val="0027171B"/>
    <w:rsid w:val="002837BB"/>
    <w:rsid w:val="002862D6"/>
    <w:rsid w:val="002952DE"/>
    <w:rsid w:val="002979B8"/>
    <w:rsid w:val="002A1F8D"/>
    <w:rsid w:val="002A4717"/>
    <w:rsid w:val="002B10B1"/>
    <w:rsid w:val="002B127C"/>
    <w:rsid w:val="002B23A6"/>
    <w:rsid w:val="002B6012"/>
    <w:rsid w:val="002C7E9C"/>
    <w:rsid w:val="002D191B"/>
    <w:rsid w:val="002D4554"/>
    <w:rsid w:val="002E2ABC"/>
    <w:rsid w:val="002F5457"/>
    <w:rsid w:val="002F79AD"/>
    <w:rsid w:val="0030119A"/>
    <w:rsid w:val="00303330"/>
    <w:rsid w:val="00304CDC"/>
    <w:rsid w:val="003255CB"/>
    <w:rsid w:val="003263B4"/>
    <w:rsid w:val="00333756"/>
    <w:rsid w:val="00336897"/>
    <w:rsid w:val="003515B2"/>
    <w:rsid w:val="00352F06"/>
    <w:rsid w:val="00355C17"/>
    <w:rsid w:val="003570CC"/>
    <w:rsid w:val="003610F8"/>
    <w:rsid w:val="0036323E"/>
    <w:rsid w:val="00390D27"/>
    <w:rsid w:val="003A2660"/>
    <w:rsid w:val="003A5A2D"/>
    <w:rsid w:val="003A71F8"/>
    <w:rsid w:val="003B37E9"/>
    <w:rsid w:val="003B72AC"/>
    <w:rsid w:val="003C342C"/>
    <w:rsid w:val="003D1543"/>
    <w:rsid w:val="003D2046"/>
    <w:rsid w:val="003F1CCB"/>
    <w:rsid w:val="003F5A8E"/>
    <w:rsid w:val="00402E8B"/>
    <w:rsid w:val="00405E8B"/>
    <w:rsid w:val="00410929"/>
    <w:rsid w:val="004117FE"/>
    <w:rsid w:val="004123DB"/>
    <w:rsid w:val="00420BAC"/>
    <w:rsid w:val="0042203A"/>
    <w:rsid w:val="0042295A"/>
    <w:rsid w:val="00422D77"/>
    <w:rsid w:val="00443E37"/>
    <w:rsid w:val="004450AB"/>
    <w:rsid w:val="00447557"/>
    <w:rsid w:val="00447665"/>
    <w:rsid w:val="004513F5"/>
    <w:rsid w:val="00455C2A"/>
    <w:rsid w:val="00484C52"/>
    <w:rsid w:val="0049468F"/>
    <w:rsid w:val="004A407F"/>
    <w:rsid w:val="004A7BA6"/>
    <w:rsid w:val="004C15C3"/>
    <w:rsid w:val="004C3213"/>
    <w:rsid w:val="004C4D3E"/>
    <w:rsid w:val="004C6446"/>
    <w:rsid w:val="004E019C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5086"/>
    <w:rsid w:val="00522E43"/>
    <w:rsid w:val="0052608B"/>
    <w:rsid w:val="005424C6"/>
    <w:rsid w:val="005578F8"/>
    <w:rsid w:val="00560013"/>
    <w:rsid w:val="00565A6E"/>
    <w:rsid w:val="0057662D"/>
    <w:rsid w:val="00580268"/>
    <w:rsid w:val="00587DC0"/>
    <w:rsid w:val="005949BC"/>
    <w:rsid w:val="005A08E2"/>
    <w:rsid w:val="005A22EA"/>
    <w:rsid w:val="005A3363"/>
    <w:rsid w:val="005A3C28"/>
    <w:rsid w:val="005B3754"/>
    <w:rsid w:val="005B54D1"/>
    <w:rsid w:val="005B6EB1"/>
    <w:rsid w:val="005C3B60"/>
    <w:rsid w:val="005C5E6F"/>
    <w:rsid w:val="005D181D"/>
    <w:rsid w:val="005D731B"/>
    <w:rsid w:val="005E518D"/>
    <w:rsid w:val="005F2272"/>
    <w:rsid w:val="0060072B"/>
    <w:rsid w:val="00613C73"/>
    <w:rsid w:val="00615583"/>
    <w:rsid w:val="00623552"/>
    <w:rsid w:val="00635634"/>
    <w:rsid w:val="00636A12"/>
    <w:rsid w:val="0063704E"/>
    <w:rsid w:val="00663250"/>
    <w:rsid w:val="00670889"/>
    <w:rsid w:val="00675054"/>
    <w:rsid w:val="00693384"/>
    <w:rsid w:val="006A1A56"/>
    <w:rsid w:val="006A6692"/>
    <w:rsid w:val="006B2DDA"/>
    <w:rsid w:val="006D2807"/>
    <w:rsid w:val="006D5DBD"/>
    <w:rsid w:val="006E1881"/>
    <w:rsid w:val="00701B76"/>
    <w:rsid w:val="00702C8F"/>
    <w:rsid w:val="00703732"/>
    <w:rsid w:val="007064B6"/>
    <w:rsid w:val="00710305"/>
    <w:rsid w:val="0071369E"/>
    <w:rsid w:val="00721569"/>
    <w:rsid w:val="00721AC4"/>
    <w:rsid w:val="007372D1"/>
    <w:rsid w:val="007440D3"/>
    <w:rsid w:val="007468AA"/>
    <w:rsid w:val="00751CEC"/>
    <w:rsid w:val="00762860"/>
    <w:rsid w:val="00776BA1"/>
    <w:rsid w:val="00777324"/>
    <w:rsid w:val="00784793"/>
    <w:rsid w:val="00790A52"/>
    <w:rsid w:val="00791126"/>
    <w:rsid w:val="0079362F"/>
    <w:rsid w:val="00795528"/>
    <w:rsid w:val="007A2D7C"/>
    <w:rsid w:val="007A3298"/>
    <w:rsid w:val="007B0E88"/>
    <w:rsid w:val="007C0F73"/>
    <w:rsid w:val="007C1E12"/>
    <w:rsid w:val="007E5705"/>
    <w:rsid w:val="007E57D2"/>
    <w:rsid w:val="007E7B8E"/>
    <w:rsid w:val="007F017D"/>
    <w:rsid w:val="007F2DF3"/>
    <w:rsid w:val="008061CF"/>
    <w:rsid w:val="00807E8F"/>
    <w:rsid w:val="00816FDF"/>
    <w:rsid w:val="00821651"/>
    <w:rsid w:val="0082456F"/>
    <w:rsid w:val="008344BF"/>
    <w:rsid w:val="0083653B"/>
    <w:rsid w:val="008527A5"/>
    <w:rsid w:val="00853D83"/>
    <w:rsid w:val="008549FA"/>
    <w:rsid w:val="00855918"/>
    <w:rsid w:val="008559B0"/>
    <w:rsid w:val="00860B72"/>
    <w:rsid w:val="0086602C"/>
    <w:rsid w:val="008727AD"/>
    <w:rsid w:val="0087331E"/>
    <w:rsid w:val="0088073C"/>
    <w:rsid w:val="00880F4E"/>
    <w:rsid w:val="00881D55"/>
    <w:rsid w:val="00884D99"/>
    <w:rsid w:val="00887539"/>
    <w:rsid w:val="008A4EE3"/>
    <w:rsid w:val="008A733A"/>
    <w:rsid w:val="008B09A9"/>
    <w:rsid w:val="008C3846"/>
    <w:rsid w:val="008C4819"/>
    <w:rsid w:val="008D16B0"/>
    <w:rsid w:val="008D271F"/>
    <w:rsid w:val="008F0755"/>
    <w:rsid w:val="008F63FC"/>
    <w:rsid w:val="009027B1"/>
    <w:rsid w:val="009044BD"/>
    <w:rsid w:val="00913834"/>
    <w:rsid w:val="00923C28"/>
    <w:rsid w:val="00931B9D"/>
    <w:rsid w:val="00934A6A"/>
    <w:rsid w:val="00942081"/>
    <w:rsid w:val="00943635"/>
    <w:rsid w:val="0094494F"/>
    <w:rsid w:val="009475A7"/>
    <w:rsid w:val="00955D52"/>
    <w:rsid w:val="00962DA4"/>
    <w:rsid w:val="00976D47"/>
    <w:rsid w:val="00977BF1"/>
    <w:rsid w:val="0099441C"/>
    <w:rsid w:val="00994D88"/>
    <w:rsid w:val="009B21A3"/>
    <w:rsid w:val="009C18A2"/>
    <w:rsid w:val="009C30C0"/>
    <w:rsid w:val="009C37A2"/>
    <w:rsid w:val="009C4BE5"/>
    <w:rsid w:val="009C785D"/>
    <w:rsid w:val="009D2B8F"/>
    <w:rsid w:val="009D3390"/>
    <w:rsid w:val="009E2EEE"/>
    <w:rsid w:val="009F405B"/>
    <w:rsid w:val="00A005C1"/>
    <w:rsid w:val="00A11587"/>
    <w:rsid w:val="00A17123"/>
    <w:rsid w:val="00A23BD8"/>
    <w:rsid w:val="00A25342"/>
    <w:rsid w:val="00A35C85"/>
    <w:rsid w:val="00A36C41"/>
    <w:rsid w:val="00A47C2F"/>
    <w:rsid w:val="00A528B3"/>
    <w:rsid w:val="00A57E5E"/>
    <w:rsid w:val="00A625F9"/>
    <w:rsid w:val="00A727A4"/>
    <w:rsid w:val="00A74455"/>
    <w:rsid w:val="00A7500E"/>
    <w:rsid w:val="00A80284"/>
    <w:rsid w:val="00A840F2"/>
    <w:rsid w:val="00A90959"/>
    <w:rsid w:val="00AB0498"/>
    <w:rsid w:val="00AD0E6A"/>
    <w:rsid w:val="00AE3AB2"/>
    <w:rsid w:val="00AF2E74"/>
    <w:rsid w:val="00AF43D2"/>
    <w:rsid w:val="00AF52EF"/>
    <w:rsid w:val="00B01FBD"/>
    <w:rsid w:val="00B12B55"/>
    <w:rsid w:val="00B40939"/>
    <w:rsid w:val="00B52179"/>
    <w:rsid w:val="00B525A0"/>
    <w:rsid w:val="00B546CE"/>
    <w:rsid w:val="00B61525"/>
    <w:rsid w:val="00B73CCE"/>
    <w:rsid w:val="00B82AA4"/>
    <w:rsid w:val="00B84B46"/>
    <w:rsid w:val="00B95A51"/>
    <w:rsid w:val="00BA1397"/>
    <w:rsid w:val="00BA71C5"/>
    <w:rsid w:val="00BB3581"/>
    <w:rsid w:val="00BB7807"/>
    <w:rsid w:val="00BB7992"/>
    <w:rsid w:val="00BC167C"/>
    <w:rsid w:val="00BD22BD"/>
    <w:rsid w:val="00BD2606"/>
    <w:rsid w:val="00BE50FB"/>
    <w:rsid w:val="00BE6877"/>
    <w:rsid w:val="00BF0D62"/>
    <w:rsid w:val="00BF2B4D"/>
    <w:rsid w:val="00BF57A7"/>
    <w:rsid w:val="00C00643"/>
    <w:rsid w:val="00C013BC"/>
    <w:rsid w:val="00C10304"/>
    <w:rsid w:val="00C11A68"/>
    <w:rsid w:val="00C1536B"/>
    <w:rsid w:val="00C17A31"/>
    <w:rsid w:val="00C22890"/>
    <w:rsid w:val="00C25093"/>
    <w:rsid w:val="00C3122F"/>
    <w:rsid w:val="00C427FC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90E43"/>
    <w:rsid w:val="00C94795"/>
    <w:rsid w:val="00CB0B81"/>
    <w:rsid w:val="00CD1F98"/>
    <w:rsid w:val="00CD27A8"/>
    <w:rsid w:val="00CE2122"/>
    <w:rsid w:val="00CE24B0"/>
    <w:rsid w:val="00CE24C8"/>
    <w:rsid w:val="00D00454"/>
    <w:rsid w:val="00D04BFC"/>
    <w:rsid w:val="00D150C7"/>
    <w:rsid w:val="00D17C09"/>
    <w:rsid w:val="00D17F0E"/>
    <w:rsid w:val="00D2355F"/>
    <w:rsid w:val="00D25403"/>
    <w:rsid w:val="00D37F05"/>
    <w:rsid w:val="00D40DA9"/>
    <w:rsid w:val="00D455A8"/>
    <w:rsid w:val="00D4710E"/>
    <w:rsid w:val="00D530BA"/>
    <w:rsid w:val="00D54A80"/>
    <w:rsid w:val="00D557B7"/>
    <w:rsid w:val="00D57669"/>
    <w:rsid w:val="00D66BE8"/>
    <w:rsid w:val="00D67B0C"/>
    <w:rsid w:val="00D73025"/>
    <w:rsid w:val="00D76D1B"/>
    <w:rsid w:val="00D77C1D"/>
    <w:rsid w:val="00D93016"/>
    <w:rsid w:val="00DB6F16"/>
    <w:rsid w:val="00DD5CB6"/>
    <w:rsid w:val="00DF64B2"/>
    <w:rsid w:val="00DF6645"/>
    <w:rsid w:val="00E16CA4"/>
    <w:rsid w:val="00E204AF"/>
    <w:rsid w:val="00E22791"/>
    <w:rsid w:val="00E26FA1"/>
    <w:rsid w:val="00E40753"/>
    <w:rsid w:val="00E50B31"/>
    <w:rsid w:val="00E96793"/>
    <w:rsid w:val="00EA5DDB"/>
    <w:rsid w:val="00EB3018"/>
    <w:rsid w:val="00EC0F25"/>
    <w:rsid w:val="00EC528A"/>
    <w:rsid w:val="00EC61B0"/>
    <w:rsid w:val="00EC7398"/>
    <w:rsid w:val="00ED2B1A"/>
    <w:rsid w:val="00EE0A46"/>
    <w:rsid w:val="00EF005A"/>
    <w:rsid w:val="00EF080E"/>
    <w:rsid w:val="00EF196F"/>
    <w:rsid w:val="00F04DBF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51B21"/>
    <w:rsid w:val="00F55117"/>
    <w:rsid w:val="00F55583"/>
    <w:rsid w:val="00F62CD4"/>
    <w:rsid w:val="00F726F5"/>
    <w:rsid w:val="00F74858"/>
    <w:rsid w:val="00F8035C"/>
    <w:rsid w:val="00F90411"/>
    <w:rsid w:val="00F967B9"/>
    <w:rsid w:val="00FA0C8D"/>
    <w:rsid w:val="00FA1715"/>
    <w:rsid w:val="00FA2C31"/>
    <w:rsid w:val="00FA41C3"/>
    <w:rsid w:val="00FA5651"/>
    <w:rsid w:val="00FB53C1"/>
    <w:rsid w:val="00FB64DA"/>
    <w:rsid w:val="00FC2703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DC"/>
    <w:rPr>
      <w:rFonts w:ascii="Times" w:hAnsi="Times" w:cs="Times"/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Titre3">
    <w:name w:val="heading 3"/>
    <w:basedOn w:val="Normal"/>
    <w:next w:val="Normal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Policepardfaut">
    <w:name w:val="Default Paragraph Font"/>
    <w:semiHidden/>
    <w:rsid w:val="000921DC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921DC"/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TM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M1">
    <w:name w:val="toc 1"/>
    <w:basedOn w:val="Normal"/>
    <w:next w:val="Normal"/>
    <w:autoRedefine/>
    <w:semiHidden/>
    <w:rsid w:val="000921DC"/>
  </w:style>
  <w:style w:type="paragraph" w:styleId="TM8">
    <w:name w:val="toc 8"/>
    <w:basedOn w:val="Normal"/>
    <w:next w:val="Normal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semiHidden/>
    <w:rsid w:val="000921DC"/>
    <w:pPr>
      <w:ind w:right="6"/>
      <w:jc w:val="center"/>
    </w:pPr>
    <w:rPr>
      <w:sz w:val="20"/>
      <w:szCs w:val="20"/>
    </w:rPr>
  </w:style>
  <w:style w:type="paragraph" w:styleId="Textedebulles">
    <w:name w:val="Balloon Text"/>
    <w:basedOn w:val="Normal"/>
    <w:semiHidden/>
    <w:rsid w:val="00EF00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IUPACtopparagraph">
    <w:name w:val="IUPAC top paragraph"/>
    <w:basedOn w:val="Normal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Lienhypertexte">
    <w:name w:val="Hyperlink"/>
    <w:semiHidden/>
    <w:rsid w:val="000921DC"/>
    <w:rPr>
      <w:color w:val="0000FF"/>
      <w:u w:val="single"/>
    </w:rPr>
  </w:style>
  <w:style w:type="paragraph" w:styleId="Pieddepage">
    <w:name w:val="footer"/>
    <w:basedOn w:val="Normal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IUPACheadline">
    <w:name w:val="IUPAC head line"/>
    <w:next w:val="Normal"/>
    <w:autoRedefine/>
    <w:rsid w:val="000921DC"/>
    <w:pPr>
      <w:spacing w:after="60"/>
    </w:pPr>
    <w:rPr>
      <w:rFonts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Lienhypertextesuivivisit">
    <w:name w:val="FollowedHyperlink"/>
    <w:rsid w:val="00EF196F"/>
    <w:rPr>
      <w:color w:val="606420"/>
      <w:u w:val="single"/>
    </w:rPr>
  </w:style>
  <w:style w:type="table" w:styleId="Grilledutableau">
    <w:name w:val="Table Grid"/>
    <w:basedOn w:val="TableauNormal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lev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Normal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paragraph" w:styleId="Paragraphedeliste">
    <w:name w:val="List Paragraph"/>
    <w:basedOn w:val="Normal"/>
    <w:uiPriority w:val="34"/>
    <w:qFormat/>
    <w:rsid w:val="005D18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DC"/>
    <w:rPr>
      <w:rFonts w:ascii="Times" w:hAnsi="Times" w:cs="Times"/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Titre3">
    <w:name w:val="heading 3"/>
    <w:basedOn w:val="Normal"/>
    <w:next w:val="Normal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Policepardfaut">
    <w:name w:val="Default Paragraph Font"/>
    <w:semiHidden/>
    <w:rsid w:val="000921DC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921DC"/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TM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M1">
    <w:name w:val="toc 1"/>
    <w:basedOn w:val="Normal"/>
    <w:next w:val="Normal"/>
    <w:autoRedefine/>
    <w:semiHidden/>
    <w:rsid w:val="000921DC"/>
  </w:style>
  <w:style w:type="paragraph" w:styleId="TM8">
    <w:name w:val="toc 8"/>
    <w:basedOn w:val="Normal"/>
    <w:next w:val="Normal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semiHidden/>
    <w:rsid w:val="000921DC"/>
    <w:pPr>
      <w:ind w:right="6"/>
      <w:jc w:val="center"/>
    </w:pPr>
    <w:rPr>
      <w:sz w:val="20"/>
      <w:szCs w:val="20"/>
    </w:rPr>
  </w:style>
  <w:style w:type="paragraph" w:styleId="Textedebulles">
    <w:name w:val="Balloon Text"/>
    <w:basedOn w:val="Normal"/>
    <w:semiHidden/>
    <w:rsid w:val="00EF00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IUPACtopparagraph">
    <w:name w:val="IUPAC top paragraph"/>
    <w:basedOn w:val="Normal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Lienhypertexte">
    <w:name w:val="Hyperlink"/>
    <w:semiHidden/>
    <w:rsid w:val="000921DC"/>
    <w:rPr>
      <w:color w:val="0000FF"/>
      <w:u w:val="single"/>
    </w:rPr>
  </w:style>
  <w:style w:type="paragraph" w:styleId="Pieddepage">
    <w:name w:val="footer"/>
    <w:basedOn w:val="Normal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IUPACheadline">
    <w:name w:val="IUPAC head line"/>
    <w:next w:val="Normal"/>
    <w:autoRedefine/>
    <w:rsid w:val="000921DC"/>
    <w:pPr>
      <w:spacing w:after="60"/>
    </w:pPr>
    <w:rPr>
      <w:rFonts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Lienhypertextesuivivisit">
    <w:name w:val="FollowedHyperlink"/>
    <w:rsid w:val="00EF196F"/>
    <w:rPr>
      <w:color w:val="606420"/>
      <w:u w:val="single"/>
    </w:rPr>
  </w:style>
  <w:style w:type="table" w:styleId="Grilledutableau">
    <w:name w:val="Table Grid"/>
    <w:basedOn w:val="TableauNormal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lev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Normal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paragraph" w:styleId="Paragraphedeliste">
    <w:name w:val="List Paragraph"/>
    <w:basedOn w:val="Normal"/>
    <w:uiPriority w:val="34"/>
    <w:qFormat/>
    <w:rsid w:val="005D18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ook.nist.gov/cgi/cbook.cgi?ID=3352576&amp;Units=SI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ebbook.nist.gov/cgi/cbook.cgi?ID=3352576&amp;Units=SI" TargetMode="External"/><Relationship Id="rId12" Type="http://schemas.openxmlformats.org/officeDocument/2006/relationships/hyperlink" Target="http://webbook.nist.gov/cgi/cbook.cgi?ID=3352576&amp;Units=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/" TargetMode="External"/><Relationship Id="rId11" Type="http://schemas.openxmlformats.org/officeDocument/2006/relationships/hyperlink" Target="http://webbook.nist.gov/cgi/cbook.cgi?ID=3352576&amp;Units=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book.nist.gov/cgi/cbook.cgi?ID=3352576&amp;Units=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etics.nist.gov/solution/Detail?id=1968DRA/MARB: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HONO  + mineral oxide (dust) surfaces</vt:lpstr>
      <vt:lpstr>HONO  + mineral oxide (dust) surfaces</vt:lpstr>
      <vt:lpstr>HONO  + mineral oxide (dust) surfaces</vt:lpstr>
    </vt:vector>
  </TitlesOfParts>
  <Company>Paul Scherrer Institut</Company>
  <LinksUpToDate>false</LinksUpToDate>
  <CharactersWithSpaces>4078</CharactersWithSpaces>
  <SharedDoc>false</SharedDoc>
  <HLinks>
    <vt:vector size="42" baseType="variant">
      <vt:variant>
        <vt:i4>458823</vt:i4>
      </vt:variant>
      <vt:variant>
        <vt:i4>18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12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6422644</vt:i4>
      </vt:variant>
      <vt:variant>
        <vt:i4>9</vt:i4>
      </vt:variant>
      <vt:variant>
        <vt:i4>0</vt:i4>
      </vt:variant>
      <vt:variant>
        <vt:i4>5</vt:i4>
      </vt:variant>
      <vt:variant>
        <vt:lpwstr>http://kinetics.nist.gov/solution/Detail?id=1968DRA/MARB:1</vt:lpwstr>
      </vt:variant>
      <vt:variant>
        <vt:lpwstr/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creator>Markus Ammann</dc:creator>
  <cp:lastModifiedBy>Phuong Nguyen</cp:lastModifiedBy>
  <cp:revision>2</cp:revision>
  <dcterms:created xsi:type="dcterms:W3CDTF">2017-11-17T18:33:00Z</dcterms:created>
  <dcterms:modified xsi:type="dcterms:W3CDTF">2017-11-17T18:33:00Z</dcterms:modified>
</cp:coreProperties>
</file>