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EA0E70" w:rsidRDefault="00D25403" w:rsidP="00702C8F">
      <w:pPr>
        <w:pStyle w:val="IUPACheadline"/>
        <w:rPr>
          <w:lang w:val="en-US"/>
        </w:rPr>
      </w:pPr>
      <w:bookmarkStart w:id="0" w:name="_GoBack"/>
      <w:bookmarkEnd w:id="0"/>
      <w:r w:rsidRPr="00EA0E70">
        <w:rPr>
          <w:lang w:val="en-US"/>
        </w:rPr>
        <w:t xml:space="preserve">IUPAC </w:t>
      </w:r>
      <w:r w:rsidR="001A1912" w:rsidRPr="00EA0E70">
        <w:rPr>
          <w:bCs/>
          <w:lang w:val="en-US"/>
        </w:rPr>
        <w:t>Task Group on Atmospheric Chemical Kinetic Data Evaluation</w:t>
      </w:r>
    </w:p>
    <w:p w:rsidR="00D25403" w:rsidRPr="00EA0E70" w:rsidRDefault="001A1912" w:rsidP="00702C8F">
      <w:pPr>
        <w:pStyle w:val="IUPACheadline"/>
        <w:rPr>
          <w:lang w:val="en-US"/>
        </w:rPr>
      </w:pPr>
      <w:r w:rsidRPr="00EA0E70">
        <w:rPr>
          <w:lang w:val="en-US"/>
        </w:rPr>
        <w:t xml:space="preserve"> </w:t>
      </w:r>
      <w:r w:rsidR="00D25403" w:rsidRPr="00EA0E70">
        <w:rPr>
          <w:lang w:val="en-US"/>
        </w:rPr>
        <w:t xml:space="preserve">– Data Sheet </w:t>
      </w:r>
      <w:r w:rsidR="004C3B4E">
        <w:rPr>
          <w:lang w:val="en-US"/>
        </w:rPr>
        <w:t>AQ_OH_9</w:t>
      </w:r>
    </w:p>
    <w:p w:rsidR="00AE5F37" w:rsidRPr="007F4C67" w:rsidRDefault="00AE5F37" w:rsidP="00AE5F3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Pr="007F4C67">
        <w:t xml:space="preserve">The citation for this datasheet is: IUPAC Task Group on Atmospheric Chemical Kinetic Data Evaluation, </w:t>
      </w:r>
      <w:hyperlink r:id="rId5" w:history="1">
        <w:r w:rsidRPr="007F4C67">
          <w:rPr>
            <w:rStyle w:val="Hyperlink"/>
          </w:rPr>
          <w:t>http://iupac.pole-ethe</w:t>
        </w:r>
        <w:r w:rsidRPr="007F4C67">
          <w:rPr>
            <w:rStyle w:val="Hyperlink"/>
          </w:rPr>
          <w:t>r</w:t>
        </w:r>
        <w:r w:rsidRPr="007F4C67">
          <w:rPr>
            <w:rStyle w:val="Hyperlink"/>
          </w:rPr>
          <w:t>.fr</w:t>
        </w:r>
      </w:hyperlink>
      <w:r w:rsidRPr="007F4C67">
        <w:t>.</w:t>
      </w:r>
    </w:p>
    <w:p w:rsidR="0054677D" w:rsidRPr="00B8130E" w:rsidRDefault="0054677D" w:rsidP="0054677D">
      <w:pPr>
        <w:pStyle w:val="IUPACtopparagraph"/>
      </w:pPr>
      <w:r w:rsidRPr="00B8130E">
        <w:t xml:space="preserve">This datasheet last evaluated: </w:t>
      </w:r>
      <w:r w:rsidR="00080692">
        <w:t>June</w:t>
      </w:r>
      <w:r w:rsidR="00ED4558">
        <w:t xml:space="preserve"> 2019</w:t>
      </w:r>
      <w:r w:rsidRPr="00B8130E">
        <w:t xml:space="preserve">; last change in preferred values: </w:t>
      </w:r>
      <w:r w:rsidR="00ED4558">
        <w:t>March 2019</w:t>
      </w:r>
    </w:p>
    <w:p w:rsidR="00F726F5" w:rsidRPr="00EA0E70" w:rsidRDefault="000872AC" w:rsidP="009A6613">
      <w:pPr>
        <w:pStyle w:val="IUPACTitlereaction"/>
        <w:rPr>
          <w:lang w:val="en-US"/>
        </w:rPr>
      </w:pPr>
      <w:r>
        <w:rPr>
          <w:lang w:val="en-US"/>
        </w:rPr>
        <w:t xml:space="preserve">HO </w:t>
      </w:r>
      <w:r w:rsidR="00F726F5" w:rsidRPr="00EA0E70">
        <w:rPr>
          <w:lang w:val="en-US"/>
        </w:rPr>
        <w:t>(</w:t>
      </w:r>
      <w:proofErr w:type="spellStart"/>
      <w:r w:rsidR="00F726F5" w:rsidRPr="00EA0E70">
        <w:rPr>
          <w:lang w:val="en-US"/>
        </w:rPr>
        <w:t>aq</w:t>
      </w:r>
      <w:proofErr w:type="spellEnd"/>
      <w:r w:rsidR="00F726F5" w:rsidRPr="00EA0E70">
        <w:rPr>
          <w:lang w:val="en-US"/>
        </w:rPr>
        <w:t xml:space="preserve">) + </w:t>
      </w:r>
      <w:r w:rsidR="00443315" w:rsidRPr="00EA0E70">
        <w:rPr>
          <w:lang w:val="en-US"/>
        </w:rPr>
        <w:t>CH</w:t>
      </w:r>
      <w:r w:rsidR="00443315" w:rsidRPr="00AE5F37">
        <w:rPr>
          <w:vertAlign w:val="subscript"/>
          <w:lang w:val="en-US"/>
        </w:rPr>
        <w:t>3</w:t>
      </w:r>
      <w:r w:rsidR="00443315" w:rsidRPr="00EA0E70">
        <w:rPr>
          <w:lang w:val="en-US"/>
        </w:rPr>
        <w:t>(CH</w:t>
      </w:r>
      <w:r w:rsidR="00443315" w:rsidRPr="00AE5F37">
        <w:rPr>
          <w:vertAlign w:val="subscript"/>
          <w:lang w:val="en-US"/>
        </w:rPr>
        <w:t>2</w:t>
      </w:r>
      <w:r w:rsidR="00443315" w:rsidRPr="00EA0E70">
        <w:rPr>
          <w:lang w:val="en-US"/>
        </w:rPr>
        <w:t>)</w:t>
      </w:r>
      <w:r w:rsidR="00443315" w:rsidRPr="00AE5F37">
        <w:rPr>
          <w:vertAlign w:val="subscript"/>
          <w:lang w:val="en-US"/>
        </w:rPr>
        <w:t>4</w:t>
      </w:r>
      <w:r w:rsidR="00443315" w:rsidRPr="00EA0E70">
        <w:rPr>
          <w:lang w:val="en-US"/>
        </w:rPr>
        <w:t>OH</w:t>
      </w:r>
      <w:r w:rsidR="00FB16C3" w:rsidRPr="00EA0E70">
        <w:rPr>
          <w:lang w:val="en-US"/>
        </w:rPr>
        <w:t xml:space="preserve"> </w:t>
      </w:r>
      <w:r w:rsidR="00F726F5" w:rsidRPr="00EA0E70">
        <w:rPr>
          <w:lang w:val="en-US"/>
        </w:rPr>
        <w:t>(</w:t>
      </w:r>
      <w:proofErr w:type="spellStart"/>
      <w:r w:rsidR="00F726F5" w:rsidRPr="00EA0E70">
        <w:rPr>
          <w:lang w:val="en-US"/>
        </w:rPr>
        <w:t>aq</w:t>
      </w:r>
      <w:proofErr w:type="spellEnd"/>
      <w:r w:rsidR="00F726F5" w:rsidRPr="00EA0E70">
        <w:rPr>
          <w:lang w:val="en-US"/>
        </w:rPr>
        <w:t xml:space="preserve">) </w:t>
      </w:r>
      <w:r w:rsidR="00F726F5" w:rsidRPr="00EA0E70">
        <w:rPr>
          <w:lang w:val="en-US"/>
        </w:rPr>
        <w:sym w:font="Symbol" w:char="F0AE"/>
      </w:r>
      <w:r w:rsidR="00F726F5" w:rsidRPr="00EA0E70">
        <w:rPr>
          <w:lang w:val="en-US"/>
        </w:rPr>
        <w:t xml:space="preserve"> </w:t>
      </w:r>
      <w:r w:rsidR="00443315" w:rsidRPr="00EA0E70">
        <w:rPr>
          <w:lang w:val="en-US"/>
        </w:rPr>
        <w:t>products</w:t>
      </w:r>
    </w:p>
    <w:p w:rsidR="00F726F5" w:rsidRPr="0054677D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</w:rPr>
      </w:pPr>
    </w:p>
    <w:p w:rsidR="00F726F5" w:rsidRPr="00EA0E70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EA0E70">
        <w:rPr>
          <w:b/>
          <w:spacing w:val="-3"/>
          <w:lang w:val="en-US"/>
        </w:rPr>
        <w:t>Rate coefficient data</w:t>
      </w:r>
    </w:p>
    <w:p w:rsidR="00C648E1" w:rsidRPr="00EA0E70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59"/>
        <w:gridCol w:w="1667"/>
        <w:gridCol w:w="15"/>
      </w:tblGrid>
      <w:tr w:rsidR="00C648E1" w:rsidRPr="00802843" w:rsidTr="00617392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8028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02843">
              <w:rPr>
                <w:rFonts w:ascii="Times New Roman" w:hAnsi="Times New Roman" w:cs="Times New Roman"/>
                <w:spacing w:val="-2"/>
                <w:lang w:val="en-US"/>
              </w:rPr>
              <w:t>k/ l mol</w:t>
            </w:r>
            <w:r w:rsidRPr="008028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802843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8028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8028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02843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802843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8028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802843">
              <w:rPr>
                <w:spacing w:val="-3"/>
                <w:lang w:val="en-US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8028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802843">
              <w:rPr>
                <w:spacing w:val="-3"/>
                <w:lang w:val="en-US"/>
              </w:rPr>
              <w:t>I</w:t>
            </w:r>
            <w:r w:rsidRPr="008028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070D0B" w:rsidRPr="00802843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070D0B" w:rsidRPr="008028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57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802843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  <w:lang w:val="en-US"/>
              </w:rPr>
            </w:pPr>
            <w:r w:rsidRPr="00802843">
              <w:rPr>
                <w:b w:val="0"/>
                <w:i w:val="0"/>
                <w:szCs w:val="24"/>
                <w:lang w:val="en-US"/>
              </w:rPr>
              <w:t>Reference</w:t>
            </w:r>
          </w:p>
        </w:tc>
        <w:tc>
          <w:tcPr>
            <w:tcW w:w="1682" w:type="dxa"/>
            <w:gridSpan w:val="2"/>
            <w:tcBorders>
              <w:left w:val="nil"/>
            </w:tcBorders>
            <w:vAlign w:val="center"/>
          </w:tcPr>
          <w:p w:rsidR="00C648E1" w:rsidRPr="008028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802843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16481F" w:rsidRPr="00EA0E70" w:rsidTr="0006050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16481F" w:rsidRPr="00EA0E70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 w:rsidRPr="00EA0E70"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16481F" w:rsidRPr="00EA0E70" w:rsidTr="0008069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6481F" w:rsidRPr="00617392" w:rsidRDefault="00ED4558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4</w:t>
            </w:r>
            <w:r w:rsidR="00575F98">
              <w:rPr>
                <w:spacing w:val="-2"/>
                <w:lang w:val="en-US"/>
              </w:rPr>
              <w:t xml:space="preserve">.8 </w:t>
            </w:r>
            <w:r w:rsidR="00575F98" w:rsidRPr="00617392">
              <w:rPr>
                <w:spacing w:val="-3"/>
                <w:lang w:val="en-US"/>
              </w:rPr>
              <w:sym w:font="Symbol" w:char="F0B4"/>
            </w:r>
            <w:r w:rsidR="00575F98" w:rsidRPr="00617392">
              <w:rPr>
                <w:spacing w:val="-2"/>
                <w:lang w:val="en-US"/>
              </w:rPr>
              <w:t xml:space="preserve"> 10</w:t>
            </w:r>
            <w:r w:rsidR="00575F98"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81F" w:rsidRPr="00617392" w:rsidRDefault="00ED4558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81F" w:rsidRPr="00617392" w:rsidRDefault="00575F98" w:rsidP="0016481F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81F" w:rsidRPr="00617392" w:rsidRDefault="00731A69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481F" w:rsidRPr="00617392" w:rsidRDefault="00575F98" w:rsidP="00984A3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Anbar et al., 1966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75F98" w:rsidRPr="00617392" w:rsidRDefault="00575F98" w:rsidP="00984A3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786A61">
              <w:rPr>
                <w:spacing w:val="-2"/>
                <w:lang w:val="en-US"/>
              </w:rPr>
              <w:t>CW-radiolysis /UV-vis</w:t>
            </w:r>
            <w:r w:rsidR="00984A37">
              <w:rPr>
                <w:spacing w:val="-2"/>
                <w:lang w:val="en-US"/>
              </w:rPr>
              <w:t xml:space="preserve"> </w:t>
            </w:r>
            <w:r>
              <w:rPr>
                <w:spacing w:val="-2"/>
                <w:lang w:val="en-US"/>
              </w:rPr>
              <w:t>(</w:t>
            </w:r>
            <w:r w:rsidR="00A4614A">
              <w:rPr>
                <w:spacing w:val="-2"/>
                <w:lang w:val="en-US"/>
              </w:rPr>
              <w:t>a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06050D" w:rsidRPr="00EA0E70" w:rsidTr="0008069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6050D" w:rsidRPr="00617392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5.1</w:t>
            </w:r>
            <w:r w:rsidRPr="00617392">
              <w:rPr>
                <w:spacing w:val="-2"/>
                <w:lang w:val="en-US"/>
              </w:rPr>
              <w:t xml:space="preserve"> </w:t>
            </w:r>
            <w:r w:rsidRPr="00617392">
              <w:rPr>
                <w:spacing w:val="-3"/>
                <w:lang w:val="en-US"/>
              </w:rPr>
              <w:sym w:font="Symbol" w:char="F0B4"/>
            </w:r>
            <w:r w:rsidRPr="00617392">
              <w:rPr>
                <w:spacing w:val="-2"/>
                <w:lang w:val="en-US"/>
              </w:rPr>
              <w:t xml:space="preserve"> 10</w:t>
            </w:r>
            <w:r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617392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617392" w:rsidRDefault="0006050D" w:rsidP="000872AC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617392">
              <w:rPr>
                <w:spacing w:val="-2"/>
                <w:lang w:val="en-US"/>
              </w:rPr>
              <w:t>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617392" w:rsidRDefault="0006050D" w:rsidP="00A4614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617392" w:rsidRDefault="0006050D" w:rsidP="00C5198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617392">
              <w:rPr>
                <w:spacing w:val="-2"/>
                <w:lang w:val="en-US"/>
              </w:rPr>
              <w:t xml:space="preserve">Scholes </w:t>
            </w:r>
            <w:r>
              <w:rPr>
                <w:spacing w:val="-2"/>
                <w:lang w:val="en-US"/>
              </w:rPr>
              <w:t xml:space="preserve">and </w:t>
            </w:r>
            <w:proofErr w:type="spellStart"/>
            <w:r>
              <w:rPr>
                <w:spacing w:val="-2"/>
                <w:lang w:val="en-US"/>
              </w:rPr>
              <w:t>Willson</w:t>
            </w:r>
            <w:proofErr w:type="spellEnd"/>
            <w:r w:rsidRPr="00617392">
              <w:rPr>
                <w:spacing w:val="-2"/>
                <w:lang w:val="en-US"/>
              </w:rPr>
              <w:t>, 1967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06050D" w:rsidRPr="00617392" w:rsidRDefault="0006050D" w:rsidP="005D3415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786A61">
              <w:rPr>
                <w:spacing w:val="-2"/>
                <w:lang w:val="en-US"/>
              </w:rPr>
              <w:t>CW-radiolysis /UV-vis</w:t>
            </w:r>
            <w:r>
              <w:rPr>
                <w:spacing w:val="-2"/>
                <w:lang w:val="en-US"/>
              </w:rPr>
              <w:t xml:space="preserve"> (b)</w:t>
            </w:r>
          </w:p>
        </w:tc>
      </w:tr>
      <w:tr w:rsidR="0006050D" w:rsidRPr="00EA0E70" w:rsidTr="0008069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6050D" w:rsidRPr="00617392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</w:t>
            </w:r>
            <w:r w:rsidR="00DB5F35">
              <w:rPr>
                <w:spacing w:val="-2"/>
                <w:lang w:val="en-US"/>
              </w:rPr>
              <w:t>5</w:t>
            </w:r>
            <w:r w:rsidRPr="00617392">
              <w:rPr>
                <w:spacing w:val="-2"/>
                <w:lang w:val="en-US"/>
              </w:rPr>
              <w:t xml:space="preserve"> </w:t>
            </w:r>
            <w:r w:rsidRPr="00617392">
              <w:rPr>
                <w:spacing w:val="-3"/>
                <w:lang w:val="en-US"/>
              </w:rPr>
              <w:sym w:font="Symbol" w:char="F0B4"/>
            </w:r>
            <w:r w:rsidRPr="00617392">
              <w:rPr>
                <w:spacing w:val="-2"/>
                <w:lang w:val="en-US"/>
              </w:rPr>
              <w:t xml:space="preserve"> 10</w:t>
            </w:r>
            <w:r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617392" w:rsidRDefault="0006050D" w:rsidP="00A4614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Default="0006050D" w:rsidP="00A4614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617392" w:rsidRDefault="0006050D" w:rsidP="00C5198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06050D" w:rsidRPr="00786A61" w:rsidRDefault="0006050D" w:rsidP="00984A3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06050D" w:rsidRPr="00EA0E70" w:rsidTr="0008069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6050D" w:rsidRPr="0030607B" w:rsidRDefault="00084B01" w:rsidP="0080284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3.9</w:t>
            </w:r>
            <w:r w:rsidR="0006050D">
              <w:rPr>
                <w:spacing w:val="-2"/>
                <w:lang w:val="en-CA"/>
              </w:rPr>
              <w:t xml:space="preserve"> </w:t>
            </w:r>
            <w:r w:rsidR="0006050D" w:rsidRPr="00617392">
              <w:rPr>
                <w:spacing w:val="-3"/>
                <w:lang w:val="en-US"/>
              </w:rPr>
              <w:sym w:font="Symbol" w:char="F0B4"/>
            </w:r>
            <w:r w:rsidR="0006050D" w:rsidRPr="00617392">
              <w:rPr>
                <w:spacing w:val="-2"/>
                <w:lang w:val="en-US"/>
              </w:rPr>
              <w:t xml:space="preserve"> 10</w:t>
            </w:r>
            <w:r w:rsidR="0006050D"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0607B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0607B" w:rsidRDefault="0006050D" w:rsidP="00A4614A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0607B" w:rsidRDefault="0006050D" w:rsidP="00A4614A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B668E" w:rsidRDefault="0006050D" w:rsidP="0006050D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Reuvers</w:t>
            </w:r>
            <w:proofErr w:type="spellEnd"/>
            <w:r>
              <w:rPr>
                <w:spacing w:val="-2"/>
                <w:lang w:val="en-CA"/>
              </w:rPr>
              <w:t xml:space="preserve"> et al., 1973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06050D" w:rsidRPr="003B668E" w:rsidRDefault="0006050D" w:rsidP="00A4614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 xml:space="preserve">PR/UV-vis </w:t>
            </w:r>
            <w:r w:rsidRPr="003B668E">
              <w:rPr>
                <w:spacing w:val="-2"/>
              </w:rPr>
              <w:t>(</w:t>
            </w:r>
            <w:r w:rsidRPr="00D10042">
              <w:rPr>
                <w:spacing w:val="-2"/>
              </w:rPr>
              <w:t>c1</w:t>
            </w:r>
            <w:r w:rsidRPr="003B668E">
              <w:rPr>
                <w:spacing w:val="-2"/>
              </w:rPr>
              <w:t>)</w:t>
            </w:r>
          </w:p>
        </w:tc>
      </w:tr>
      <w:tr w:rsidR="0006050D" w:rsidRPr="00EA0E70" w:rsidTr="0008069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6050D" w:rsidRPr="0030607B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 xml:space="preserve">3.7 </w:t>
            </w:r>
            <w:r w:rsidRPr="00617392">
              <w:rPr>
                <w:spacing w:val="-3"/>
                <w:lang w:val="en-US"/>
              </w:rPr>
              <w:sym w:font="Symbol" w:char="F0B4"/>
            </w:r>
            <w:r w:rsidRPr="00617392">
              <w:rPr>
                <w:spacing w:val="-2"/>
                <w:lang w:val="en-US"/>
              </w:rPr>
              <w:t xml:space="preserve"> 10</w:t>
            </w:r>
            <w:r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0607B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0607B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0607B" w:rsidRDefault="0006050D" w:rsidP="00802843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0D" w:rsidRPr="003B668E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06050D" w:rsidRPr="003B668E" w:rsidRDefault="0006050D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 xml:space="preserve">PR/UV-vis </w:t>
            </w:r>
            <w:r w:rsidRPr="003B668E">
              <w:rPr>
                <w:spacing w:val="-2"/>
              </w:rPr>
              <w:t>(</w:t>
            </w:r>
            <w:r w:rsidRPr="00D10042">
              <w:rPr>
                <w:spacing w:val="-2"/>
              </w:rPr>
              <w:t>c2</w:t>
            </w:r>
            <w:r w:rsidRPr="003B668E">
              <w:rPr>
                <w:spacing w:val="-2"/>
              </w:rPr>
              <w:t>)</w:t>
            </w:r>
          </w:p>
        </w:tc>
      </w:tr>
      <w:tr w:rsidR="00A4614A" w:rsidRPr="00EA0E70" w:rsidTr="0008069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right w:val="nil"/>
            </w:tcBorders>
            <w:vAlign w:val="center"/>
          </w:tcPr>
          <w:p w:rsidR="00A4614A" w:rsidRPr="00617392" w:rsidRDefault="00A4614A" w:rsidP="0080284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(5.</w:t>
            </w:r>
            <w:r w:rsidR="0006050D">
              <w:rPr>
                <w:spacing w:val="-2"/>
                <w:lang w:val="en-US"/>
              </w:rPr>
              <w:t xml:space="preserve">1 </w:t>
            </w:r>
            <w:r>
              <w:rPr>
                <w:spacing w:val="-2"/>
                <w:lang w:val="en-US"/>
              </w:rPr>
              <w:t xml:space="preserve">±0.2) </w:t>
            </w:r>
            <w:r w:rsidRPr="00617392">
              <w:rPr>
                <w:spacing w:val="-3"/>
                <w:lang w:val="en-US"/>
              </w:rPr>
              <w:sym w:font="Symbol" w:char="F0B4"/>
            </w:r>
            <w:r w:rsidRPr="00617392">
              <w:rPr>
                <w:spacing w:val="-2"/>
                <w:lang w:val="en-US"/>
              </w:rPr>
              <w:t xml:space="preserve"> 10</w:t>
            </w:r>
            <w:r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  <w:vAlign w:val="center"/>
          </w:tcPr>
          <w:p w:rsidR="00A4614A" w:rsidRPr="00617392" w:rsidRDefault="00753C67" w:rsidP="00802843">
            <w:pPr>
              <w:tabs>
                <w:tab w:val="left" w:pos="510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A4614A" w:rsidRPr="00617392" w:rsidRDefault="00731A69" w:rsidP="00A4614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614A" w:rsidRPr="00617392" w:rsidRDefault="00731A69" w:rsidP="00A4614A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A4614A" w:rsidRPr="00575F98" w:rsidRDefault="00A4614A" w:rsidP="00984A3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proofErr w:type="spellStart"/>
            <w:r w:rsidRPr="00575F98">
              <w:rPr>
                <w:spacing w:val="-2"/>
                <w:lang w:val="en-US"/>
              </w:rPr>
              <w:t>Stemmler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 w:rsidR="00881368">
              <w:rPr>
                <w:spacing w:val="-2"/>
                <w:lang w:val="en-US"/>
              </w:rPr>
              <w:t>and</w:t>
            </w:r>
            <w:r w:rsidRPr="00575F98">
              <w:rPr>
                <w:spacing w:val="-2"/>
                <w:lang w:val="en-US"/>
              </w:rPr>
              <w:t xml:space="preserve"> </w:t>
            </w:r>
            <w:r w:rsidR="00724046">
              <w:rPr>
                <w:spacing w:val="-2"/>
                <w:lang w:val="en-US"/>
              </w:rPr>
              <w:t xml:space="preserve">von </w:t>
            </w:r>
            <w:proofErr w:type="spellStart"/>
            <w:r w:rsidRPr="00575F98">
              <w:rPr>
                <w:spacing w:val="-2"/>
                <w:lang w:val="en-US"/>
              </w:rPr>
              <w:t>Gunten</w:t>
            </w:r>
            <w:proofErr w:type="spellEnd"/>
            <w:r w:rsidRPr="00575F98">
              <w:rPr>
                <w:spacing w:val="-2"/>
                <w:lang w:val="en-US"/>
              </w:rPr>
              <w:t>, 2000</w:t>
            </w:r>
          </w:p>
        </w:tc>
        <w:tc>
          <w:tcPr>
            <w:tcW w:w="1667" w:type="dxa"/>
            <w:tcBorders>
              <w:top w:val="nil"/>
              <w:left w:val="nil"/>
            </w:tcBorders>
            <w:vAlign w:val="center"/>
          </w:tcPr>
          <w:p w:rsidR="00A4614A" w:rsidRPr="00617392" w:rsidRDefault="00A4614A" w:rsidP="0006050D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786A61">
              <w:rPr>
                <w:spacing w:val="-2"/>
                <w:lang w:val="en-US"/>
              </w:rPr>
              <w:t>CW-radiolysis /</w:t>
            </w:r>
            <w:r>
              <w:rPr>
                <w:spacing w:val="-2"/>
                <w:lang w:val="en-US"/>
              </w:rPr>
              <w:t>GC-FID</w:t>
            </w:r>
            <w:r w:rsidR="00984A37">
              <w:rPr>
                <w:spacing w:val="-2"/>
                <w:lang w:val="en-US"/>
              </w:rPr>
              <w:t xml:space="preserve"> </w:t>
            </w:r>
            <w:r w:rsidR="008F273E">
              <w:rPr>
                <w:spacing w:val="-2"/>
                <w:lang w:val="en-US"/>
              </w:rPr>
              <w:t>(</w:t>
            </w:r>
            <w:r w:rsidR="0006050D">
              <w:rPr>
                <w:spacing w:val="-2"/>
                <w:lang w:val="en-US"/>
              </w:rPr>
              <w:t>d</w:t>
            </w:r>
            <w:r>
              <w:rPr>
                <w:spacing w:val="-2"/>
                <w:lang w:val="en-US"/>
              </w:rPr>
              <w:t>)</w:t>
            </w:r>
          </w:p>
        </w:tc>
      </w:tr>
    </w:tbl>
    <w:p w:rsidR="003D1543" w:rsidRDefault="003D1543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B7778C" w:rsidRDefault="00B7778C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B7778C" w:rsidRPr="00B8130E" w:rsidRDefault="00B7778C" w:rsidP="00B7778C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AB48BD">
        <w:rPr>
          <w:rFonts w:ascii="Symbol" w:eastAsia="Symbol" w:hAnsi="Symbol" w:cs="Symbol"/>
          <w:spacing w:val="-3"/>
        </w:rPr>
        <w:t></w:t>
      </w:r>
      <w:r w:rsidRPr="00AB48BD">
        <w:rPr>
          <w:rFonts w:eastAsia="Symbol"/>
          <w:i/>
          <w:spacing w:val="-3"/>
        </w:rPr>
        <w:t>G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iCs/>
          <w:spacing w:val="-3"/>
        </w:rPr>
        <w:t xml:space="preserve"> (</w:t>
      </w:r>
      <w:proofErr w:type="spellStart"/>
      <w:r w:rsidRPr="00AB48BD">
        <w:rPr>
          <w:rFonts w:eastAsia="Symbol" w:cs="Symbol"/>
          <w:iCs/>
          <w:spacing w:val="-3"/>
        </w:rPr>
        <w:t>aq</w:t>
      </w:r>
      <w:proofErr w:type="spellEnd"/>
      <w:r w:rsidRPr="00AB48BD">
        <w:rPr>
          <w:rFonts w:eastAsia="Symbol" w:cs="Symbol"/>
          <w:iCs/>
          <w:spacing w:val="-3"/>
        </w:rPr>
        <w:t>)</w:t>
      </w:r>
      <w:r w:rsidRPr="00AB48BD">
        <w:rPr>
          <w:rFonts w:eastAsia="Symbol" w:cs="Symbol"/>
        </w:rPr>
        <w:t>: Aqueous phase th</w:t>
      </w:r>
      <w:r>
        <w:rPr>
          <w:rFonts w:eastAsia="Symbol" w:cs="Symbol"/>
        </w:rPr>
        <w:t xml:space="preserve">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AB48BD">
        <w:rPr>
          <w:rFonts w:eastAsia="Symbol"/>
          <w:i/>
          <w:spacing w:val="-3"/>
          <w:vertAlign w:val="subscript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AB48BD">
        <w:rPr>
          <w:rFonts w:eastAsia="Symbol" w:cs="Symbol"/>
          <w:spacing w:val="-3"/>
        </w:rPr>
        <w:t xml:space="preserve"> (g)</w:t>
      </w:r>
      <w:r>
        <w:rPr>
          <w:rFonts w:eastAsia="Symbol" w:cs="Symbol"/>
          <w:spacing w:val="-3"/>
        </w:rPr>
        <w:t xml:space="preserve"> are not available.</w:t>
      </w:r>
    </w:p>
    <w:p w:rsidR="00B7778C" w:rsidRPr="00EA0E70" w:rsidRDefault="00B7778C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US"/>
        </w:rPr>
      </w:pPr>
      <w:r w:rsidRPr="00EA0E70">
        <w:rPr>
          <w:b/>
          <w:spacing w:val="-3"/>
          <w:lang w:val="en-US"/>
        </w:rPr>
        <w:t>Comments</w:t>
      </w:r>
    </w:p>
    <w:p w:rsidR="002C4669" w:rsidRPr="002C4669" w:rsidRDefault="002C4669" w:rsidP="00A4614A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71171C" w:rsidRPr="0071171C" w:rsidRDefault="0071171C" w:rsidP="0071171C">
      <w:pPr>
        <w:numPr>
          <w:ilvl w:val="0"/>
          <w:numId w:val="7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  <w:r w:rsidRPr="0030607B">
        <w:rPr>
          <w:spacing w:val="-2"/>
          <w:lang w:val="en-CA"/>
        </w:rPr>
        <w:t xml:space="preserve">Reference reaction: </w:t>
      </w:r>
      <w:hyperlink r:id="rId6" w:tgtFrame="_blank" w:history="1">
        <w:r w:rsidR="00B87E18">
          <w:rPr>
            <w:rStyle w:val="Hyperlink"/>
            <w:color w:val="auto"/>
            <w:u w:val="none"/>
            <w:lang w:val="en-CA"/>
          </w:rPr>
          <w:t>HO</w:t>
        </w:r>
      </w:hyperlink>
      <w:r w:rsidRPr="0030607B">
        <w:rPr>
          <w:lang w:val="en-CA"/>
        </w:rPr>
        <w:t xml:space="preserve"> + PNDA </w:t>
      </w:r>
      <w:r w:rsidRPr="0030607B">
        <w:rPr>
          <w:spacing w:val="-2"/>
          <w:lang w:val="en-CA"/>
        </w:rPr>
        <w:t>(p-</w:t>
      </w:r>
      <w:proofErr w:type="spellStart"/>
      <w:r w:rsidRPr="0030607B">
        <w:rPr>
          <w:spacing w:val="-2"/>
          <w:lang w:val="en-CA"/>
        </w:rPr>
        <w:t>nitrosodimethylaniline</w:t>
      </w:r>
      <w:proofErr w:type="spellEnd"/>
      <w:r w:rsidRPr="0030607B">
        <w:rPr>
          <w:spacing w:val="-2"/>
          <w:lang w:val="en-CA"/>
        </w:rPr>
        <w:t>)</w:t>
      </w:r>
      <w:r w:rsidRPr="0030607B">
        <w:rPr>
          <w:lang w:val="en-CA"/>
        </w:rPr>
        <w:t>;</w:t>
      </w:r>
      <w:r w:rsidR="00B87E18">
        <w:rPr>
          <w:lang w:val="en-CA"/>
        </w:rPr>
        <w:t xml:space="preserve"> </w:t>
      </w:r>
      <w:r w:rsidR="001F08EC">
        <w:rPr>
          <w:lang w:val="en-CA"/>
        </w:rPr>
        <w:t xml:space="preserve">the </w:t>
      </w:r>
      <w:r w:rsidR="00B87E18">
        <w:rPr>
          <w:lang w:val="en-CA"/>
        </w:rPr>
        <w:t xml:space="preserve">reference rate </w:t>
      </w:r>
      <w:r w:rsidR="00080692">
        <w:rPr>
          <w:lang w:val="en-CA"/>
        </w:rPr>
        <w:t>coefficient</w:t>
      </w:r>
      <w:r w:rsidR="00B87E18">
        <w:rPr>
          <w:lang w:val="en-CA"/>
        </w:rPr>
        <w:t xml:space="preserve"> was determined versus ethanol with </w:t>
      </w:r>
      <w:proofErr w:type="gramStart"/>
      <w:r w:rsidR="00B87E18">
        <w:rPr>
          <w:i/>
          <w:lang w:val="en-CA"/>
        </w:rPr>
        <w:t>k</w:t>
      </w:r>
      <w:r w:rsidR="0006050D">
        <w:rPr>
          <w:lang w:val="en-CA"/>
        </w:rPr>
        <w:t>(</w:t>
      </w:r>
      <w:proofErr w:type="gramEnd"/>
      <w:r w:rsidR="0006050D">
        <w:rPr>
          <w:lang w:val="en-CA"/>
        </w:rPr>
        <w:t>HO + ethanol) = 1.88</w:t>
      </w:r>
      <w:r w:rsidR="00B87E18">
        <w:rPr>
          <w:lang w:val="en-CA"/>
        </w:rPr>
        <w:t> × 10</w:t>
      </w:r>
      <w:r w:rsidR="00B87E18">
        <w:rPr>
          <w:vertAlign w:val="superscript"/>
          <w:lang w:val="en-CA"/>
        </w:rPr>
        <w:t>9</w:t>
      </w:r>
      <w:r w:rsidR="00B87E18">
        <w:rPr>
          <w:lang w:val="en-CA"/>
        </w:rPr>
        <w:t> M</w:t>
      </w:r>
      <w:r w:rsidR="00B87E18">
        <w:rPr>
          <w:vertAlign w:val="superscript"/>
          <w:lang w:val="en-CA"/>
        </w:rPr>
        <w:noBreakHyphen/>
        <w:t>1</w:t>
      </w:r>
      <w:r w:rsidR="00B87E18">
        <w:rPr>
          <w:lang w:val="en-CA"/>
        </w:rPr>
        <w:t>s</w:t>
      </w:r>
      <w:r w:rsidR="00B87E18">
        <w:rPr>
          <w:vertAlign w:val="superscript"/>
          <w:lang w:val="en-CA"/>
        </w:rPr>
        <w:noBreakHyphen/>
        <w:t>1</w:t>
      </w:r>
      <w:r w:rsidR="00B87E18">
        <w:rPr>
          <w:lang w:val="en-CA"/>
        </w:rPr>
        <w:t>;</w:t>
      </w:r>
      <w:r w:rsidRPr="0030607B">
        <w:rPr>
          <w:lang w:val="en-CA"/>
        </w:rPr>
        <w:t xml:space="preserve"> no values given for initial concentrations; air saturated solutions; all experiments were repeated at least four times and the coefficient of variation was less than ± 10%</w:t>
      </w:r>
      <w:r w:rsidR="005D3415">
        <w:rPr>
          <w:lang w:val="en-CA"/>
        </w:rPr>
        <w:t xml:space="preserve">; as no exact temperature is given, </w:t>
      </w:r>
      <w:r w:rsidR="001F08EC">
        <w:rPr>
          <w:lang w:val="en-CA"/>
        </w:rPr>
        <w:t xml:space="preserve">T = </w:t>
      </w:r>
      <w:r w:rsidR="005D3415">
        <w:rPr>
          <w:lang w:val="en-CA"/>
        </w:rPr>
        <w:t>29</w:t>
      </w:r>
      <w:r w:rsidR="0006050D">
        <w:rPr>
          <w:lang w:val="en-CA"/>
        </w:rPr>
        <w:t>4</w:t>
      </w:r>
      <w:r w:rsidR="005D3415">
        <w:rPr>
          <w:lang w:val="en-CA"/>
        </w:rPr>
        <w:t> K is assumed</w:t>
      </w:r>
      <w:r w:rsidR="001F08EC">
        <w:rPr>
          <w:lang w:val="en-CA"/>
        </w:rPr>
        <w:t xml:space="preserve"> for room temperature</w:t>
      </w:r>
      <w:r>
        <w:rPr>
          <w:lang w:val="en-CA"/>
        </w:rPr>
        <w:t>.</w:t>
      </w:r>
    </w:p>
    <w:p w:rsidR="0071171C" w:rsidRPr="0030607B" w:rsidRDefault="0071171C" w:rsidP="0071171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A4614A" w:rsidRPr="00A4614A" w:rsidRDefault="00802843" w:rsidP="00A4614A">
      <w:pPr>
        <w:numPr>
          <w:ilvl w:val="0"/>
          <w:numId w:val="7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  <w:r>
        <w:rPr>
          <w:spacing w:val="-2"/>
          <w:lang w:val="en-CA"/>
        </w:rPr>
        <w:t xml:space="preserve">Product formation observed at </w:t>
      </w:r>
      <w:r w:rsidR="00A4614A" w:rsidRPr="0030607B">
        <w:rPr>
          <w:spacing w:val="-2"/>
          <w:lang w:val="en-CA"/>
        </w:rPr>
        <w:t>264</w:t>
      </w:r>
      <w:r w:rsidR="00C52F78">
        <w:rPr>
          <w:spacing w:val="-2"/>
          <w:lang w:val="en-CA"/>
        </w:rPr>
        <w:t> </w:t>
      </w:r>
      <w:r w:rsidR="00A4614A" w:rsidRPr="0030607B">
        <w:rPr>
          <w:spacing w:val="-2"/>
          <w:lang w:val="en-CA"/>
        </w:rPr>
        <w:t>nm;</w:t>
      </w:r>
      <w:r w:rsidR="00A4614A" w:rsidRPr="0030607B">
        <w:rPr>
          <w:spacing w:val="-3"/>
          <w:lang w:val="en-CA"/>
        </w:rPr>
        <w:t xml:space="preserve"> </w:t>
      </w:r>
      <w:r w:rsidR="00A4614A" w:rsidRPr="0030607B">
        <w:rPr>
          <w:spacing w:val="-2"/>
          <w:lang w:val="en-CA"/>
        </w:rPr>
        <w:t>Reference reaction</w:t>
      </w:r>
      <w:r w:rsidR="00A4614A" w:rsidRPr="0030607B">
        <w:rPr>
          <w:spacing w:val="-3"/>
          <w:lang w:val="en-CA"/>
        </w:rPr>
        <w:t xml:space="preserve">: </w:t>
      </w:r>
      <w:hyperlink r:id="rId7" w:tgtFrame="_blank" w:history="1">
        <w:r w:rsidR="005D3415">
          <w:rPr>
            <w:rStyle w:val="Hyperlink"/>
            <w:color w:val="auto"/>
            <w:u w:val="none"/>
            <w:lang w:val="en-CA"/>
          </w:rPr>
          <w:t>HO</w:t>
        </w:r>
      </w:hyperlink>
      <w:r w:rsidR="00A4614A" w:rsidRPr="0030607B">
        <w:rPr>
          <w:lang w:val="en-CA"/>
        </w:rPr>
        <w:t xml:space="preserve"> + thymine; </w:t>
      </w:r>
      <w:r w:rsidR="00A4614A" w:rsidRPr="0030607B">
        <w:rPr>
          <w:i/>
          <w:lang w:val="en-CA"/>
        </w:rPr>
        <w:t>k</w:t>
      </w:r>
      <w:r w:rsidR="005D3415" w:rsidRPr="0030607B">
        <w:rPr>
          <w:lang w:val="en-CA"/>
        </w:rPr>
        <w:t>(</w:t>
      </w:r>
      <w:hyperlink r:id="rId8" w:tgtFrame="_blank" w:history="1">
        <w:r w:rsidR="005D3415">
          <w:rPr>
            <w:rStyle w:val="Hyperlink"/>
            <w:color w:val="auto"/>
            <w:u w:val="none"/>
            <w:lang w:val="en-CA"/>
          </w:rPr>
          <w:t>HO</w:t>
        </w:r>
      </w:hyperlink>
      <w:r w:rsidR="00A4614A" w:rsidRPr="0030607B">
        <w:rPr>
          <w:lang w:val="en-CA"/>
        </w:rPr>
        <w:t xml:space="preserve"> + thymine</w:t>
      </w:r>
      <w:r w:rsidR="005D3415" w:rsidRPr="0030607B">
        <w:rPr>
          <w:lang w:val="en-CA"/>
        </w:rPr>
        <w:t>)</w:t>
      </w:r>
      <w:r w:rsidR="005D3415">
        <w:rPr>
          <w:lang w:val="en-CA"/>
        </w:rPr>
        <w:t> </w:t>
      </w:r>
      <w:r w:rsidR="00A4614A" w:rsidRPr="0030607B">
        <w:rPr>
          <w:lang w:val="en-CA"/>
        </w:rPr>
        <w:t xml:space="preserve">= </w:t>
      </w:r>
      <w:r w:rsidR="00773DD5">
        <w:rPr>
          <w:lang w:val="en-CA"/>
        </w:rPr>
        <w:t>(</w:t>
      </w:r>
      <w:r w:rsidR="00A4614A" w:rsidRPr="0030607B">
        <w:rPr>
          <w:lang w:val="en-CA"/>
        </w:rPr>
        <w:t>4.3</w:t>
      </w:r>
      <w:r w:rsidR="005D3415">
        <w:rPr>
          <w:lang w:val="en-CA"/>
        </w:rPr>
        <w:t> </w:t>
      </w:r>
      <w:r w:rsidR="00A4614A" w:rsidRPr="0030607B">
        <w:rPr>
          <w:lang w:val="en-CA"/>
        </w:rPr>
        <w:t>±1</w:t>
      </w:r>
      <w:r w:rsidR="00773DD5">
        <w:rPr>
          <w:lang w:val="en-CA"/>
        </w:rPr>
        <w:t>)</w:t>
      </w:r>
      <w:r w:rsidR="00C52F78">
        <w:rPr>
          <w:spacing w:val="-3"/>
          <w:lang w:val="en-CA"/>
        </w:rPr>
        <w:t> </w:t>
      </w:r>
      <w:r w:rsidR="00A4614A" w:rsidRPr="0030607B">
        <w:rPr>
          <w:spacing w:val="-3"/>
          <w:lang w:val="en-US"/>
        </w:rPr>
        <w:sym w:font="Symbol" w:char="F0B4"/>
      </w:r>
      <w:r w:rsidR="00C52F78">
        <w:rPr>
          <w:spacing w:val="-2"/>
          <w:lang w:val="fr-FR"/>
        </w:rPr>
        <w:t> </w:t>
      </w:r>
      <w:r w:rsidR="00A4614A" w:rsidRPr="0030607B">
        <w:rPr>
          <w:spacing w:val="-2"/>
          <w:lang w:val="fr-FR"/>
        </w:rPr>
        <w:t>10</w:t>
      </w:r>
      <w:r w:rsidR="00A4614A" w:rsidRPr="0030607B">
        <w:rPr>
          <w:spacing w:val="-2"/>
          <w:vertAlign w:val="superscript"/>
          <w:lang w:val="fr-FR"/>
        </w:rPr>
        <w:t>9</w:t>
      </w:r>
      <w:r w:rsidR="00C52F78">
        <w:rPr>
          <w:spacing w:val="-2"/>
          <w:vertAlign w:val="superscript"/>
          <w:lang w:val="fr-FR"/>
        </w:rPr>
        <w:t> </w:t>
      </w:r>
      <w:r w:rsidR="00A4614A" w:rsidRPr="0030607B">
        <w:rPr>
          <w:spacing w:val="-2"/>
          <w:lang w:val="fr-FR"/>
        </w:rPr>
        <w:t>M</w:t>
      </w:r>
      <w:r w:rsidR="00C52F78">
        <w:rPr>
          <w:spacing w:val="-2"/>
          <w:vertAlign w:val="superscript"/>
          <w:lang w:val="fr-FR"/>
        </w:rPr>
        <w:noBreakHyphen/>
      </w:r>
      <w:r w:rsidR="00A4614A" w:rsidRPr="0030607B">
        <w:rPr>
          <w:spacing w:val="-2"/>
          <w:vertAlign w:val="superscript"/>
          <w:lang w:val="fr-FR"/>
        </w:rPr>
        <w:t>1</w:t>
      </w:r>
      <w:r w:rsidR="00A4614A" w:rsidRPr="0030607B">
        <w:rPr>
          <w:spacing w:val="-2"/>
          <w:lang w:val="fr-FR"/>
        </w:rPr>
        <w:t>s</w:t>
      </w:r>
      <w:r w:rsidR="00C52F78">
        <w:rPr>
          <w:spacing w:val="-2"/>
          <w:vertAlign w:val="superscript"/>
          <w:lang w:val="fr-FR"/>
        </w:rPr>
        <w:noBreakHyphen/>
      </w:r>
      <w:r w:rsidR="00A4614A" w:rsidRPr="0030607B">
        <w:rPr>
          <w:spacing w:val="-2"/>
          <w:vertAlign w:val="superscript"/>
          <w:lang w:val="fr-FR"/>
        </w:rPr>
        <w:t>1</w:t>
      </w:r>
      <w:r w:rsidR="00A4614A" w:rsidRPr="0030607B">
        <w:rPr>
          <w:spacing w:val="-2"/>
          <w:lang w:val="fr-FR"/>
        </w:rPr>
        <w:t>;</w:t>
      </w:r>
      <w:r w:rsidR="005D3415">
        <w:rPr>
          <w:spacing w:val="-2"/>
          <w:lang w:val="fr-FR"/>
        </w:rPr>
        <w:t xml:space="preserve"> rate </w:t>
      </w:r>
      <w:r w:rsidR="00080692">
        <w:rPr>
          <w:spacing w:val="-2"/>
          <w:lang w:val="fr-FR"/>
        </w:rPr>
        <w:t>coefficient</w:t>
      </w:r>
      <w:r w:rsidR="005D3415">
        <w:rPr>
          <w:spacing w:val="-2"/>
          <w:lang w:val="fr-FR"/>
        </w:rPr>
        <w:t xml:space="preserve">s have been </w:t>
      </w:r>
      <w:proofErr w:type="spellStart"/>
      <w:r w:rsidR="005D3415">
        <w:rPr>
          <w:spacing w:val="-2"/>
          <w:lang w:val="fr-FR"/>
        </w:rPr>
        <w:t>recalculated</w:t>
      </w:r>
      <w:proofErr w:type="spellEnd"/>
      <w:r w:rsidR="005D3415">
        <w:rPr>
          <w:spacing w:val="-2"/>
          <w:lang w:val="fr-FR"/>
        </w:rPr>
        <w:t xml:space="preserve"> </w:t>
      </w:r>
      <w:proofErr w:type="spellStart"/>
      <w:r w:rsidR="005D3415">
        <w:rPr>
          <w:spacing w:val="-2"/>
          <w:lang w:val="fr-FR"/>
        </w:rPr>
        <w:t>using</w:t>
      </w:r>
      <w:proofErr w:type="spellEnd"/>
      <w:r w:rsidR="005D3415">
        <w:rPr>
          <w:spacing w:val="-2"/>
          <w:lang w:val="fr-FR"/>
        </w:rPr>
        <w:t xml:space="preserve"> </w:t>
      </w:r>
      <w:r w:rsidR="00080692">
        <w:rPr>
          <w:spacing w:val="-2"/>
          <w:lang w:val="fr-FR"/>
        </w:rPr>
        <w:t>the</w:t>
      </w:r>
      <w:r w:rsidR="005D3415">
        <w:rPr>
          <w:spacing w:val="-2"/>
          <w:lang w:val="fr-FR"/>
        </w:rPr>
        <w:t xml:space="preserve"> </w:t>
      </w:r>
      <w:proofErr w:type="spellStart"/>
      <w:r w:rsidR="005D3415">
        <w:rPr>
          <w:spacing w:val="-2"/>
          <w:lang w:val="fr-FR"/>
        </w:rPr>
        <w:t>selected</w:t>
      </w:r>
      <w:proofErr w:type="spellEnd"/>
      <w:r w:rsidR="005D3415">
        <w:rPr>
          <w:spacing w:val="-2"/>
          <w:lang w:val="fr-FR"/>
        </w:rPr>
        <w:t xml:space="preserve"> values for the </w:t>
      </w:r>
      <w:proofErr w:type="spellStart"/>
      <w:r w:rsidR="005D3415">
        <w:rPr>
          <w:spacing w:val="-2"/>
          <w:lang w:val="fr-FR"/>
        </w:rPr>
        <w:t>reference</w:t>
      </w:r>
      <w:proofErr w:type="spellEnd"/>
      <w:r w:rsidR="005D3415">
        <w:rPr>
          <w:spacing w:val="-2"/>
          <w:lang w:val="fr-FR"/>
        </w:rPr>
        <w:t xml:space="preserve"> </w:t>
      </w:r>
      <w:proofErr w:type="spellStart"/>
      <w:r w:rsidR="005D3415">
        <w:rPr>
          <w:spacing w:val="-2"/>
          <w:lang w:val="fr-FR"/>
        </w:rPr>
        <w:t>reactions</w:t>
      </w:r>
      <w:proofErr w:type="spellEnd"/>
      <w:r w:rsidR="005D3415">
        <w:rPr>
          <w:spacing w:val="-2"/>
          <w:lang w:val="fr-FR"/>
        </w:rPr>
        <w:t xml:space="preserve"> (</w:t>
      </w:r>
      <w:r w:rsidR="0006050D">
        <w:rPr>
          <w:spacing w:val="-2"/>
          <w:lang w:val="fr-FR"/>
        </w:rPr>
        <w:t>5.3</w:t>
      </w:r>
      <w:r w:rsidR="00DB5F35">
        <w:rPr>
          <w:spacing w:val="-2"/>
          <w:lang w:val="fr-FR"/>
        </w:rPr>
        <w:t>8</w:t>
      </w:r>
      <w:r w:rsidR="005D3415">
        <w:rPr>
          <w:spacing w:val="-2"/>
          <w:lang w:val="fr-FR"/>
        </w:rPr>
        <w:t> × 10</w:t>
      </w:r>
      <w:r w:rsidR="005D3415">
        <w:rPr>
          <w:spacing w:val="-2"/>
          <w:vertAlign w:val="superscript"/>
          <w:lang w:val="fr-FR"/>
        </w:rPr>
        <w:t>9</w:t>
      </w:r>
      <w:r w:rsidR="005D3415">
        <w:rPr>
          <w:spacing w:val="-2"/>
          <w:lang w:val="fr-FR"/>
        </w:rPr>
        <w:t> M</w:t>
      </w:r>
      <w:r w:rsidR="005D3415">
        <w:rPr>
          <w:spacing w:val="-2"/>
          <w:vertAlign w:val="superscript"/>
          <w:lang w:val="fr-FR"/>
        </w:rPr>
        <w:noBreakHyphen/>
        <w:t>1</w:t>
      </w:r>
      <w:r w:rsidR="005D3415">
        <w:rPr>
          <w:spacing w:val="-2"/>
          <w:lang w:val="fr-FR"/>
        </w:rPr>
        <w:t>s</w:t>
      </w:r>
      <w:r w:rsidR="005D3415">
        <w:rPr>
          <w:spacing w:val="-2"/>
          <w:vertAlign w:val="superscript"/>
          <w:lang w:val="fr-FR"/>
        </w:rPr>
        <w:noBreakHyphen/>
        <w:t>1</w:t>
      </w:r>
      <w:r w:rsidR="005D3415">
        <w:rPr>
          <w:spacing w:val="-2"/>
          <w:lang w:val="fr-FR"/>
        </w:rPr>
        <w:t>);</w:t>
      </w:r>
      <w:r w:rsidR="00A4614A" w:rsidRPr="0030607B">
        <w:rPr>
          <w:spacing w:val="-2"/>
          <w:lang w:val="fr-FR"/>
        </w:rPr>
        <w:t xml:space="preserve"> </w:t>
      </w:r>
      <w:r w:rsidR="00A4614A" w:rsidRPr="00881368">
        <w:rPr>
          <w:i/>
          <w:spacing w:val="-2"/>
          <w:lang w:val="fr-FR"/>
        </w:rPr>
        <w:t>c</w:t>
      </w:r>
      <w:r w:rsidR="00A4614A" w:rsidRPr="0030607B">
        <w:rPr>
          <w:spacing w:val="-2"/>
          <w:lang w:val="fr-FR"/>
        </w:rPr>
        <w:t xml:space="preserve">(thymine) = 8 </w:t>
      </w:r>
      <w:r w:rsidR="00A4614A" w:rsidRPr="0030607B">
        <w:rPr>
          <w:spacing w:val="-3"/>
          <w:lang w:val="en-US"/>
        </w:rPr>
        <w:sym w:font="Symbol" w:char="F0B4"/>
      </w:r>
      <w:r w:rsidR="00A4614A" w:rsidRPr="0030607B">
        <w:rPr>
          <w:spacing w:val="-2"/>
          <w:lang w:val="fr-FR"/>
        </w:rPr>
        <w:t xml:space="preserve"> 10</w:t>
      </w:r>
      <w:r w:rsidR="00A4614A" w:rsidRPr="0030607B">
        <w:rPr>
          <w:spacing w:val="-2"/>
          <w:vertAlign w:val="superscript"/>
          <w:lang w:val="fr-FR"/>
        </w:rPr>
        <w:t>-5</w:t>
      </w:r>
      <w:r w:rsidR="00A4614A" w:rsidRPr="0030607B">
        <w:rPr>
          <w:spacing w:val="-2"/>
          <w:lang w:val="fr-FR"/>
        </w:rPr>
        <w:t xml:space="preserve"> </w:t>
      </w:r>
      <w:r w:rsidR="00084B01">
        <w:rPr>
          <w:spacing w:val="-2"/>
          <w:lang w:val="fr-FR"/>
        </w:rPr>
        <w:t>–</w:t>
      </w:r>
      <w:r w:rsidR="00A4614A" w:rsidRPr="0030607B">
        <w:rPr>
          <w:spacing w:val="-2"/>
          <w:lang w:val="fr-FR"/>
        </w:rPr>
        <w:t xml:space="preserve"> 2</w:t>
      </w:r>
      <w:r w:rsidR="00084B01">
        <w:rPr>
          <w:spacing w:val="-2"/>
          <w:lang w:val="fr-FR"/>
        </w:rPr>
        <w:t> </w:t>
      </w:r>
      <w:r w:rsidR="00A4614A" w:rsidRPr="0030607B">
        <w:rPr>
          <w:spacing w:val="-3"/>
          <w:lang w:val="en-US"/>
        </w:rPr>
        <w:sym w:font="Symbol" w:char="F0B4"/>
      </w:r>
      <w:r w:rsidR="00A4614A" w:rsidRPr="0030607B">
        <w:rPr>
          <w:spacing w:val="-2"/>
          <w:lang w:val="fr-FR"/>
        </w:rPr>
        <w:t xml:space="preserve"> 10</w:t>
      </w:r>
      <w:r w:rsidR="00A4614A" w:rsidRPr="0030607B">
        <w:rPr>
          <w:spacing w:val="-2"/>
          <w:vertAlign w:val="superscript"/>
          <w:lang w:val="fr-FR"/>
        </w:rPr>
        <w:t>-4</w:t>
      </w:r>
      <w:r w:rsidR="00A4614A" w:rsidRPr="0030607B">
        <w:rPr>
          <w:spacing w:val="-2"/>
          <w:lang w:val="fr-FR"/>
        </w:rPr>
        <w:t> </w:t>
      </w:r>
      <w:r w:rsidR="00084B01">
        <w:rPr>
          <w:spacing w:val="-2"/>
          <w:lang w:val="fr-FR"/>
        </w:rPr>
        <w:t>M</w:t>
      </w:r>
      <w:r w:rsidR="00A4614A" w:rsidRPr="0030607B">
        <w:rPr>
          <w:spacing w:val="-2"/>
          <w:lang w:val="fr-FR"/>
        </w:rPr>
        <w:t xml:space="preserve">; </w:t>
      </w:r>
      <w:r w:rsidR="00773DD5">
        <w:rPr>
          <w:spacing w:val="-2"/>
          <w:lang w:val="fr-FR"/>
        </w:rPr>
        <w:t>t</w:t>
      </w:r>
      <w:r w:rsidR="00A4614A" w:rsidRPr="0030607B">
        <w:rPr>
          <w:spacing w:val="-2"/>
          <w:lang w:val="fr-FR"/>
        </w:rPr>
        <w:t xml:space="preserve">he rate </w:t>
      </w:r>
      <w:r w:rsidR="00080692">
        <w:rPr>
          <w:spacing w:val="-2"/>
          <w:lang w:val="fr-FR"/>
        </w:rPr>
        <w:t>coefficient</w:t>
      </w:r>
      <w:r w:rsidR="00A4614A" w:rsidRPr="0030607B">
        <w:rPr>
          <w:spacing w:val="-2"/>
          <w:lang w:val="fr-FR"/>
        </w:rPr>
        <w:t xml:space="preserve"> of the </w:t>
      </w:r>
      <w:proofErr w:type="spellStart"/>
      <w:r w:rsidR="00A4614A" w:rsidRPr="0030607B">
        <w:rPr>
          <w:spacing w:val="-2"/>
          <w:lang w:val="fr-FR"/>
        </w:rPr>
        <w:t>reference</w:t>
      </w:r>
      <w:proofErr w:type="spellEnd"/>
      <w:r w:rsidR="00A4614A" w:rsidRPr="0030607B">
        <w:rPr>
          <w:spacing w:val="-2"/>
          <w:lang w:val="fr-FR"/>
        </w:rPr>
        <w:t xml:space="preserve"> </w:t>
      </w:r>
      <w:proofErr w:type="spellStart"/>
      <w:r w:rsidR="00A4614A" w:rsidRPr="0030607B">
        <w:rPr>
          <w:spacing w:val="-2"/>
          <w:lang w:val="fr-FR"/>
        </w:rPr>
        <w:t>reaction</w:t>
      </w:r>
      <w:proofErr w:type="spellEnd"/>
      <w:r w:rsidR="00A4614A" w:rsidRPr="0030607B">
        <w:rPr>
          <w:spacing w:val="-2"/>
          <w:lang w:val="fr-FR"/>
        </w:rPr>
        <w:t xml:space="preserve"> </w:t>
      </w:r>
      <w:proofErr w:type="spellStart"/>
      <w:r w:rsidR="00A4614A" w:rsidRPr="0030607B">
        <w:rPr>
          <w:spacing w:val="-2"/>
          <w:lang w:val="fr-FR"/>
        </w:rPr>
        <w:t>was</w:t>
      </w:r>
      <w:proofErr w:type="spellEnd"/>
      <w:r w:rsidR="00A4614A" w:rsidRPr="0030607B">
        <w:rPr>
          <w:spacing w:val="-2"/>
          <w:lang w:val="fr-FR"/>
        </w:rPr>
        <w:t xml:space="preserve"> </w:t>
      </w:r>
      <w:proofErr w:type="spellStart"/>
      <w:r w:rsidR="00A4614A" w:rsidRPr="0030607B">
        <w:rPr>
          <w:spacing w:val="-2"/>
          <w:lang w:val="fr-FR"/>
        </w:rPr>
        <w:t>determined</w:t>
      </w:r>
      <w:proofErr w:type="spellEnd"/>
      <w:r w:rsidR="00A4614A" w:rsidRPr="0030607B">
        <w:rPr>
          <w:spacing w:val="-2"/>
          <w:lang w:val="fr-FR"/>
        </w:rPr>
        <w:t xml:space="preserve"> relative</w:t>
      </w:r>
      <w:r w:rsidR="00A4614A">
        <w:rPr>
          <w:spacing w:val="-2"/>
          <w:lang w:val="fr-FR"/>
        </w:rPr>
        <w:t xml:space="preserve"> to </w:t>
      </w:r>
      <w:proofErr w:type="spellStart"/>
      <w:r w:rsidR="00A4614A">
        <w:rPr>
          <w:spacing w:val="-2"/>
          <w:lang w:val="fr-FR"/>
        </w:rPr>
        <w:t>benzene</w:t>
      </w:r>
      <w:proofErr w:type="spellEnd"/>
      <w:r w:rsidR="00A4614A">
        <w:rPr>
          <w:spacing w:val="-2"/>
          <w:lang w:val="fr-FR"/>
        </w:rPr>
        <w:t xml:space="preserve">; </w:t>
      </w:r>
      <w:proofErr w:type="spellStart"/>
      <w:r w:rsidR="00A4614A">
        <w:rPr>
          <w:spacing w:val="-2"/>
          <w:lang w:val="fr-FR"/>
        </w:rPr>
        <w:t>aerated</w:t>
      </w:r>
      <w:proofErr w:type="spellEnd"/>
      <w:r w:rsidR="00A4614A">
        <w:rPr>
          <w:spacing w:val="-2"/>
          <w:lang w:val="fr-FR"/>
        </w:rPr>
        <w:t xml:space="preserve"> solutions</w:t>
      </w:r>
      <w:r w:rsidR="00A4614A" w:rsidRPr="0030607B">
        <w:rPr>
          <w:spacing w:val="-2"/>
          <w:lang w:val="fr-FR"/>
        </w:rPr>
        <w:t>;</w:t>
      </w:r>
      <w:r w:rsidR="00A4614A" w:rsidRPr="0030607B">
        <w:rPr>
          <w:spacing w:val="-2"/>
          <w:lang w:val="en-CA"/>
        </w:rPr>
        <w:t xml:space="preserve"> The absolute rate </w:t>
      </w:r>
      <w:r w:rsidR="00080692">
        <w:rPr>
          <w:spacing w:val="-2"/>
          <w:lang w:val="en-CA"/>
        </w:rPr>
        <w:t>coefficient</w:t>
      </w:r>
      <w:r w:rsidR="00A4614A" w:rsidRPr="0030607B">
        <w:rPr>
          <w:spacing w:val="-2"/>
          <w:lang w:val="en-CA"/>
        </w:rPr>
        <w:t>s</w:t>
      </w:r>
      <w:r w:rsidR="00A4614A">
        <w:rPr>
          <w:spacing w:val="-2"/>
          <w:lang w:val="en-CA"/>
        </w:rPr>
        <w:t xml:space="preserve"> </w:t>
      </w:r>
      <w:r w:rsidR="00A4614A" w:rsidRPr="0030607B">
        <w:rPr>
          <w:spacing w:val="-2"/>
          <w:lang w:val="fr-FR"/>
        </w:rPr>
        <w:t xml:space="preserve">have an </w:t>
      </w:r>
      <w:r w:rsidR="00A4614A" w:rsidRPr="0030607B">
        <w:rPr>
          <w:spacing w:val="-2"/>
          <w:lang w:val="en-US"/>
        </w:rPr>
        <w:t xml:space="preserve">error </w:t>
      </w:r>
      <w:r w:rsidR="00A4614A" w:rsidRPr="0030607B">
        <w:rPr>
          <w:spacing w:val="-2"/>
          <w:lang w:val="fr-FR"/>
        </w:rPr>
        <w:t xml:space="preserve">of about </w:t>
      </w:r>
      <w:r w:rsidR="00A4614A" w:rsidRPr="0030607B">
        <w:rPr>
          <w:lang w:val="en-CA"/>
        </w:rPr>
        <w:t>±25%</w:t>
      </w:r>
      <w:r w:rsidR="005D3415">
        <w:rPr>
          <w:lang w:val="en-CA"/>
        </w:rPr>
        <w:t xml:space="preserve">; </w:t>
      </w:r>
      <w:r w:rsidR="00080692">
        <w:rPr>
          <w:lang w:val="en-CA"/>
        </w:rPr>
        <w:t>as no exact temperature is given, T = 294 K is assumed for room temperature</w:t>
      </w:r>
      <w:r w:rsidR="00A4614A">
        <w:rPr>
          <w:lang w:val="en-CA"/>
        </w:rPr>
        <w:t>.</w:t>
      </w:r>
    </w:p>
    <w:p w:rsidR="00A4614A" w:rsidRPr="002C4669" w:rsidRDefault="00A4614A" w:rsidP="00A4614A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2C4669" w:rsidRPr="00D722D6" w:rsidRDefault="00A4614A" w:rsidP="002C4669">
      <w:pPr>
        <w:numPr>
          <w:ilvl w:val="0"/>
          <w:numId w:val="7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  <w:r w:rsidRPr="000820E3">
        <w:rPr>
          <w:spacing w:val="-2"/>
          <w:lang w:val="en-CA"/>
        </w:rPr>
        <w:t xml:space="preserve">Reference </w:t>
      </w:r>
      <w:r w:rsidR="0094293D">
        <w:rPr>
          <w:spacing w:val="-2"/>
          <w:lang w:val="en-CA"/>
        </w:rPr>
        <w:t>reactions</w:t>
      </w:r>
      <w:r>
        <w:rPr>
          <w:spacing w:val="-2"/>
          <w:lang w:val="en-CA"/>
        </w:rPr>
        <w:t xml:space="preserve">: </w:t>
      </w:r>
      <w:hyperlink r:id="rId9" w:tgtFrame="_blank" w:history="1">
        <w:r w:rsidR="0094293D">
          <w:rPr>
            <w:rStyle w:val="Hyperlink"/>
            <w:color w:val="auto"/>
            <w:u w:val="none"/>
            <w:lang w:val="en-CA"/>
          </w:rPr>
          <w:t>HO</w:t>
        </w:r>
      </w:hyperlink>
      <w:r w:rsidRPr="00BC2D19">
        <w:rPr>
          <w:lang w:val="en-CA"/>
        </w:rPr>
        <w:t xml:space="preserve"> + [Fe(CN)</w:t>
      </w:r>
      <w:r w:rsidRPr="00BC2D19">
        <w:rPr>
          <w:vertAlign w:val="subscript"/>
          <w:lang w:val="en-CA"/>
        </w:rPr>
        <w:t>6</w:t>
      </w:r>
      <w:r w:rsidRPr="00BC2D19">
        <w:rPr>
          <w:lang w:val="en-CA"/>
        </w:rPr>
        <w:t>]</w:t>
      </w:r>
      <w:r w:rsidRPr="00BC2D19">
        <w:rPr>
          <w:vertAlign w:val="superscript"/>
          <w:lang w:val="en-CA"/>
        </w:rPr>
        <w:t>4</w:t>
      </w:r>
      <w:r w:rsidR="0094293D" w:rsidRPr="00BC2D19">
        <w:rPr>
          <w:vertAlign w:val="superscript"/>
          <w:lang w:val="en-CA"/>
        </w:rPr>
        <w:t>-</w:t>
      </w:r>
      <w:r w:rsidR="0094293D">
        <w:rPr>
          <w:lang w:val="en-CA"/>
        </w:rPr>
        <w:t xml:space="preserve"> with</w:t>
      </w:r>
      <w:r w:rsidR="0094293D" w:rsidRPr="00BC2D19">
        <w:rPr>
          <w:lang w:val="en-CA"/>
        </w:rPr>
        <w:t xml:space="preserve"> </w:t>
      </w:r>
      <w:r w:rsidRPr="00BC2D19">
        <w:rPr>
          <w:i/>
          <w:lang w:val="en-CA"/>
        </w:rPr>
        <w:t>k</w:t>
      </w:r>
      <w:r w:rsidRPr="00BC2D19">
        <w:rPr>
          <w:lang w:val="en-CA"/>
        </w:rPr>
        <w:t>(</w:t>
      </w:r>
      <w:hyperlink r:id="rId10" w:tgtFrame="_blank" w:history="1">
        <w:r w:rsidR="00084B01">
          <w:rPr>
            <w:rStyle w:val="Hyperlink"/>
            <w:color w:val="auto"/>
            <w:u w:val="none"/>
            <w:lang w:val="en-CA"/>
          </w:rPr>
          <w:t>HO</w:t>
        </w:r>
      </w:hyperlink>
      <w:r w:rsidRPr="00BC2D19">
        <w:rPr>
          <w:lang w:val="en-CA"/>
        </w:rPr>
        <w:t xml:space="preserve"> + [Fe(CN)</w:t>
      </w:r>
      <w:r w:rsidRPr="00BC2D19">
        <w:rPr>
          <w:vertAlign w:val="subscript"/>
          <w:lang w:val="en-CA"/>
        </w:rPr>
        <w:t>6</w:t>
      </w:r>
      <w:r w:rsidRPr="00BC2D19">
        <w:rPr>
          <w:lang w:val="en-CA"/>
        </w:rPr>
        <w:t>]</w:t>
      </w:r>
      <w:r w:rsidRPr="00BC2D19">
        <w:rPr>
          <w:vertAlign w:val="superscript"/>
          <w:lang w:val="en-CA"/>
        </w:rPr>
        <w:t>4-</w:t>
      </w:r>
      <w:r>
        <w:rPr>
          <w:lang w:val="en-CA"/>
        </w:rPr>
        <w:t>) = 0.93 </w:t>
      </w:r>
      <w:r w:rsidRPr="00364535">
        <w:rPr>
          <w:spacing w:val="-3"/>
          <w:lang w:val="en-US"/>
        </w:rPr>
        <w:sym w:font="Symbol" w:char="F0B4"/>
      </w:r>
      <w:r w:rsidRPr="00364535">
        <w:rPr>
          <w:spacing w:val="-2"/>
          <w:lang w:val="fr-FR"/>
        </w:rPr>
        <w:t xml:space="preserve"> 10</w:t>
      </w:r>
      <w:r>
        <w:rPr>
          <w:spacing w:val="-2"/>
          <w:vertAlign w:val="superscript"/>
          <w:lang w:val="fr-FR"/>
        </w:rPr>
        <w:t>10</w:t>
      </w:r>
      <w:r>
        <w:rPr>
          <w:spacing w:val="-2"/>
          <w:lang w:val="fr-FR"/>
        </w:rPr>
        <w:t xml:space="preserve"> M</w:t>
      </w:r>
      <w:r w:rsidRPr="00E605EB">
        <w:rPr>
          <w:spacing w:val="-2"/>
          <w:vertAlign w:val="superscript"/>
          <w:lang w:val="fr-FR"/>
        </w:rPr>
        <w:t>-1</w:t>
      </w:r>
      <w:r>
        <w:rPr>
          <w:spacing w:val="-2"/>
          <w:lang w:val="fr-FR"/>
        </w:rPr>
        <w:t>s</w:t>
      </w:r>
      <w:r w:rsidRPr="00E605EB">
        <w:rPr>
          <w:spacing w:val="-2"/>
          <w:vertAlign w:val="superscript"/>
          <w:lang w:val="fr-FR"/>
        </w:rPr>
        <w:t>-1</w:t>
      </w:r>
      <w:r w:rsidR="0094293D">
        <w:rPr>
          <w:spacing w:val="-2"/>
          <w:lang w:val="fr-FR"/>
        </w:rPr>
        <w:t xml:space="preserve"> [1.</w:t>
      </w:r>
      <w:r w:rsidR="0006050D">
        <w:rPr>
          <w:spacing w:val="-2"/>
          <w:lang w:val="fr-FR"/>
        </w:rPr>
        <w:t>0</w:t>
      </w:r>
      <w:r w:rsidR="00084B01">
        <w:rPr>
          <w:spacing w:val="-2"/>
          <w:lang w:val="fr-FR"/>
        </w:rPr>
        <w:t>3</w:t>
      </w:r>
      <w:r w:rsidR="0094293D">
        <w:rPr>
          <w:spacing w:val="-2"/>
          <w:lang w:val="fr-FR"/>
        </w:rPr>
        <w:t> × 10</w:t>
      </w:r>
      <w:r w:rsidR="0094293D" w:rsidRPr="0006050D">
        <w:rPr>
          <w:spacing w:val="-2"/>
          <w:vertAlign w:val="superscript"/>
          <w:lang w:val="fr-FR"/>
        </w:rPr>
        <w:t>10</w:t>
      </w:r>
      <w:r w:rsidR="0094293D">
        <w:rPr>
          <w:spacing w:val="-2"/>
          <w:lang w:val="fr-FR"/>
        </w:rPr>
        <w:t> M</w:t>
      </w:r>
      <w:r w:rsidR="0094293D">
        <w:rPr>
          <w:spacing w:val="-2"/>
          <w:vertAlign w:val="superscript"/>
          <w:lang w:val="fr-FR"/>
        </w:rPr>
        <w:noBreakHyphen/>
        <w:t>1</w:t>
      </w:r>
      <w:r w:rsidR="0094293D">
        <w:rPr>
          <w:spacing w:val="-2"/>
          <w:lang w:val="fr-FR"/>
        </w:rPr>
        <w:t>s</w:t>
      </w:r>
      <w:r w:rsidR="0094293D">
        <w:rPr>
          <w:spacing w:val="-2"/>
          <w:vertAlign w:val="superscript"/>
          <w:lang w:val="fr-FR"/>
        </w:rPr>
        <w:noBreakHyphen/>
        <w:t>1</w:t>
      </w:r>
      <w:r w:rsidR="0094293D">
        <w:rPr>
          <w:spacing w:val="-2"/>
          <w:lang w:val="fr-FR"/>
        </w:rPr>
        <w:t>](c1)</w:t>
      </w:r>
      <w:r>
        <w:rPr>
          <w:spacing w:val="-2"/>
          <w:lang w:val="fr-FR"/>
        </w:rPr>
        <w:t xml:space="preserve">; </w:t>
      </w:r>
      <w:r w:rsidR="0094293D">
        <w:rPr>
          <w:spacing w:val="-2"/>
          <w:lang w:val="en-CA"/>
        </w:rPr>
        <w:t>HO</w:t>
      </w:r>
      <w:r w:rsidRPr="000820E3">
        <w:rPr>
          <w:lang w:val="en-CA"/>
        </w:rPr>
        <w:t xml:space="preserve"> + SCN</w:t>
      </w:r>
      <w:r w:rsidR="0094293D" w:rsidRPr="000820E3">
        <w:rPr>
          <w:vertAlign w:val="superscript"/>
          <w:lang w:val="en-CA"/>
        </w:rPr>
        <w:t>-</w:t>
      </w:r>
      <w:r w:rsidR="0094293D">
        <w:rPr>
          <w:lang w:val="en-CA"/>
        </w:rPr>
        <w:t xml:space="preserve"> with</w:t>
      </w:r>
      <w:r w:rsidR="0094293D" w:rsidRPr="000820E3">
        <w:rPr>
          <w:lang w:val="en-CA"/>
        </w:rPr>
        <w:t xml:space="preserve"> </w:t>
      </w:r>
      <w:r w:rsidRPr="000820E3">
        <w:rPr>
          <w:i/>
          <w:lang w:val="en-CA"/>
        </w:rPr>
        <w:t>k</w:t>
      </w:r>
      <w:r w:rsidR="0094293D" w:rsidRPr="000820E3">
        <w:rPr>
          <w:lang w:val="en-CA"/>
        </w:rPr>
        <w:t>(</w:t>
      </w:r>
      <w:hyperlink r:id="rId11" w:tgtFrame="_blank" w:history="1">
        <w:r w:rsidR="0094293D">
          <w:rPr>
            <w:rStyle w:val="Hyperlink"/>
            <w:color w:val="auto"/>
            <w:u w:val="none"/>
            <w:lang w:val="en-CA"/>
          </w:rPr>
          <w:t>HO</w:t>
        </w:r>
      </w:hyperlink>
      <w:r w:rsidRPr="000820E3">
        <w:rPr>
          <w:lang w:val="en-CA"/>
        </w:rPr>
        <w:t xml:space="preserve"> + SCN</w:t>
      </w:r>
      <w:r w:rsidRPr="000820E3">
        <w:rPr>
          <w:vertAlign w:val="superscript"/>
          <w:lang w:val="en-CA"/>
        </w:rPr>
        <w:t>-</w:t>
      </w:r>
      <w:r w:rsidRPr="000820E3">
        <w:rPr>
          <w:lang w:val="en-CA"/>
        </w:rPr>
        <w:t>) = 1.1  </w:t>
      </w:r>
      <w:r w:rsidRPr="000820E3">
        <w:rPr>
          <w:spacing w:val="-3"/>
          <w:lang w:val="en-US"/>
        </w:rPr>
        <w:sym w:font="Symbol" w:char="F0B4"/>
      </w:r>
      <w:r w:rsidRPr="000820E3">
        <w:rPr>
          <w:spacing w:val="-2"/>
          <w:lang w:val="fr-FR"/>
        </w:rPr>
        <w:t xml:space="preserve"> 10</w:t>
      </w:r>
      <w:r w:rsidRPr="000820E3">
        <w:rPr>
          <w:spacing w:val="-2"/>
          <w:vertAlign w:val="superscript"/>
          <w:lang w:val="fr-FR"/>
        </w:rPr>
        <w:t>10</w:t>
      </w:r>
      <w:r w:rsidRPr="000820E3">
        <w:rPr>
          <w:spacing w:val="-2"/>
          <w:lang w:val="fr-FR"/>
        </w:rPr>
        <w:t xml:space="preserve"> M</w:t>
      </w:r>
      <w:r w:rsidRPr="000820E3">
        <w:rPr>
          <w:spacing w:val="-2"/>
          <w:vertAlign w:val="superscript"/>
          <w:lang w:val="fr-FR"/>
        </w:rPr>
        <w:t>-1</w:t>
      </w:r>
      <w:r w:rsidRPr="000820E3">
        <w:rPr>
          <w:spacing w:val="-2"/>
          <w:lang w:val="fr-FR"/>
        </w:rPr>
        <w:t>s</w:t>
      </w:r>
      <w:r w:rsidRPr="000820E3">
        <w:rPr>
          <w:spacing w:val="-2"/>
          <w:vertAlign w:val="superscript"/>
          <w:lang w:val="fr-FR"/>
        </w:rPr>
        <w:t>-1</w:t>
      </w:r>
      <w:r w:rsidR="0094293D">
        <w:rPr>
          <w:spacing w:val="-2"/>
          <w:lang w:val="fr-FR"/>
        </w:rPr>
        <w:t xml:space="preserve"> </w:t>
      </w:r>
      <w:r w:rsidR="0094293D">
        <w:rPr>
          <w:spacing w:val="-2"/>
          <w:lang w:val="fr-FR"/>
        </w:rPr>
        <w:lastRenderedPageBreak/>
        <w:t>[1.</w:t>
      </w:r>
      <w:r w:rsidR="0006050D">
        <w:rPr>
          <w:spacing w:val="-2"/>
          <w:lang w:val="fr-FR"/>
        </w:rPr>
        <w:t>10</w:t>
      </w:r>
      <w:r w:rsidR="0094293D">
        <w:rPr>
          <w:spacing w:val="-2"/>
          <w:lang w:val="fr-FR"/>
        </w:rPr>
        <w:t> × 10</w:t>
      </w:r>
      <w:r w:rsidR="0094293D" w:rsidRPr="0006050D">
        <w:rPr>
          <w:spacing w:val="-2"/>
          <w:vertAlign w:val="superscript"/>
          <w:lang w:val="fr-FR"/>
        </w:rPr>
        <w:t>10</w:t>
      </w:r>
      <w:r w:rsidR="0094293D">
        <w:rPr>
          <w:spacing w:val="-2"/>
          <w:lang w:val="fr-FR"/>
        </w:rPr>
        <w:t> M</w:t>
      </w:r>
      <w:r w:rsidR="0094293D">
        <w:rPr>
          <w:spacing w:val="-2"/>
          <w:vertAlign w:val="superscript"/>
          <w:lang w:val="fr-FR"/>
        </w:rPr>
        <w:noBreakHyphen/>
        <w:t>1</w:t>
      </w:r>
      <w:r w:rsidR="0094293D">
        <w:rPr>
          <w:spacing w:val="-2"/>
          <w:lang w:val="fr-FR"/>
        </w:rPr>
        <w:t>s</w:t>
      </w:r>
      <w:r w:rsidR="0094293D">
        <w:rPr>
          <w:spacing w:val="-2"/>
          <w:vertAlign w:val="superscript"/>
          <w:lang w:val="fr-FR"/>
        </w:rPr>
        <w:noBreakHyphen/>
        <w:t>1</w:t>
      </w:r>
      <w:r w:rsidR="0094293D">
        <w:rPr>
          <w:spacing w:val="-2"/>
          <w:lang w:val="fr-FR"/>
        </w:rPr>
        <w:t>, Zhu et al., 2003](c2);</w:t>
      </w:r>
      <w:r w:rsidR="0006050D">
        <w:rPr>
          <w:spacing w:val="-2"/>
          <w:lang w:val="fr-FR"/>
        </w:rPr>
        <w:t xml:space="preserve"> </w:t>
      </w:r>
      <w:r w:rsidR="00080692">
        <w:rPr>
          <w:spacing w:val="-2"/>
          <w:lang w:val="fr-FR"/>
        </w:rPr>
        <w:t xml:space="preserve">the </w:t>
      </w:r>
      <w:proofErr w:type="spellStart"/>
      <w:r w:rsidR="0006050D">
        <w:rPr>
          <w:spacing w:val="-2"/>
          <w:lang w:val="fr-FR"/>
        </w:rPr>
        <w:t>recalculation</w:t>
      </w:r>
      <w:proofErr w:type="spellEnd"/>
      <w:r w:rsidR="0006050D">
        <w:rPr>
          <w:spacing w:val="-2"/>
          <w:lang w:val="fr-FR"/>
        </w:rPr>
        <w:t xml:space="preserve"> of the rate coefficients has been </w:t>
      </w:r>
      <w:proofErr w:type="spellStart"/>
      <w:r w:rsidR="0006050D">
        <w:rPr>
          <w:spacing w:val="-2"/>
          <w:lang w:val="fr-FR"/>
        </w:rPr>
        <w:t>done</w:t>
      </w:r>
      <w:proofErr w:type="spellEnd"/>
      <w:r w:rsidR="0006050D">
        <w:rPr>
          <w:spacing w:val="-2"/>
          <w:lang w:val="fr-FR"/>
        </w:rPr>
        <w:t xml:space="preserve">, </w:t>
      </w:r>
      <w:proofErr w:type="spellStart"/>
      <w:r w:rsidR="0006050D">
        <w:rPr>
          <w:spacing w:val="-2"/>
          <w:lang w:val="fr-FR"/>
        </w:rPr>
        <w:t>using</w:t>
      </w:r>
      <w:proofErr w:type="spellEnd"/>
      <w:r w:rsidR="0006050D">
        <w:rPr>
          <w:spacing w:val="-2"/>
          <w:lang w:val="fr-FR"/>
        </w:rPr>
        <w:t xml:space="preserve"> </w:t>
      </w:r>
      <w:r w:rsidR="00080692">
        <w:rPr>
          <w:spacing w:val="-2"/>
          <w:lang w:val="fr-FR"/>
        </w:rPr>
        <w:t>the</w:t>
      </w:r>
      <w:r w:rsidR="0006050D">
        <w:rPr>
          <w:spacing w:val="-2"/>
          <w:lang w:val="fr-FR"/>
        </w:rPr>
        <w:t xml:space="preserve"> </w:t>
      </w:r>
      <w:proofErr w:type="spellStart"/>
      <w:r w:rsidR="0006050D">
        <w:rPr>
          <w:spacing w:val="-2"/>
          <w:lang w:val="fr-FR"/>
        </w:rPr>
        <w:t>selected</w:t>
      </w:r>
      <w:proofErr w:type="spellEnd"/>
      <w:r w:rsidR="0006050D">
        <w:rPr>
          <w:spacing w:val="-2"/>
          <w:lang w:val="fr-FR"/>
        </w:rPr>
        <w:t xml:space="preserve"> values for the </w:t>
      </w:r>
      <w:proofErr w:type="spellStart"/>
      <w:r w:rsidR="0006050D">
        <w:rPr>
          <w:spacing w:val="-2"/>
          <w:lang w:val="fr-FR"/>
        </w:rPr>
        <w:t>reference</w:t>
      </w:r>
      <w:proofErr w:type="spellEnd"/>
      <w:r w:rsidR="0006050D">
        <w:rPr>
          <w:spacing w:val="-2"/>
          <w:lang w:val="fr-FR"/>
        </w:rPr>
        <w:t xml:space="preserve"> </w:t>
      </w:r>
      <w:proofErr w:type="spellStart"/>
      <w:r w:rsidR="0006050D">
        <w:rPr>
          <w:spacing w:val="-2"/>
          <w:lang w:val="fr-FR"/>
        </w:rPr>
        <w:t>systems</w:t>
      </w:r>
      <w:proofErr w:type="spellEnd"/>
      <w:r w:rsidR="0006050D">
        <w:rPr>
          <w:spacing w:val="-2"/>
          <w:lang w:val="fr-FR"/>
        </w:rPr>
        <w:t xml:space="preserve"> </w:t>
      </w:r>
      <w:proofErr w:type="spellStart"/>
      <w:r w:rsidR="0006050D">
        <w:rPr>
          <w:spacing w:val="-2"/>
          <w:lang w:val="fr-FR"/>
        </w:rPr>
        <w:t>given</w:t>
      </w:r>
      <w:proofErr w:type="spellEnd"/>
      <w:r w:rsidR="0006050D">
        <w:rPr>
          <w:spacing w:val="-2"/>
          <w:lang w:val="fr-FR"/>
        </w:rPr>
        <w:t xml:space="preserve"> in </w:t>
      </w:r>
      <w:proofErr w:type="spellStart"/>
      <w:r w:rsidR="0006050D">
        <w:rPr>
          <w:spacing w:val="-2"/>
          <w:lang w:val="fr-FR"/>
        </w:rPr>
        <w:t>brackets</w:t>
      </w:r>
      <w:proofErr w:type="spellEnd"/>
      <w:r w:rsidR="0006050D">
        <w:rPr>
          <w:spacing w:val="-2"/>
          <w:lang w:val="fr-FR"/>
        </w:rPr>
        <w:t xml:space="preserve">; </w:t>
      </w:r>
      <w:r w:rsidR="00080692">
        <w:rPr>
          <w:lang w:val="en-CA"/>
        </w:rPr>
        <w:t>as no exact temperature is given, T = 294 K is assumed for room temperature</w:t>
      </w:r>
      <w:r w:rsidR="00D722D6">
        <w:rPr>
          <w:spacing w:val="-2"/>
          <w:lang w:val="fr-FR"/>
        </w:rPr>
        <w:t>.</w:t>
      </w:r>
    </w:p>
    <w:p w:rsidR="008F273E" w:rsidRDefault="008F273E" w:rsidP="008F273E">
      <w:pPr>
        <w:pStyle w:val="Listenabsatz"/>
        <w:rPr>
          <w:spacing w:val="-3"/>
          <w:lang w:val="en-US"/>
        </w:rPr>
      </w:pPr>
    </w:p>
    <w:p w:rsidR="00090C16" w:rsidRPr="00EA0E70" w:rsidRDefault="00486952" w:rsidP="00486952">
      <w:pPr>
        <w:numPr>
          <w:ilvl w:val="0"/>
          <w:numId w:val="7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2"/>
          <w:lang w:val="en-US"/>
        </w:rPr>
      </w:pPr>
      <w:r>
        <w:rPr>
          <w:spacing w:val="-2"/>
          <w:lang w:val="en-CA"/>
        </w:rPr>
        <w:t xml:space="preserve">Reference reaction: </w:t>
      </w:r>
      <w:hyperlink r:id="rId12" w:tgtFrame="_blank" w:history="1">
        <w:r w:rsidR="0058404F">
          <w:rPr>
            <w:rStyle w:val="Hyperlink"/>
            <w:color w:val="auto"/>
            <w:u w:val="none"/>
            <w:lang w:val="en-CA"/>
          </w:rPr>
          <w:t>HO</w:t>
        </w:r>
      </w:hyperlink>
      <w:r w:rsidRPr="0030607B">
        <w:rPr>
          <w:lang w:val="en-CA"/>
        </w:rPr>
        <w:t xml:space="preserve"> + </w:t>
      </w:r>
      <w:r>
        <w:rPr>
          <w:lang w:val="en-CA"/>
        </w:rPr>
        <w:t>n-butanol</w:t>
      </w:r>
      <w:r w:rsidR="0058404F">
        <w:rPr>
          <w:lang w:val="en-CA"/>
        </w:rPr>
        <w:t xml:space="preserve"> with</w:t>
      </w:r>
      <w:r w:rsidR="0058404F" w:rsidRPr="0030607B">
        <w:rPr>
          <w:lang w:val="en-CA"/>
        </w:rPr>
        <w:t xml:space="preserve"> </w:t>
      </w:r>
      <w:r w:rsidRPr="0030607B">
        <w:rPr>
          <w:i/>
          <w:lang w:val="en-CA"/>
        </w:rPr>
        <w:t>k</w:t>
      </w:r>
      <w:r w:rsidR="0058404F" w:rsidRPr="0030607B">
        <w:rPr>
          <w:lang w:val="en-CA"/>
        </w:rPr>
        <w:t>(</w:t>
      </w:r>
      <w:hyperlink r:id="rId13" w:tgtFrame="_blank" w:history="1">
        <w:r w:rsidR="0058404F">
          <w:rPr>
            <w:rStyle w:val="Hyperlink"/>
            <w:color w:val="auto"/>
            <w:u w:val="none"/>
            <w:lang w:val="en-CA"/>
          </w:rPr>
          <w:t>HO</w:t>
        </w:r>
      </w:hyperlink>
      <w:r w:rsidRPr="0030607B">
        <w:rPr>
          <w:lang w:val="en-CA"/>
        </w:rPr>
        <w:t xml:space="preserve"> + </w:t>
      </w:r>
      <w:r>
        <w:rPr>
          <w:lang w:val="en-CA"/>
        </w:rPr>
        <w:t>n-butanol</w:t>
      </w:r>
      <w:r w:rsidR="0058404F" w:rsidRPr="0030607B">
        <w:rPr>
          <w:lang w:val="en-CA"/>
        </w:rPr>
        <w:t>)</w:t>
      </w:r>
      <w:r w:rsidR="0058404F">
        <w:rPr>
          <w:lang w:val="en-CA"/>
        </w:rPr>
        <w:t> </w:t>
      </w:r>
      <w:r w:rsidRPr="0030607B">
        <w:rPr>
          <w:lang w:val="en-CA"/>
        </w:rPr>
        <w:t>= 4.</w:t>
      </w:r>
      <w:r>
        <w:rPr>
          <w:lang w:val="en-CA"/>
        </w:rPr>
        <w:t>2</w:t>
      </w:r>
      <w:r w:rsidRPr="0030607B">
        <w:rPr>
          <w:spacing w:val="-2"/>
          <w:lang w:val="fr-FR"/>
        </w:rPr>
        <w:t xml:space="preserve"> </w:t>
      </w:r>
      <w:r w:rsidR="00773DD5">
        <w:rPr>
          <w:spacing w:val="-2"/>
          <w:lang w:val="fr-FR"/>
        </w:rPr>
        <w:t xml:space="preserve">× </w:t>
      </w:r>
      <w:r w:rsidRPr="0030607B">
        <w:rPr>
          <w:spacing w:val="-2"/>
          <w:lang w:val="fr-FR"/>
        </w:rPr>
        <w:t>10</w:t>
      </w:r>
      <w:r w:rsidRPr="0030607B">
        <w:rPr>
          <w:spacing w:val="-2"/>
          <w:vertAlign w:val="superscript"/>
          <w:lang w:val="fr-FR"/>
        </w:rPr>
        <w:t xml:space="preserve">9 </w:t>
      </w:r>
      <w:r w:rsidRPr="0030607B">
        <w:rPr>
          <w:spacing w:val="-2"/>
          <w:lang w:val="fr-FR"/>
        </w:rPr>
        <w:t>M</w:t>
      </w:r>
      <w:r w:rsidRPr="0030607B">
        <w:rPr>
          <w:spacing w:val="-2"/>
          <w:vertAlign w:val="superscript"/>
          <w:lang w:val="fr-FR"/>
        </w:rPr>
        <w:t>-1</w:t>
      </w:r>
      <w:r w:rsidRPr="0030607B">
        <w:rPr>
          <w:spacing w:val="-2"/>
          <w:lang w:val="fr-FR"/>
        </w:rPr>
        <w:t>s</w:t>
      </w:r>
      <w:r w:rsidRPr="0030607B">
        <w:rPr>
          <w:spacing w:val="-2"/>
          <w:vertAlign w:val="superscript"/>
          <w:lang w:val="fr-FR"/>
        </w:rPr>
        <w:t>-1</w:t>
      </w:r>
      <w:r w:rsidR="0058404F">
        <w:rPr>
          <w:spacing w:val="-3"/>
          <w:lang w:val="en-US"/>
        </w:rPr>
        <w:t xml:space="preserve"> (</w:t>
      </w:r>
      <w:r>
        <w:rPr>
          <w:spacing w:val="-3"/>
          <w:lang w:val="en-US"/>
        </w:rPr>
        <w:t>Buxton et al.</w:t>
      </w:r>
      <w:r w:rsidR="0058404F">
        <w:rPr>
          <w:spacing w:val="-3"/>
          <w:lang w:val="en-US"/>
        </w:rPr>
        <w:t>,</w:t>
      </w:r>
      <w:r>
        <w:rPr>
          <w:spacing w:val="-3"/>
          <w:lang w:val="en-US"/>
        </w:rPr>
        <w:t xml:space="preserve"> 1988</w:t>
      </w:r>
      <w:r w:rsidR="0006050D">
        <w:rPr>
          <w:spacing w:val="-3"/>
          <w:lang w:val="en-US"/>
        </w:rPr>
        <w:t xml:space="preserve">; the rate coefficient has been recalculated using </w:t>
      </w:r>
      <w:r w:rsidR="0096621A">
        <w:rPr>
          <w:spacing w:val="-3"/>
          <w:lang w:val="en-US"/>
        </w:rPr>
        <w:t xml:space="preserve">the </w:t>
      </w:r>
      <w:proofErr w:type="spellStart"/>
      <w:r w:rsidR="0096621A">
        <w:rPr>
          <w:spacing w:val="-3"/>
          <w:lang w:val="en-US"/>
        </w:rPr>
        <w:t>recommened</w:t>
      </w:r>
      <w:proofErr w:type="spellEnd"/>
      <w:r w:rsidR="0006050D">
        <w:rPr>
          <w:spacing w:val="-3"/>
          <w:lang w:val="en-US"/>
        </w:rPr>
        <w:t xml:space="preserve"> value for the reference reaction </w:t>
      </w:r>
      <w:r w:rsidR="0096621A">
        <w:rPr>
          <w:spacing w:val="-3"/>
          <w:lang w:val="en-US"/>
        </w:rPr>
        <w:t xml:space="preserve">of </w:t>
      </w:r>
      <w:r w:rsidR="0006050D">
        <w:rPr>
          <w:spacing w:val="-3"/>
          <w:lang w:val="en-US"/>
        </w:rPr>
        <w:t>4.3</w:t>
      </w:r>
      <w:r w:rsidR="0006050D" w:rsidRPr="0030607B">
        <w:rPr>
          <w:spacing w:val="-2"/>
          <w:lang w:val="fr-FR"/>
        </w:rPr>
        <w:t xml:space="preserve"> </w:t>
      </w:r>
      <w:r w:rsidR="0006050D">
        <w:rPr>
          <w:spacing w:val="-2"/>
          <w:lang w:val="fr-FR"/>
        </w:rPr>
        <w:t xml:space="preserve">× </w:t>
      </w:r>
      <w:r w:rsidR="0006050D" w:rsidRPr="0030607B">
        <w:rPr>
          <w:spacing w:val="-2"/>
          <w:lang w:val="fr-FR"/>
        </w:rPr>
        <w:t>10</w:t>
      </w:r>
      <w:r w:rsidR="0006050D" w:rsidRPr="0030607B">
        <w:rPr>
          <w:spacing w:val="-2"/>
          <w:vertAlign w:val="superscript"/>
          <w:lang w:val="fr-FR"/>
        </w:rPr>
        <w:t xml:space="preserve">9 </w:t>
      </w:r>
      <w:r w:rsidR="0006050D" w:rsidRPr="0030607B">
        <w:rPr>
          <w:spacing w:val="-2"/>
          <w:lang w:val="fr-FR"/>
        </w:rPr>
        <w:t>M</w:t>
      </w:r>
      <w:r w:rsidR="0006050D" w:rsidRPr="0030607B">
        <w:rPr>
          <w:spacing w:val="-2"/>
          <w:vertAlign w:val="superscript"/>
          <w:lang w:val="fr-FR"/>
        </w:rPr>
        <w:t>-1</w:t>
      </w:r>
      <w:r w:rsidR="0006050D" w:rsidRPr="0030607B">
        <w:rPr>
          <w:spacing w:val="-2"/>
          <w:lang w:val="fr-FR"/>
        </w:rPr>
        <w:t>s</w:t>
      </w:r>
      <w:r w:rsidR="0006050D" w:rsidRPr="0030607B">
        <w:rPr>
          <w:spacing w:val="-2"/>
          <w:vertAlign w:val="superscript"/>
          <w:lang w:val="fr-FR"/>
        </w:rPr>
        <w:t>-1</w:t>
      </w:r>
      <w:r>
        <w:rPr>
          <w:spacing w:val="-3"/>
          <w:lang w:val="en-US"/>
        </w:rPr>
        <w:t>.</w:t>
      </w:r>
      <w:r w:rsidRPr="00EA0E70">
        <w:rPr>
          <w:spacing w:val="-2"/>
          <w:lang w:val="en-US"/>
        </w:rPr>
        <w:t xml:space="preserve"> </w:t>
      </w:r>
    </w:p>
    <w:p w:rsidR="004C3213" w:rsidRDefault="004C3213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773DD5" w:rsidRPr="00E4776A" w:rsidRDefault="00773DD5" w:rsidP="00773DD5">
      <w:pPr>
        <w:keepNext/>
        <w:keepLines/>
        <w:widowControl w:val="0"/>
        <w:tabs>
          <w:tab w:val="center" w:pos="4680"/>
        </w:tabs>
        <w:jc w:val="center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  <w:r w:rsidRPr="00E4776A">
        <w:rPr>
          <w:rFonts w:ascii="Times New Roman" w:eastAsia="Symbol" w:hAnsi="Times New Roman" w:cs="Times New Roman"/>
          <w:b/>
          <w:color w:val="000000"/>
          <w:lang w:eastAsia="de-DE"/>
        </w:rPr>
        <w:t>Preferred Values</w:t>
      </w:r>
    </w:p>
    <w:p w:rsidR="00773DD5" w:rsidRPr="00E4776A" w:rsidRDefault="00773DD5" w:rsidP="00773DD5">
      <w:pPr>
        <w:widowControl w:val="0"/>
        <w:rPr>
          <w:rFonts w:ascii="Times New Roman" w:eastAsia="Symbol" w:hAnsi="Times New Roman" w:cs="Times New Roman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773DD5" w:rsidRPr="00E4776A" w:rsidTr="00753C67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E4776A">
              <w:rPr>
                <w:rFonts w:ascii="Times New Roman" w:eastAsia="Symbol" w:hAnsi="Times New Roman" w:cs="Times New Roman"/>
                <w:b/>
                <w:i/>
                <w:color w:val="000000"/>
                <w:lang w:eastAsia="de-DE"/>
              </w:rPr>
              <w:t>T</w:t>
            </w:r>
            <w:r w:rsidRPr="00E4776A">
              <w:rPr>
                <w:rFonts w:ascii="Times New Roman" w:eastAsia="Symbol" w:hAnsi="Times New Roman" w:cs="Times New Roman"/>
                <w:b/>
                <w:color w:val="000000"/>
                <w:lang w:eastAsia="de-DE"/>
              </w:rPr>
              <w:t>/K</w:t>
            </w:r>
          </w:p>
        </w:tc>
      </w:tr>
      <w:tr w:rsidR="00773DD5" w:rsidRPr="00E4776A" w:rsidTr="00753C67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73DD5" w:rsidRPr="00E4776A" w:rsidTr="00753C67">
        <w:tc>
          <w:tcPr>
            <w:tcW w:w="3348" w:type="dxa"/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/L mol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773DD5" w:rsidRPr="00E4776A" w:rsidRDefault="00802843" w:rsidP="00881368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rPr>
                <w:spacing w:val="-2"/>
                <w:lang w:val="en-CA"/>
              </w:rPr>
              <w:t>4.7</w:t>
            </w:r>
            <w:r w:rsidR="0054677D">
              <w:rPr>
                <w:spacing w:val="-2"/>
                <w:lang w:val="en-CA"/>
              </w:rPr>
              <w:t xml:space="preserve"> </w:t>
            </w:r>
            <w:r w:rsidR="0054677D" w:rsidRPr="00617392">
              <w:rPr>
                <w:spacing w:val="-3"/>
                <w:lang w:val="en-US"/>
              </w:rPr>
              <w:sym w:font="Symbol" w:char="F0B4"/>
            </w:r>
            <w:r w:rsidR="0054677D" w:rsidRPr="00617392">
              <w:rPr>
                <w:spacing w:val="-2"/>
                <w:lang w:val="en-US"/>
              </w:rPr>
              <w:t xml:space="preserve"> 10</w:t>
            </w:r>
            <w:r w:rsidR="0054677D" w:rsidRPr="00617392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773DD5" w:rsidRPr="00E4776A" w:rsidRDefault="00802843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773DD5" w:rsidRPr="00E4776A" w:rsidTr="00753C67">
        <w:tc>
          <w:tcPr>
            <w:tcW w:w="3348" w:type="dxa"/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773DD5" w:rsidRPr="00E4776A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</w:tr>
    </w:tbl>
    <w:p w:rsidR="00773DD5" w:rsidRPr="00E4776A" w:rsidRDefault="00773DD5" w:rsidP="00773DD5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773DD5" w:rsidRPr="00084B01" w:rsidRDefault="00773DD5" w:rsidP="00773DD5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Cs w:val="20"/>
          <w:lang w:eastAsia="de-DE"/>
        </w:rPr>
      </w:pPr>
      <w:r w:rsidRPr="00084B01">
        <w:rPr>
          <w:rFonts w:ascii="Times New Roman" w:eastAsia="Symbol" w:hAnsi="Times New Roman" w:cs="Times New Roman"/>
          <w:i/>
          <w:color w:val="000000"/>
          <w:szCs w:val="20"/>
          <w:lang w:eastAsia="de-DE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35"/>
        <w:gridCol w:w="3793"/>
        <w:gridCol w:w="2175"/>
      </w:tblGrid>
      <w:tr w:rsidR="00773DD5" w:rsidRPr="001E4BBC" w:rsidTr="00753C67">
        <w:tc>
          <w:tcPr>
            <w:tcW w:w="3335" w:type="dxa"/>
            <w:shd w:val="clear" w:color="auto" w:fill="auto"/>
          </w:tcPr>
          <w:p w:rsidR="00773DD5" w:rsidRPr="001E4BBC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 w:rsidRPr="001E4BBC">
              <w:rPr>
                <w:rFonts w:eastAsia="Symbol"/>
                <w:color w:val="000000"/>
                <w:lang w:eastAsia="de-DE"/>
              </w:rPr>
              <w:t>Δ log</w:t>
            </w:r>
            <w:r w:rsidRPr="001E4BBC">
              <w:rPr>
                <w:rFonts w:eastAsia="Symbol"/>
                <w:i/>
                <w:color w:val="000000"/>
                <w:lang w:eastAsia="de-DE"/>
              </w:rPr>
              <w:t xml:space="preserve"> k</w:t>
            </w:r>
          </w:p>
        </w:tc>
        <w:tc>
          <w:tcPr>
            <w:tcW w:w="3793" w:type="dxa"/>
            <w:shd w:val="clear" w:color="auto" w:fill="auto"/>
          </w:tcPr>
          <w:p w:rsidR="00773DD5" w:rsidRPr="001E4BBC" w:rsidRDefault="00724046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  <w:r>
              <w:t>± 0.06</w:t>
            </w:r>
          </w:p>
        </w:tc>
        <w:tc>
          <w:tcPr>
            <w:tcW w:w="2175" w:type="dxa"/>
            <w:shd w:val="clear" w:color="auto" w:fill="auto"/>
          </w:tcPr>
          <w:p w:rsidR="00773DD5" w:rsidRPr="001E4BBC" w:rsidRDefault="00802843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  <w:r>
              <w:t>294</w:t>
            </w:r>
          </w:p>
        </w:tc>
      </w:tr>
      <w:tr w:rsidR="00773DD5" w:rsidRPr="001E4BBC" w:rsidTr="00753C67">
        <w:tc>
          <w:tcPr>
            <w:tcW w:w="3335" w:type="dxa"/>
            <w:shd w:val="clear" w:color="auto" w:fill="auto"/>
          </w:tcPr>
          <w:p w:rsidR="00773DD5" w:rsidRPr="001E4BBC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</w:pPr>
          </w:p>
        </w:tc>
        <w:tc>
          <w:tcPr>
            <w:tcW w:w="3793" w:type="dxa"/>
            <w:shd w:val="clear" w:color="auto" w:fill="auto"/>
          </w:tcPr>
          <w:p w:rsidR="00773DD5" w:rsidRPr="001E4BBC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</w:pPr>
          </w:p>
        </w:tc>
        <w:tc>
          <w:tcPr>
            <w:tcW w:w="2175" w:type="dxa"/>
            <w:shd w:val="clear" w:color="auto" w:fill="auto"/>
          </w:tcPr>
          <w:p w:rsidR="00773DD5" w:rsidRPr="001E4BBC" w:rsidRDefault="00773DD5" w:rsidP="00753C67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lang w:eastAsia="de-DE"/>
              </w:rPr>
            </w:pPr>
          </w:p>
        </w:tc>
      </w:tr>
    </w:tbl>
    <w:p w:rsidR="00773DD5" w:rsidRPr="001E4BBC" w:rsidRDefault="00773DD5" w:rsidP="00773DD5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lang w:eastAsia="de-DE"/>
        </w:rPr>
      </w:pPr>
    </w:p>
    <w:p w:rsidR="00773DD5" w:rsidRDefault="00773DD5" w:rsidP="00773DD5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i/>
          <w:color w:val="000000"/>
          <w:lang w:eastAsia="de-DE"/>
        </w:rPr>
      </w:pPr>
      <w:r w:rsidRPr="00E4776A">
        <w:rPr>
          <w:rFonts w:ascii="Times New Roman" w:eastAsia="Symbol" w:hAnsi="Times New Roman" w:cs="Times New Roman"/>
          <w:i/>
          <w:color w:val="000000"/>
          <w:lang w:eastAsia="de-DE"/>
        </w:rPr>
        <w:t>Comments on Preferred Values</w:t>
      </w:r>
    </w:p>
    <w:p w:rsidR="00881368" w:rsidRPr="00E4776A" w:rsidRDefault="00881368" w:rsidP="00773DD5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eastAsia="Symbol" w:hAnsi="Times New Roman" w:cs="Times New Roman"/>
          <w:color w:val="000000"/>
          <w:sz w:val="20"/>
          <w:szCs w:val="20"/>
          <w:lang w:eastAsia="de-DE"/>
        </w:rPr>
      </w:pPr>
    </w:p>
    <w:p w:rsidR="00773DD5" w:rsidRPr="00802843" w:rsidRDefault="0054677D" w:rsidP="0054677D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 xml:space="preserve">The one most recent re-determination indicates that the rate </w:t>
      </w:r>
      <w:r w:rsidR="00080692">
        <w:rPr>
          <w:spacing w:val="-3"/>
          <w:lang w:val="en-US"/>
        </w:rPr>
        <w:t>coefficient</w:t>
      </w:r>
      <w:r>
        <w:rPr>
          <w:spacing w:val="-3"/>
          <w:lang w:val="en-US"/>
        </w:rPr>
        <w:t xml:space="preserve"> might be somewhat higher than the value </w:t>
      </w:r>
      <w:r w:rsidR="00802843">
        <w:rPr>
          <w:spacing w:val="-3"/>
          <w:lang w:val="en-US"/>
        </w:rPr>
        <w:t xml:space="preserve">of </w:t>
      </w:r>
      <w:r w:rsidR="00802843">
        <w:rPr>
          <w:lang w:val="en-CA"/>
        </w:rPr>
        <w:t>3.9</w:t>
      </w:r>
      <w:r w:rsidR="00802843" w:rsidRPr="0030607B">
        <w:rPr>
          <w:spacing w:val="-2"/>
          <w:lang w:val="fr-FR"/>
        </w:rPr>
        <w:t xml:space="preserve"> </w:t>
      </w:r>
      <w:r w:rsidR="00802843">
        <w:rPr>
          <w:spacing w:val="-2"/>
          <w:lang w:val="fr-FR"/>
        </w:rPr>
        <w:t xml:space="preserve">× </w:t>
      </w:r>
      <w:r w:rsidR="00802843" w:rsidRPr="0030607B">
        <w:rPr>
          <w:spacing w:val="-2"/>
          <w:lang w:val="fr-FR"/>
        </w:rPr>
        <w:t>10</w:t>
      </w:r>
      <w:r w:rsidR="00802843" w:rsidRPr="0030607B">
        <w:rPr>
          <w:spacing w:val="-2"/>
          <w:vertAlign w:val="superscript"/>
          <w:lang w:val="fr-FR"/>
        </w:rPr>
        <w:t xml:space="preserve">9 </w:t>
      </w:r>
      <w:r w:rsidR="00802843" w:rsidRPr="0030607B">
        <w:rPr>
          <w:spacing w:val="-2"/>
          <w:lang w:val="fr-FR"/>
        </w:rPr>
        <w:t>M</w:t>
      </w:r>
      <w:r w:rsidR="00802843" w:rsidRPr="0030607B">
        <w:rPr>
          <w:spacing w:val="-2"/>
          <w:vertAlign w:val="superscript"/>
          <w:lang w:val="fr-FR"/>
        </w:rPr>
        <w:t>-1</w:t>
      </w:r>
      <w:r w:rsidR="00802843" w:rsidRPr="0030607B">
        <w:rPr>
          <w:spacing w:val="-2"/>
          <w:lang w:val="fr-FR"/>
        </w:rPr>
        <w:t>s</w:t>
      </w:r>
      <w:r w:rsidR="00802843" w:rsidRPr="0030607B">
        <w:rPr>
          <w:spacing w:val="-2"/>
          <w:vertAlign w:val="superscript"/>
          <w:lang w:val="fr-FR"/>
        </w:rPr>
        <w:t>-1</w:t>
      </w:r>
      <w:r w:rsidR="00802843">
        <w:rPr>
          <w:spacing w:val="-2"/>
          <w:lang w:val="fr-FR"/>
        </w:rPr>
        <w:t>,</w:t>
      </w:r>
      <w:r w:rsidR="00802843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 xml:space="preserve">recommended by Buxton et al. (1988). Hence, the average of </w:t>
      </w:r>
      <w:r w:rsidR="00802843">
        <w:rPr>
          <w:spacing w:val="-3"/>
          <w:lang w:val="en-US"/>
        </w:rPr>
        <w:t>all available recalculated rate coefficients</w:t>
      </w:r>
      <w:r>
        <w:rPr>
          <w:spacing w:val="-3"/>
          <w:lang w:val="en-US"/>
        </w:rPr>
        <w:t xml:space="preserve"> is recommended.</w:t>
      </w:r>
      <w:r w:rsidR="00724046">
        <w:rPr>
          <w:spacing w:val="-3"/>
          <w:lang w:val="en-US"/>
        </w:rPr>
        <w:t xml:space="preserve"> The recommen</w:t>
      </w:r>
      <w:r w:rsidR="001F030B">
        <w:rPr>
          <w:spacing w:val="-3"/>
          <w:lang w:val="en-US"/>
        </w:rPr>
        <w:t>d</w:t>
      </w:r>
      <w:r w:rsidR="00724046">
        <w:rPr>
          <w:spacing w:val="-3"/>
          <w:lang w:val="en-US"/>
        </w:rPr>
        <w:t xml:space="preserve">ed value </w:t>
      </w:r>
      <w:proofErr w:type="gramStart"/>
      <w:r w:rsidR="00724046">
        <w:rPr>
          <w:spacing w:val="-3"/>
          <w:lang w:val="en-US"/>
        </w:rPr>
        <w:t>is in agre</w:t>
      </w:r>
      <w:r w:rsidR="00D10042">
        <w:rPr>
          <w:spacing w:val="-3"/>
          <w:lang w:val="en-US"/>
        </w:rPr>
        <w:t>ement</w:t>
      </w:r>
      <w:proofErr w:type="gramEnd"/>
      <w:r w:rsidR="00D10042">
        <w:rPr>
          <w:spacing w:val="-3"/>
          <w:lang w:val="en-US"/>
        </w:rPr>
        <w:t xml:space="preserve"> with both Buxton et al. (</w:t>
      </w:r>
      <w:r w:rsidR="00724046">
        <w:rPr>
          <w:spacing w:val="-3"/>
          <w:lang w:val="en-US"/>
        </w:rPr>
        <w:t xml:space="preserve">1988) as well as </w:t>
      </w:r>
      <w:proofErr w:type="spellStart"/>
      <w:r w:rsidR="00724046">
        <w:rPr>
          <w:spacing w:val="-3"/>
          <w:lang w:val="en-US"/>
        </w:rPr>
        <w:t>Stemmler</w:t>
      </w:r>
      <w:proofErr w:type="spellEnd"/>
      <w:r w:rsidR="00724046">
        <w:rPr>
          <w:spacing w:val="-3"/>
          <w:lang w:val="en-US"/>
        </w:rPr>
        <w:t xml:space="preserve"> and von </w:t>
      </w:r>
      <w:proofErr w:type="spellStart"/>
      <w:r w:rsidR="00724046">
        <w:rPr>
          <w:spacing w:val="-3"/>
          <w:lang w:val="en-US"/>
        </w:rPr>
        <w:t>Gunten</w:t>
      </w:r>
      <w:proofErr w:type="spellEnd"/>
      <w:r w:rsidR="00724046">
        <w:rPr>
          <w:spacing w:val="-3"/>
          <w:lang w:val="en-US"/>
        </w:rPr>
        <w:t xml:space="preserve"> (2000) within its error limits.</w:t>
      </w:r>
      <w:r w:rsidR="00802843">
        <w:rPr>
          <w:spacing w:val="-3"/>
          <w:lang w:val="en-US"/>
        </w:rPr>
        <w:t xml:space="preserve"> The </w:t>
      </w:r>
      <w:proofErr w:type="spellStart"/>
      <w:r w:rsidR="00802843">
        <w:rPr>
          <w:spacing w:val="-3"/>
          <w:lang w:val="en-US"/>
        </w:rPr>
        <w:t>uncercainty</w:t>
      </w:r>
      <w:proofErr w:type="spellEnd"/>
      <w:r w:rsidR="00802843">
        <w:rPr>
          <w:spacing w:val="-3"/>
          <w:lang w:val="en-US"/>
        </w:rPr>
        <w:t xml:space="preserve"> is estimated to be ±15% or </w:t>
      </w:r>
      <w:r w:rsidR="00802843" w:rsidRPr="001E4BBC">
        <w:rPr>
          <w:rFonts w:eastAsia="Symbol"/>
          <w:color w:val="000000"/>
          <w:lang w:eastAsia="de-DE"/>
        </w:rPr>
        <w:t>Δ log</w:t>
      </w:r>
      <w:r w:rsidR="00802843" w:rsidRPr="001E4BBC">
        <w:rPr>
          <w:rFonts w:eastAsia="Symbol"/>
          <w:i/>
          <w:color w:val="000000"/>
          <w:lang w:eastAsia="de-DE"/>
        </w:rPr>
        <w:t xml:space="preserve"> k</w:t>
      </w:r>
      <w:r w:rsidR="00802843">
        <w:rPr>
          <w:rFonts w:eastAsia="Symbol"/>
          <w:color w:val="000000"/>
          <w:lang w:eastAsia="de-DE"/>
        </w:rPr>
        <w:t xml:space="preserve"> = </w:t>
      </w:r>
      <w:r w:rsidR="0056609E">
        <w:rPr>
          <w:rFonts w:eastAsia="Symbol"/>
          <w:color w:val="000000"/>
          <w:lang w:eastAsia="de-DE"/>
        </w:rPr>
        <w:t>±</w:t>
      </w:r>
      <w:r w:rsidR="00802843">
        <w:rPr>
          <w:rFonts w:eastAsia="Symbol"/>
          <w:color w:val="000000"/>
          <w:lang w:eastAsia="de-DE"/>
        </w:rPr>
        <w:t>0.06.</w:t>
      </w:r>
      <w:r w:rsidR="001F08EC">
        <w:rPr>
          <w:rFonts w:eastAsia="Symbol"/>
          <w:color w:val="000000"/>
          <w:lang w:eastAsia="de-DE"/>
        </w:rPr>
        <w:t xml:space="preserve"> It should be noted that this rate </w:t>
      </w:r>
      <w:r w:rsidR="00084B01">
        <w:rPr>
          <w:rFonts w:eastAsia="Symbol"/>
          <w:color w:val="000000"/>
          <w:lang w:eastAsia="de-DE"/>
        </w:rPr>
        <w:t>coefficient</w:t>
      </w:r>
      <w:r w:rsidR="001F08EC">
        <w:rPr>
          <w:rFonts w:eastAsia="Symbol"/>
          <w:color w:val="000000"/>
          <w:lang w:eastAsia="de-DE"/>
        </w:rPr>
        <w:t xml:space="preserve"> refers to room temperature, which </w:t>
      </w:r>
      <w:r w:rsidR="001F030B">
        <w:rPr>
          <w:rFonts w:eastAsia="Symbol"/>
          <w:color w:val="000000"/>
          <w:lang w:eastAsia="de-DE"/>
        </w:rPr>
        <w:t>is</w:t>
      </w:r>
      <w:r w:rsidR="0096621A">
        <w:rPr>
          <w:rFonts w:eastAsia="Symbol"/>
          <w:color w:val="000000"/>
          <w:lang w:eastAsia="de-DE"/>
        </w:rPr>
        <w:t xml:space="preserve"> estimate</w:t>
      </w:r>
      <w:r w:rsidR="001F030B">
        <w:rPr>
          <w:rFonts w:eastAsia="Symbol"/>
          <w:color w:val="000000"/>
          <w:lang w:eastAsia="de-DE"/>
        </w:rPr>
        <w:t>d</w:t>
      </w:r>
      <w:r w:rsidR="0096621A">
        <w:rPr>
          <w:rFonts w:eastAsia="Symbol"/>
          <w:color w:val="000000"/>
          <w:lang w:eastAsia="de-DE"/>
        </w:rPr>
        <w:t xml:space="preserve"> as T = 294 K.</w:t>
      </w:r>
    </w:p>
    <w:p w:rsidR="00773DD5" w:rsidRDefault="00773DD5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CF2CE5" w:rsidRPr="00EA0E70" w:rsidRDefault="00CF2CE5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US"/>
        </w:rPr>
      </w:pPr>
    </w:p>
    <w:p w:rsidR="00821651" w:rsidRPr="00EA0E70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US"/>
        </w:rPr>
      </w:pPr>
      <w:r w:rsidRPr="00EA0E70">
        <w:rPr>
          <w:b/>
          <w:spacing w:val="-3"/>
          <w:lang w:val="en-US"/>
        </w:rPr>
        <w:t>References</w:t>
      </w:r>
    </w:p>
    <w:p w:rsidR="00E84EC5" w:rsidRDefault="00E84EC5" w:rsidP="00E84E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lang w:val="en-US" w:eastAsia="en-CA"/>
        </w:rPr>
      </w:pPr>
    </w:p>
    <w:p w:rsidR="003D2105" w:rsidRDefault="003D2105" w:rsidP="003D210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CA" w:eastAsia="en-CA"/>
        </w:rPr>
      </w:pPr>
      <w:r w:rsidRPr="00DD379A">
        <w:rPr>
          <w:lang w:val="en-CA" w:eastAsia="en-CA"/>
        </w:rPr>
        <w:t xml:space="preserve">Anbar, M., </w:t>
      </w:r>
      <w:proofErr w:type="spellStart"/>
      <w:r w:rsidRPr="00DD379A">
        <w:rPr>
          <w:lang w:val="en-CA" w:eastAsia="en-CA"/>
        </w:rPr>
        <w:t>Meyerstein</w:t>
      </w:r>
      <w:proofErr w:type="spellEnd"/>
      <w:r w:rsidRPr="00DD379A">
        <w:rPr>
          <w:lang w:val="en-CA" w:eastAsia="en-CA"/>
        </w:rPr>
        <w:t xml:space="preserve">, D., and Neta, P.: </w:t>
      </w:r>
      <w:r w:rsidRPr="0062718F">
        <w:rPr>
          <w:rStyle w:val="Hervorhebung"/>
          <w:i w:val="0"/>
          <w:lang w:val="en-US"/>
        </w:rPr>
        <w:t>J</w:t>
      </w:r>
      <w:r w:rsidRPr="0062718F">
        <w:rPr>
          <w:rStyle w:val="st"/>
          <w:i/>
          <w:lang w:val="en-US"/>
        </w:rPr>
        <w:t xml:space="preserve">. </w:t>
      </w:r>
      <w:r w:rsidRPr="0062718F">
        <w:rPr>
          <w:rStyle w:val="Hervorhebung"/>
          <w:i w:val="0"/>
          <w:lang w:val="en-US"/>
        </w:rPr>
        <w:t>Chem. Soc</w:t>
      </w:r>
      <w:r w:rsidRPr="0062718F">
        <w:rPr>
          <w:rStyle w:val="st"/>
          <w:i/>
          <w:lang w:val="en-US"/>
        </w:rPr>
        <w:t xml:space="preserve">. </w:t>
      </w:r>
      <w:r w:rsidRPr="00DD379A">
        <w:rPr>
          <w:rStyle w:val="Hervorhebung"/>
          <w:i w:val="0"/>
        </w:rPr>
        <w:t>B</w:t>
      </w:r>
      <w:r w:rsidRPr="00DD379A">
        <w:rPr>
          <w:lang w:val="en-CA" w:eastAsia="en-CA"/>
        </w:rPr>
        <w:t>, 742-747, 1966.</w:t>
      </w:r>
    </w:p>
    <w:p w:rsidR="00486952" w:rsidRDefault="00486952" w:rsidP="003D210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CA" w:eastAsia="en-CA"/>
        </w:rPr>
      </w:pPr>
    </w:p>
    <w:p w:rsidR="00486952" w:rsidRPr="00486952" w:rsidRDefault="00486952" w:rsidP="003D210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 w:rsidRPr="00DD379A">
        <w:rPr>
          <w:lang w:val="en-CA"/>
        </w:rPr>
        <w:t xml:space="preserve">Buxton, G. V., </w:t>
      </w:r>
      <w:proofErr w:type="spellStart"/>
      <w:r w:rsidRPr="00DD379A">
        <w:rPr>
          <w:lang w:val="en-CA"/>
        </w:rPr>
        <w:t>Greenstock</w:t>
      </w:r>
      <w:proofErr w:type="spellEnd"/>
      <w:r w:rsidRPr="00DD379A">
        <w:rPr>
          <w:lang w:val="en-CA"/>
        </w:rPr>
        <w:t xml:space="preserve">, C. L., Helman, W. P., and Ross, A. B.: </w:t>
      </w:r>
      <w:r w:rsidRPr="0062718F">
        <w:rPr>
          <w:iCs/>
          <w:lang w:val="en-US"/>
        </w:rPr>
        <w:t xml:space="preserve">J. Phys. </w:t>
      </w:r>
      <w:r w:rsidRPr="00DD379A">
        <w:rPr>
          <w:iCs/>
        </w:rPr>
        <w:t>Chem Ref. Data</w:t>
      </w:r>
      <w:r w:rsidRPr="00DD379A">
        <w:t xml:space="preserve">, </w:t>
      </w:r>
      <w:r w:rsidRPr="00DD379A">
        <w:rPr>
          <w:iCs/>
        </w:rPr>
        <w:t>17</w:t>
      </w:r>
      <w:r w:rsidRPr="00DD379A">
        <w:t>(2), 513-886, 1988.</w:t>
      </w:r>
    </w:p>
    <w:p w:rsidR="003D2105" w:rsidRDefault="003D2105" w:rsidP="003D210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CA" w:eastAsia="en-CA"/>
        </w:rPr>
      </w:pPr>
    </w:p>
    <w:p w:rsidR="003D2105" w:rsidRDefault="003D2105" w:rsidP="003D2105">
      <w:proofErr w:type="spellStart"/>
      <w:r w:rsidRPr="0062718F">
        <w:rPr>
          <w:lang w:val="en-US"/>
        </w:rPr>
        <w:t>Reuvers</w:t>
      </w:r>
      <w:proofErr w:type="spellEnd"/>
      <w:r w:rsidRPr="0062718F">
        <w:rPr>
          <w:lang w:val="en-US"/>
        </w:rPr>
        <w:t>, A. P</w:t>
      </w:r>
      <w:r w:rsidR="00D10042">
        <w:rPr>
          <w:lang w:val="en-US"/>
        </w:rPr>
        <w:t xml:space="preserve">., </w:t>
      </w:r>
      <w:proofErr w:type="spellStart"/>
      <w:r w:rsidR="00D10042">
        <w:rPr>
          <w:lang w:val="en-US"/>
        </w:rPr>
        <w:t>Greenstock</w:t>
      </w:r>
      <w:proofErr w:type="spellEnd"/>
      <w:r w:rsidR="00D10042">
        <w:rPr>
          <w:lang w:val="en-US"/>
        </w:rPr>
        <w:t xml:space="preserve">, C. L., </w:t>
      </w:r>
      <w:proofErr w:type="spellStart"/>
      <w:r w:rsidR="00D10042">
        <w:rPr>
          <w:lang w:val="en-US"/>
        </w:rPr>
        <w:t>Borsa</w:t>
      </w:r>
      <w:proofErr w:type="spellEnd"/>
      <w:r w:rsidR="00D10042">
        <w:rPr>
          <w:lang w:val="en-US"/>
        </w:rPr>
        <w:t>, J.</w:t>
      </w:r>
      <w:r w:rsidRPr="0062718F">
        <w:rPr>
          <w:lang w:val="en-US"/>
        </w:rPr>
        <w:t xml:space="preserve"> and Chapman, J. D.: </w:t>
      </w:r>
      <w:r w:rsidRPr="0062718F">
        <w:rPr>
          <w:iCs/>
          <w:lang w:val="en-US"/>
        </w:rPr>
        <w:t xml:space="preserve">Int. J. Rad. </w:t>
      </w:r>
      <w:r w:rsidRPr="004D4E7E">
        <w:rPr>
          <w:iCs/>
        </w:rPr>
        <w:t>Biol.</w:t>
      </w:r>
      <w:r w:rsidRPr="004D4E7E">
        <w:t xml:space="preserve">, </w:t>
      </w:r>
      <w:r w:rsidRPr="004D4E7E">
        <w:rPr>
          <w:iCs/>
        </w:rPr>
        <w:t>24</w:t>
      </w:r>
      <w:r w:rsidRPr="004D4E7E">
        <w:t>(5), 533-536</w:t>
      </w:r>
      <w:r>
        <w:t>, 1973.</w:t>
      </w:r>
    </w:p>
    <w:p w:rsidR="003D2105" w:rsidRDefault="003D2105" w:rsidP="003D2105"/>
    <w:p w:rsidR="003D2105" w:rsidRDefault="003D2105" w:rsidP="003D2105">
      <w:pPr>
        <w:rPr>
          <w:lang w:val="en-CA" w:eastAsia="en-CA"/>
        </w:rPr>
      </w:pPr>
      <w:r w:rsidRPr="00DD379A">
        <w:rPr>
          <w:lang w:val="en-CA" w:eastAsia="en-CA"/>
        </w:rPr>
        <w:t xml:space="preserve">Scholes, G., and </w:t>
      </w:r>
      <w:proofErr w:type="spellStart"/>
      <w:r w:rsidRPr="00DD379A">
        <w:rPr>
          <w:lang w:val="en-CA" w:eastAsia="en-CA"/>
        </w:rPr>
        <w:t>Willson</w:t>
      </w:r>
      <w:proofErr w:type="spellEnd"/>
      <w:r w:rsidRPr="00DD379A">
        <w:rPr>
          <w:lang w:val="en-CA" w:eastAsia="en-CA"/>
        </w:rPr>
        <w:t xml:space="preserve">, R. L.: </w:t>
      </w:r>
      <w:r w:rsidRPr="00DD379A">
        <w:rPr>
          <w:iCs/>
        </w:rPr>
        <w:t>Trans. Far. Soc.</w:t>
      </w:r>
      <w:r w:rsidRPr="00DD379A">
        <w:rPr>
          <w:lang w:val="en-CA" w:eastAsia="en-CA"/>
        </w:rPr>
        <w:t xml:space="preserve">, </w:t>
      </w:r>
      <w:r w:rsidRPr="00DD379A">
        <w:rPr>
          <w:iCs/>
          <w:lang w:val="en-CA" w:eastAsia="en-CA"/>
        </w:rPr>
        <w:t>63</w:t>
      </w:r>
      <w:r w:rsidRPr="00DD379A">
        <w:rPr>
          <w:lang w:val="en-CA" w:eastAsia="en-CA"/>
        </w:rPr>
        <w:t>, 2983-2993, 1967.</w:t>
      </w:r>
    </w:p>
    <w:p w:rsidR="003D2105" w:rsidRPr="0030607B" w:rsidRDefault="003D2105" w:rsidP="003D2105"/>
    <w:p w:rsidR="00986D24" w:rsidRPr="001F030B" w:rsidRDefault="00986D24" w:rsidP="00986D24">
      <w:pPr>
        <w:rPr>
          <w:rFonts w:ascii="Times New Roman" w:hAnsi="Times New Roman" w:cs="Times New Roman"/>
          <w:lang w:val="en-US" w:eastAsia="ja-JP"/>
        </w:rPr>
      </w:pPr>
      <w:r w:rsidRPr="004C3B4E">
        <w:rPr>
          <w:rFonts w:ascii="Times New Roman" w:hAnsi="Times New Roman" w:cs="Times New Roman"/>
          <w:lang w:val="de-DE" w:eastAsia="ja-JP"/>
        </w:rPr>
        <w:t>Stemmler, K</w:t>
      </w:r>
      <w:r w:rsidR="00881368">
        <w:rPr>
          <w:rFonts w:ascii="Times New Roman" w:hAnsi="Times New Roman" w:cs="Times New Roman"/>
          <w:lang w:val="de-DE" w:eastAsia="ja-JP"/>
        </w:rPr>
        <w:t>.</w:t>
      </w:r>
      <w:r w:rsidRPr="004C3B4E">
        <w:rPr>
          <w:rFonts w:ascii="Times New Roman" w:hAnsi="Times New Roman" w:cs="Times New Roman"/>
          <w:lang w:val="de-DE" w:eastAsia="ja-JP"/>
        </w:rPr>
        <w:t xml:space="preserve"> </w:t>
      </w:r>
      <w:r w:rsidR="00881368">
        <w:rPr>
          <w:rFonts w:ascii="Times New Roman" w:hAnsi="Times New Roman" w:cs="Times New Roman"/>
          <w:lang w:val="de-DE" w:eastAsia="ja-JP"/>
        </w:rPr>
        <w:t>and</w:t>
      </w:r>
      <w:r w:rsidRPr="004C3B4E">
        <w:rPr>
          <w:rFonts w:ascii="Times New Roman" w:hAnsi="Times New Roman" w:cs="Times New Roman"/>
          <w:lang w:val="de-DE" w:eastAsia="ja-JP"/>
        </w:rPr>
        <w:t xml:space="preserve"> von Gunten</w:t>
      </w:r>
      <w:r w:rsidR="00881368">
        <w:rPr>
          <w:rFonts w:ascii="Times New Roman" w:hAnsi="Times New Roman" w:cs="Times New Roman"/>
          <w:lang w:val="de-DE" w:eastAsia="ja-JP"/>
        </w:rPr>
        <w:t>, U</w:t>
      </w:r>
      <w:r w:rsidRPr="004C3B4E">
        <w:rPr>
          <w:rFonts w:ascii="Times New Roman" w:hAnsi="Times New Roman" w:cs="Times New Roman"/>
          <w:lang w:val="de-DE" w:eastAsia="ja-JP"/>
        </w:rPr>
        <w:t xml:space="preserve">.: </w:t>
      </w:r>
      <w:r w:rsidRPr="004C3B4E">
        <w:rPr>
          <w:rFonts w:ascii="Times New Roman" w:hAnsi="Times New Roman" w:cs="Times New Roman"/>
          <w:iCs/>
          <w:lang w:val="de-DE" w:eastAsia="ja-JP"/>
        </w:rPr>
        <w:t xml:space="preserve">Atmos. </w:t>
      </w:r>
      <w:r w:rsidRPr="001F030B">
        <w:rPr>
          <w:rFonts w:ascii="Times New Roman" w:hAnsi="Times New Roman" w:cs="Times New Roman"/>
          <w:iCs/>
          <w:lang w:val="en-US" w:eastAsia="ja-JP"/>
        </w:rPr>
        <w:t>Enviro</w:t>
      </w:r>
      <w:r w:rsidR="00881368" w:rsidRPr="001F030B">
        <w:rPr>
          <w:rFonts w:ascii="Times New Roman" w:hAnsi="Times New Roman" w:cs="Times New Roman"/>
          <w:iCs/>
          <w:lang w:val="en-US" w:eastAsia="ja-JP"/>
        </w:rPr>
        <w:t>n</w:t>
      </w:r>
      <w:r w:rsidRPr="001F030B">
        <w:rPr>
          <w:rFonts w:ascii="Times New Roman" w:hAnsi="Times New Roman" w:cs="Times New Roman"/>
          <w:iCs/>
          <w:lang w:val="en-US" w:eastAsia="ja-JP"/>
        </w:rPr>
        <w:t>.</w:t>
      </w:r>
      <w:r w:rsidR="00881368" w:rsidRPr="001F030B">
        <w:rPr>
          <w:rFonts w:ascii="Times New Roman" w:hAnsi="Times New Roman" w:cs="Times New Roman"/>
          <w:iCs/>
          <w:lang w:val="en-US" w:eastAsia="ja-JP"/>
        </w:rPr>
        <w:t>,</w:t>
      </w:r>
      <w:r w:rsidRPr="001F030B">
        <w:rPr>
          <w:rFonts w:ascii="Times New Roman" w:hAnsi="Times New Roman" w:cs="Times New Roman"/>
          <w:lang w:val="en-US" w:eastAsia="ja-JP"/>
        </w:rPr>
        <w:t xml:space="preserve"> 34(25), 4241-4252, 2000.</w:t>
      </w:r>
    </w:p>
    <w:p w:rsidR="0058404F" w:rsidRDefault="0058404F" w:rsidP="0058404F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</w:p>
    <w:p w:rsidR="003D2105" w:rsidRPr="00171199" w:rsidRDefault="0058404F" w:rsidP="00171199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58404F">
        <w:rPr>
          <w:rFonts w:ascii="Times New Roman" w:hAnsi="Times New Roman" w:cs="Times New Roman"/>
          <w:color w:val="000000"/>
          <w:lang w:val="en-CA" w:eastAsia="en-CA"/>
        </w:rPr>
        <w:t xml:space="preserve">Zhu, L., </w:t>
      </w:r>
      <w:proofErr w:type="spellStart"/>
      <w:r w:rsidRPr="0058404F">
        <w:rPr>
          <w:rFonts w:ascii="Times New Roman" w:hAnsi="Times New Roman" w:cs="Times New Roman"/>
          <w:color w:val="000000"/>
          <w:lang w:val="en-CA" w:eastAsia="en-CA"/>
        </w:rPr>
        <w:t>Nicovich</w:t>
      </w:r>
      <w:proofErr w:type="spellEnd"/>
      <w:r w:rsidRPr="0058404F">
        <w:rPr>
          <w:rFonts w:ascii="Times New Roman" w:hAnsi="Times New Roman" w:cs="Times New Roman"/>
          <w:color w:val="000000"/>
          <w:lang w:val="en-CA" w:eastAsia="en-CA"/>
        </w:rPr>
        <w:t xml:space="preserve">, J. M. and Wine, P. H.: </w:t>
      </w:r>
      <w:proofErr w:type="spellStart"/>
      <w:r w:rsidRPr="0058404F">
        <w:rPr>
          <w:rFonts w:ascii="Times New Roman" w:hAnsi="Times New Roman" w:cs="Times New Roman"/>
          <w:color w:val="000000"/>
          <w:lang w:val="en-CA" w:eastAsia="en-CA"/>
        </w:rPr>
        <w:t>Aquat</w:t>
      </w:r>
      <w:proofErr w:type="spellEnd"/>
      <w:r w:rsidRPr="0058404F">
        <w:rPr>
          <w:rFonts w:ascii="Times New Roman" w:hAnsi="Times New Roman" w:cs="Times New Roman"/>
          <w:color w:val="000000"/>
          <w:lang w:val="en-CA" w:eastAsia="en-CA"/>
        </w:rPr>
        <w:t>. Sci., 65(4), 425-435, 2003.</w:t>
      </w:r>
    </w:p>
    <w:sectPr w:rsidR="003D2105" w:rsidRPr="00171199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4E34A13"/>
    <w:multiLevelType w:val="hybridMultilevel"/>
    <w:tmpl w:val="0BCE5D66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79B6"/>
    <w:multiLevelType w:val="hybridMultilevel"/>
    <w:tmpl w:val="29F4C096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81C"/>
    <w:rsid w:val="000100DA"/>
    <w:rsid w:val="000142D0"/>
    <w:rsid w:val="000226C3"/>
    <w:rsid w:val="0003201D"/>
    <w:rsid w:val="00037BE6"/>
    <w:rsid w:val="00053BFF"/>
    <w:rsid w:val="0006050D"/>
    <w:rsid w:val="000623D4"/>
    <w:rsid w:val="00063311"/>
    <w:rsid w:val="00064D18"/>
    <w:rsid w:val="000702C3"/>
    <w:rsid w:val="00070D0B"/>
    <w:rsid w:val="00077A3A"/>
    <w:rsid w:val="00080692"/>
    <w:rsid w:val="00081DF2"/>
    <w:rsid w:val="00084B01"/>
    <w:rsid w:val="000857CF"/>
    <w:rsid w:val="000872AC"/>
    <w:rsid w:val="000901B3"/>
    <w:rsid w:val="00090C16"/>
    <w:rsid w:val="000921DC"/>
    <w:rsid w:val="000977C2"/>
    <w:rsid w:val="000A162B"/>
    <w:rsid w:val="000A2FAF"/>
    <w:rsid w:val="000A50BC"/>
    <w:rsid w:val="000A71A1"/>
    <w:rsid w:val="000B0E26"/>
    <w:rsid w:val="000B106B"/>
    <w:rsid w:val="000C3CAA"/>
    <w:rsid w:val="000C7F9F"/>
    <w:rsid w:val="000D134F"/>
    <w:rsid w:val="000D37DF"/>
    <w:rsid w:val="000D65CF"/>
    <w:rsid w:val="000D78B2"/>
    <w:rsid w:val="000E03DB"/>
    <w:rsid w:val="000E3328"/>
    <w:rsid w:val="000E362B"/>
    <w:rsid w:val="000E3FE8"/>
    <w:rsid w:val="00101645"/>
    <w:rsid w:val="00106A74"/>
    <w:rsid w:val="00112844"/>
    <w:rsid w:val="00116A2E"/>
    <w:rsid w:val="00120EED"/>
    <w:rsid w:val="00121AC9"/>
    <w:rsid w:val="001318D0"/>
    <w:rsid w:val="00133FEA"/>
    <w:rsid w:val="00145C54"/>
    <w:rsid w:val="00153BFD"/>
    <w:rsid w:val="00156C81"/>
    <w:rsid w:val="00156E91"/>
    <w:rsid w:val="001574B6"/>
    <w:rsid w:val="00157A3A"/>
    <w:rsid w:val="001637C3"/>
    <w:rsid w:val="0016481F"/>
    <w:rsid w:val="0016600A"/>
    <w:rsid w:val="00171199"/>
    <w:rsid w:val="00180B2A"/>
    <w:rsid w:val="0018490C"/>
    <w:rsid w:val="00192FCA"/>
    <w:rsid w:val="00193044"/>
    <w:rsid w:val="00195B6D"/>
    <w:rsid w:val="001970CF"/>
    <w:rsid w:val="001977C2"/>
    <w:rsid w:val="001A1912"/>
    <w:rsid w:val="001A436D"/>
    <w:rsid w:val="001B15AE"/>
    <w:rsid w:val="001B27BC"/>
    <w:rsid w:val="001D0BD2"/>
    <w:rsid w:val="001D6CBA"/>
    <w:rsid w:val="001E1C70"/>
    <w:rsid w:val="001E4276"/>
    <w:rsid w:val="001E4685"/>
    <w:rsid w:val="001F030B"/>
    <w:rsid w:val="001F08EC"/>
    <w:rsid w:val="001F4EB5"/>
    <w:rsid w:val="0020061C"/>
    <w:rsid w:val="002103C5"/>
    <w:rsid w:val="00213E99"/>
    <w:rsid w:val="00220DDF"/>
    <w:rsid w:val="0022452F"/>
    <w:rsid w:val="00241F5A"/>
    <w:rsid w:val="00247164"/>
    <w:rsid w:val="00263497"/>
    <w:rsid w:val="002837BB"/>
    <w:rsid w:val="00284421"/>
    <w:rsid w:val="002862D6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C19C0"/>
    <w:rsid w:val="002C4669"/>
    <w:rsid w:val="002C61F5"/>
    <w:rsid w:val="002C7E9C"/>
    <w:rsid w:val="002D191B"/>
    <w:rsid w:val="002F613F"/>
    <w:rsid w:val="0030119A"/>
    <w:rsid w:val="00303330"/>
    <w:rsid w:val="00304CDC"/>
    <w:rsid w:val="00310001"/>
    <w:rsid w:val="003263B4"/>
    <w:rsid w:val="00335528"/>
    <w:rsid w:val="003364AA"/>
    <w:rsid w:val="0034377D"/>
    <w:rsid w:val="003515B2"/>
    <w:rsid w:val="003570CC"/>
    <w:rsid w:val="003610F8"/>
    <w:rsid w:val="0036323E"/>
    <w:rsid w:val="00375BB3"/>
    <w:rsid w:val="003767EB"/>
    <w:rsid w:val="00390D27"/>
    <w:rsid w:val="003A2660"/>
    <w:rsid w:val="003A4D7F"/>
    <w:rsid w:val="003A509D"/>
    <w:rsid w:val="003A5A2D"/>
    <w:rsid w:val="003A71F8"/>
    <w:rsid w:val="003B3459"/>
    <w:rsid w:val="003B37E9"/>
    <w:rsid w:val="003B72AC"/>
    <w:rsid w:val="003C39C1"/>
    <w:rsid w:val="003D1543"/>
    <w:rsid w:val="003D1B38"/>
    <w:rsid w:val="003D2105"/>
    <w:rsid w:val="003F1CCB"/>
    <w:rsid w:val="00405C36"/>
    <w:rsid w:val="00405E8B"/>
    <w:rsid w:val="00410929"/>
    <w:rsid w:val="004117FE"/>
    <w:rsid w:val="004123DB"/>
    <w:rsid w:val="004137F2"/>
    <w:rsid w:val="00420BAC"/>
    <w:rsid w:val="0042295A"/>
    <w:rsid w:val="00422D77"/>
    <w:rsid w:val="00435E98"/>
    <w:rsid w:val="00443315"/>
    <w:rsid w:val="00443E37"/>
    <w:rsid w:val="004450AB"/>
    <w:rsid w:val="00447665"/>
    <w:rsid w:val="004513F5"/>
    <w:rsid w:val="00462B5C"/>
    <w:rsid w:val="00484C52"/>
    <w:rsid w:val="00486952"/>
    <w:rsid w:val="00490A45"/>
    <w:rsid w:val="004943A3"/>
    <w:rsid w:val="004A407F"/>
    <w:rsid w:val="004A7BA6"/>
    <w:rsid w:val="004B1482"/>
    <w:rsid w:val="004C0DA4"/>
    <w:rsid w:val="004C3213"/>
    <w:rsid w:val="004C3B4E"/>
    <w:rsid w:val="004C4D3E"/>
    <w:rsid w:val="004C6446"/>
    <w:rsid w:val="004D4C23"/>
    <w:rsid w:val="004D522C"/>
    <w:rsid w:val="004E7108"/>
    <w:rsid w:val="004F0504"/>
    <w:rsid w:val="004F7104"/>
    <w:rsid w:val="00501D48"/>
    <w:rsid w:val="00502F51"/>
    <w:rsid w:val="0050461B"/>
    <w:rsid w:val="00505161"/>
    <w:rsid w:val="00506140"/>
    <w:rsid w:val="00506B50"/>
    <w:rsid w:val="00513019"/>
    <w:rsid w:val="00515086"/>
    <w:rsid w:val="0052608B"/>
    <w:rsid w:val="005424C6"/>
    <w:rsid w:val="0054677D"/>
    <w:rsid w:val="0055386A"/>
    <w:rsid w:val="00553F6B"/>
    <w:rsid w:val="00560013"/>
    <w:rsid w:val="00565A6E"/>
    <w:rsid w:val="0056609E"/>
    <w:rsid w:val="00575F98"/>
    <w:rsid w:val="0057662D"/>
    <w:rsid w:val="0058404F"/>
    <w:rsid w:val="005A08E2"/>
    <w:rsid w:val="005A147C"/>
    <w:rsid w:val="005A22EA"/>
    <w:rsid w:val="005A3363"/>
    <w:rsid w:val="005A3C28"/>
    <w:rsid w:val="005A7E5C"/>
    <w:rsid w:val="005B3754"/>
    <w:rsid w:val="005B54D1"/>
    <w:rsid w:val="005B6EB1"/>
    <w:rsid w:val="005C3B60"/>
    <w:rsid w:val="005C5E6F"/>
    <w:rsid w:val="005C6012"/>
    <w:rsid w:val="005D3415"/>
    <w:rsid w:val="005D731B"/>
    <w:rsid w:val="005E1A5E"/>
    <w:rsid w:val="005E518D"/>
    <w:rsid w:val="005F346A"/>
    <w:rsid w:val="00600610"/>
    <w:rsid w:val="00613C73"/>
    <w:rsid w:val="00615583"/>
    <w:rsid w:val="00617392"/>
    <w:rsid w:val="0062742A"/>
    <w:rsid w:val="00636A12"/>
    <w:rsid w:val="0063704E"/>
    <w:rsid w:val="00643802"/>
    <w:rsid w:val="00644AB4"/>
    <w:rsid w:val="00646282"/>
    <w:rsid w:val="00647D73"/>
    <w:rsid w:val="00663250"/>
    <w:rsid w:val="00670889"/>
    <w:rsid w:val="00675054"/>
    <w:rsid w:val="00675160"/>
    <w:rsid w:val="00680FBD"/>
    <w:rsid w:val="00683F35"/>
    <w:rsid w:val="006A1A56"/>
    <w:rsid w:val="006A6692"/>
    <w:rsid w:val="006A6CB7"/>
    <w:rsid w:val="006B2DDA"/>
    <w:rsid w:val="006B40EF"/>
    <w:rsid w:val="006B743A"/>
    <w:rsid w:val="006D2807"/>
    <w:rsid w:val="006D5DBD"/>
    <w:rsid w:val="006E5B7D"/>
    <w:rsid w:val="00701B76"/>
    <w:rsid w:val="00702C8F"/>
    <w:rsid w:val="00703732"/>
    <w:rsid w:val="007064B6"/>
    <w:rsid w:val="00710305"/>
    <w:rsid w:val="0071171C"/>
    <w:rsid w:val="0071369E"/>
    <w:rsid w:val="00716396"/>
    <w:rsid w:val="00721569"/>
    <w:rsid w:val="00721AC4"/>
    <w:rsid w:val="00724046"/>
    <w:rsid w:val="00731A69"/>
    <w:rsid w:val="00731D88"/>
    <w:rsid w:val="007440D3"/>
    <w:rsid w:val="007468AA"/>
    <w:rsid w:val="00751CEC"/>
    <w:rsid w:val="00753C67"/>
    <w:rsid w:val="00762860"/>
    <w:rsid w:val="00772A92"/>
    <w:rsid w:val="00773DD5"/>
    <w:rsid w:val="00776BA1"/>
    <w:rsid w:val="00777324"/>
    <w:rsid w:val="00784793"/>
    <w:rsid w:val="00790A52"/>
    <w:rsid w:val="00792C2B"/>
    <w:rsid w:val="0079362F"/>
    <w:rsid w:val="00795528"/>
    <w:rsid w:val="007A2D7C"/>
    <w:rsid w:val="007A3298"/>
    <w:rsid w:val="007B0E88"/>
    <w:rsid w:val="007B3798"/>
    <w:rsid w:val="007B7EAA"/>
    <w:rsid w:val="007C0F73"/>
    <w:rsid w:val="007E5705"/>
    <w:rsid w:val="007E57D2"/>
    <w:rsid w:val="007E7B8E"/>
    <w:rsid w:val="007F017D"/>
    <w:rsid w:val="007F0BDE"/>
    <w:rsid w:val="007F2D3C"/>
    <w:rsid w:val="007F2DF3"/>
    <w:rsid w:val="007F37D6"/>
    <w:rsid w:val="00802843"/>
    <w:rsid w:val="00804D60"/>
    <w:rsid w:val="008061CF"/>
    <w:rsid w:val="00807009"/>
    <w:rsid w:val="00807282"/>
    <w:rsid w:val="00812AA1"/>
    <w:rsid w:val="00816FDF"/>
    <w:rsid w:val="00821651"/>
    <w:rsid w:val="0082456F"/>
    <w:rsid w:val="008344BF"/>
    <w:rsid w:val="0083653B"/>
    <w:rsid w:val="00850336"/>
    <w:rsid w:val="0085160E"/>
    <w:rsid w:val="00853D83"/>
    <w:rsid w:val="008549FA"/>
    <w:rsid w:val="00855918"/>
    <w:rsid w:val="008559B0"/>
    <w:rsid w:val="00857F76"/>
    <w:rsid w:val="00860B72"/>
    <w:rsid w:val="0086602C"/>
    <w:rsid w:val="0087005D"/>
    <w:rsid w:val="008727AD"/>
    <w:rsid w:val="0088073C"/>
    <w:rsid w:val="00880F4E"/>
    <w:rsid w:val="00881368"/>
    <w:rsid w:val="00881D55"/>
    <w:rsid w:val="00884D99"/>
    <w:rsid w:val="00886402"/>
    <w:rsid w:val="00887539"/>
    <w:rsid w:val="0089650F"/>
    <w:rsid w:val="008A4EE3"/>
    <w:rsid w:val="008A733A"/>
    <w:rsid w:val="008B03C4"/>
    <w:rsid w:val="008C202F"/>
    <w:rsid w:val="008C3846"/>
    <w:rsid w:val="008C4819"/>
    <w:rsid w:val="008D16B0"/>
    <w:rsid w:val="008D271F"/>
    <w:rsid w:val="008E1ECF"/>
    <w:rsid w:val="008F0755"/>
    <w:rsid w:val="008F273E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293D"/>
    <w:rsid w:val="009475A7"/>
    <w:rsid w:val="00955D52"/>
    <w:rsid w:val="00960E85"/>
    <w:rsid w:val="00962DA4"/>
    <w:rsid w:val="0096621A"/>
    <w:rsid w:val="00976D47"/>
    <w:rsid w:val="00977BF1"/>
    <w:rsid w:val="00984A37"/>
    <w:rsid w:val="00986A6F"/>
    <w:rsid w:val="00986D24"/>
    <w:rsid w:val="0099441C"/>
    <w:rsid w:val="00994D88"/>
    <w:rsid w:val="009A355B"/>
    <w:rsid w:val="009A6613"/>
    <w:rsid w:val="009A6867"/>
    <w:rsid w:val="009B21A3"/>
    <w:rsid w:val="009B2353"/>
    <w:rsid w:val="009B5ECD"/>
    <w:rsid w:val="009C0041"/>
    <w:rsid w:val="009C37A2"/>
    <w:rsid w:val="009C4BE5"/>
    <w:rsid w:val="009C785D"/>
    <w:rsid w:val="009D2B8F"/>
    <w:rsid w:val="009D3390"/>
    <w:rsid w:val="009D34D5"/>
    <w:rsid w:val="009E2AC2"/>
    <w:rsid w:val="009F405B"/>
    <w:rsid w:val="00A005C1"/>
    <w:rsid w:val="00A03653"/>
    <w:rsid w:val="00A0482D"/>
    <w:rsid w:val="00A11587"/>
    <w:rsid w:val="00A11857"/>
    <w:rsid w:val="00A17123"/>
    <w:rsid w:val="00A23BD8"/>
    <w:rsid w:val="00A25342"/>
    <w:rsid w:val="00A35C85"/>
    <w:rsid w:val="00A36C41"/>
    <w:rsid w:val="00A4614A"/>
    <w:rsid w:val="00A47C2F"/>
    <w:rsid w:val="00A528B3"/>
    <w:rsid w:val="00A57E5E"/>
    <w:rsid w:val="00A64DC8"/>
    <w:rsid w:val="00A74455"/>
    <w:rsid w:val="00A7500E"/>
    <w:rsid w:val="00A764BA"/>
    <w:rsid w:val="00A80284"/>
    <w:rsid w:val="00A806DE"/>
    <w:rsid w:val="00A8139F"/>
    <w:rsid w:val="00A840F2"/>
    <w:rsid w:val="00A90959"/>
    <w:rsid w:val="00AD0E6A"/>
    <w:rsid w:val="00AE289D"/>
    <w:rsid w:val="00AE5F37"/>
    <w:rsid w:val="00AF2E74"/>
    <w:rsid w:val="00AF43D2"/>
    <w:rsid w:val="00AF52EF"/>
    <w:rsid w:val="00AF6F0B"/>
    <w:rsid w:val="00B01FBD"/>
    <w:rsid w:val="00B12B55"/>
    <w:rsid w:val="00B135FD"/>
    <w:rsid w:val="00B229C1"/>
    <w:rsid w:val="00B36664"/>
    <w:rsid w:val="00B370DD"/>
    <w:rsid w:val="00B37FC6"/>
    <w:rsid w:val="00B52179"/>
    <w:rsid w:val="00B525A0"/>
    <w:rsid w:val="00B52658"/>
    <w:rsid w:val="00B61525"/>
    <w:rsid w:val="00B66047"/>
    <w:rsid w:val="00B73CCE"/>
    <w:rsid w:val="00B7778C"/>
    <w:rsid w:val="00B84B46"/>
    <w:rsid w:val="00B87E18"/>
    <w:rsid w:val="00B95A51"/>
    <w:rsid w:val="00B97460"/>
    <w:rsid w:val="00BA71C5"/>
    <w:rsid w:val="00BB3581"/>
    <w:rsid w:val="00BB7807"/>
    <w:rsid w:val="00BB7992"/>
    <w:rsid w:val="00BC090F"/>
    <w:rsid w:val="00BC167C"/>
    <w:rsid w:val="00BC55A5"/>
    <w:rsid w:val="00BD22BD"/>
    <w:rsid w:val="00BD2606"/>
    <w:rsid w:val="00BE50FB"/>
    <w:rsid w:val="00BE7CC8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1983"/>
    <w:rsid w:val="00C52F78"/>
    <w:rsid w:val="00C568C5"/>
    <w:rsid w:val="00C57B22"/>
    <w:rsid w:val="00C60D61"/>
    <w:rsid w:val="00C648E1"/>
    <w:rsid w:val="00C67934"/>
    <w:rsid w:val="00C70E23"/>
    <w:rsid w:val="00C716CC"/>
    <w:rsid w:val="00C718AF"/>
    <w:rsid w:val="00C742CA"/>
    <w:rsid w:val="00C75688"/>
    <w:rsid w:val="00C90E43"/>
    <w:rsid w:val="00C94795"/>
    <w:rsid w:val="00CA3DEC"/>
    <w:rsid w:val="00CB0B81"/>
    <w:rsid w:val="00CC66CC"/>
    <w:rsid w:val="00CC738C"/>
    <w:rsid w:val="00CD1F98"/>
    <w:rsid w:val="00CD27A8"/>
    <w:rsid w:val="00CE2122"/>
    <w:rsid w:val="00CE24B0"/>
    <w:rsid w:val="00CF1F86"/>
    <w:rsid w:val="00CF2CE5"/>
    <w:rsid w:val="00D10042"/>
    <w:rsid w:val="00D14107"/>
    <w:rsid w:val="00D1433C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722D6"/>
    <w:rsid w:val="00D73025"/>
    <w:rsid w:val="00D76D1B"/>
    <w:rsid w:val="00D77C1D"/>
    <w:rsid w:val="00D8224B"/>
    <w:rsid w:val="00D8529F"/>
    <w:rsid w:val="00D93016"/>
    <w:rsid w:val="00D95082"/>
    <w:rsid w:val="00DA0313"/>
    <w:rsid w:val="00DA21C7"/>
    <w:rsid w:val="00DB5732"/>
    <w:rsid w:val="00DB5F35"/>
    <w:rsid w:val="00DB6F16"/>
    <w:rsid w:val="00DC41BD"/>
    <w:rsid w:val="00DD5CB6"/>
    <w:rsid w:val="00DF1C34"/>
    <w:rsid w:val="00DF64B2"/>
    <w:rsid w:val="00DF6645"/>
    <w:rsid w:val="00E0748C"/>
    <w:rsid w:val="00E132CC"/>
    <w:rsid w:val="00E16CA4"/>
    <w:rsid w:val="00E40753"/>
    <w:rsid w:val="00E47B47"/>
    <w:rsid w:val="00E50B31"/>
    <w:rsid w:val="00E537CC"/>
    <w:rsid w:val="00E53F56"/>
    <w:rsid w:val="00E605EB"/>
    <w:rsid w:val="00E61BD4"/>
    <w:rsid w:val="00E8338F"/>
    <w:rsid w:val="00E84EC5"/>
    <w:rsid w:val="00EA0E70"/>
    <w:rsid w:val="00EB7A08"/>
    <w:rsid w:val="00EC0F25"/>
    <w:rsid w:val="00EC61B0"/>
    <w:rsid w:val="00ED1AAE"/>
    <w:rsid w:val="00ED2B1A"/>
    <w:rsid w:val="00ED4558"/>
    <w:rsid w:val="00EE0A46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85654"/>
    <w:rsid w:val="00F862DD"/>
    <w:rsid w:val="00F90411"/>
    <w:rsid w:val="00F93319"/>
    <w:rsid w:val="00F96078"/>
    <w:rsid w:val="00FA1715"/>
    <w:rsid w:val="00FA41C3"/>
    <w:rsid w:val="00FA5651"/>
    <w:rsid w:val="00FB16C3"/>
    <w:rsid w:val="00FB42BD"/>
    <w:rsid w:val="00FB53C1"/>
    <w:rsid w:val="00FB64DA"/>
    <w:rsid w:val="00FC2322"/>
    <w:rsid w:val="00FC798E"/>
    <w:rsid w:val="00FD25E5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25D0-862A-4464-ADC5-D053A289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character" w:styleId="Kommentarzeichen">
    <w:name w:val="annotation reference"/>
    <w:rsid w:val="000872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72AC"/>
    <w:rPr>
      <w:sz w:val="20"/>
      <w:szCs w:val="20"/>
    </w:rPr>
  </w:style>
  <w:style w:type="character" w:customStyle="1" w:styleId="KommentartextZchn">
    <w:name w:val="Kommentartext Zchn"/>
    <w:link w:val="Kommentartext"/>
    <w:rsid w:val="000872AC"/>
    <w:rPr>
      <w:rFonts w:ascii="Times" w:hAnsi="Times" w:cs="Times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872AC"/>
    <w:rPr>
      <w:b/>
      <w:bCs/>
    </w:rPr>
  </w:style>
  <w:style w:type="character" w:customStyle="1" w:styleId="KommentarthemaZchn">
    <w:name w:val="Kommentarthema Zchn"/>
    <w:link w:val="Kommentarthema"/>
    <w:rsid w:val="000872AC"/>
    <w:rPr>
      <w:rFonts w:ascii="Times" w:hAnsi="Times" w:cs="Times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ook.nist.gov/cgi/cbook.cgi?ID=3352576&amp;Units=SI" TargetMode="External"/><Relationship Id="rId13" Type="http://schemas.openxmlformats.org/officeDocument/2006/relationships/hyperlink" Target="http://webbook.nist.gov/cgi/cbook.cgi?ID=3352576&amp;Units=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book.nist.gov/cgi/cbook.cgi?ID=3352576&amp;Units=SI" TargetMode="External"/><Relationship Id="rId12" Type="http://schemas.openxmlformats.org/officeDocument/2006/relationships/hyperlink" Target="http://webbook.nist.gov/cgi/cbook.cgi?ID=3352576&amp;Units=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book.nist.gov/cgi/cbook.cgi?ID=3352576&amp;Units=SI" TargetMode="External"/><Relationship Id="rId11" Type="http://schemas.openxmlformats.org/officeDocument/2006/relationships/hyperlink" Target="http://webbook.nist.gov/cgi/cbook.cgi?ID=3352576&amp;Units=SI" TargetMode="External"/><Relationship Id="rId5" Type="http://schemas.openxmlformats.org/officeDocument/2006/relationships/hyperlink" Target="http://iupac.pole-ether.f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book.nist.gov/cgi/cbook.cgi?ID=3352576&amp;Units=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book.nist.gov/cgi/cbook.cgi?ID=3352576&amp;Units=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4611</CharactersWithSpaces>
  <SharedDoc>false</SharedDoc>
  <HLinks>
    <vt:vector size="54" baseType="variant">
      <vt:variant>
        <vt:i4>458823</vt:i4>
      </vt:variant>
      <vt:variant>
        <vt:i4>24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21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18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15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6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http://webbook.nist.gov/cgi/cbook.cgi?ID=3352576&amp;Units=SI</vt:lpwstr>
      </vt:variant>
      <vt:variant>
        <vt:lpwstr/>
      </vt:variant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2</cp:revision>
  <cp:lastPrinted>2019-11-13T12:31:00Z</cp:lastPrinted>
  <dcterms:created xsi:type="dcterms:W3CDTF">2020-01-13T10:42:00Z</dcterms:created>
  <dcterms:modified xsi:type="dcterms:W3CDTF">2020-01-13T10:42:00Z</dcterms:modified>
</cp:coreProperties>
</file>