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12" w:rsidRDefault="00D25403" w:rsidP="00702C8F">
      <w:pPr>
        <w:pStyle w:val="IUPACheadline"/>
      </w:pPr>
      <w:bookmarkStart w:id="0" w:name="_GoBack"/>
      <w:bookmarkEnd w:id="0"/>
      <w:r>
        <w:t xml:space="preserve">IUPAC </w:t>
      </w:r>
      <w:r w:rsidR="001A1912" w:rsidRPr="001A1912">
        <w:rPr>
          <w:bCs/>
        </w:rPr>
        <w:t>Task Group on Atmospheric Chemical Kinetic Data Evaluation</w:t>
      </w:r>
    </w:p>
    <w:p w:rsidR="00D25403" w:rsidRDefault="001A1912" w:rsidP="00702C8F">
      <w:pPr>
        <w:pStyle w:val="IUPACheadline"/>
      </w:pPr>
      <w:r>
        <w:t xml:space="preserve"> </w:t>
      </w:r>
      <w:r w:rsidR="00D25403">
        <w:t xml:space="preserve">– Data Sheet </w:t>
      </w:r>
      <w:r w:rsidR="004553D9">
        <w:t>AQ_OH_90</w:t>
      </w:r>
    </w:p>
    <w:p w:rsidR="007F4C67" w:rsidRPr="007F4C67" w:rsidRDefault="008A4EE3" w:rsidP="007F4C67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="00E55CFC" w:rsidRPr="007F4C67">
        <w:t xml:space="preserve">The citation for this datasheet is: IUPAC Task Group on Atmospheric Chemical Kinetic Data Evaluation, </w:t>
      </w:r>
      <w:hyperlink r:id="rId5" w:history="1">
        <w:r w:rsidR="00E55CFC" w:rsidRPr="007F4C67">
          <w:rPr>
            <w:rStyle w:val="Hyperlink"/>
          </w:rPr>
          <w:t>http://iupac.pole-ethe</w:t>
        </w:r>
        <w:r w:rsidR="00E55CFC" w:rsidRPr="007F4C67">
          <w:rPr>
            <w:rStyle w:val="Hyperlink"/>
          </w:rPr>
          <w:t>r</w:t>
        </w:r>
        <w:r w:rsidR="00E55CFC" w:rsidRPr="007F4C67">
          <w:rPr>
            <w:rStyle w:val="Hyperlink"/>
          </w:rPr>
          <w:t>.fr</w:t>
        </w:r>
      </w:hyperlink>
      <w:r w:rsidR="00E55CFC" w:rsidRPr="007F4C67">
        <w:t>.</w:t>
      </w:r>
    </w:p>
    <w:p w:rsidR="007F4C67" w:rsidRPr="007F4C67" w:rsidRDefault="007F4C67" w:rsidP="007F4C67">
      <w:pPr>
        <w:pStyle w:val="IUPACtopparagraph"/>
      </w:pPr>
      <w:r w:rsidRPr="007F4C67">
        <w:t xml:space="preserve">This datasheet last evaluated: </w:t>
      </w:r>
      <w:r w:rsidR="00AD66DF">
        <w:t>November</w:t>
      </w:r>
      <w:r w:rsidR="00973F08">
        <w:t xml:space="preserve"> 2019</w:t>
      </w:r>
      <w:r w:rsidRPr="007F4C67">
        <w:t xml:space="preserve">; last change in preferred values: </w:t>
      </w:r>
      <w:r w:rsidR="00973F08">
        <w:t>June 2019</w:t>
      </w:r>
    </w:p>
    <w:p w:rsidR="00604D2C" w:rsidRDefault="00604D2C" w:rsidP="00604D2C">
      <w:pPr>
        <w:pStyle w:val="IUPACTitlereaction"/>
        <w:spacing w:before="0" w:after="0"/>
        <w:rPr>
          <w:rFonts w:cs="Times New Roman"/>
          <w:lang w:val="pt-BR"/>
        </w:rPr>
      </w:pPr>
    </w:p>
    <w:p w:rsidR="00E57386" w:rsidRDefault="00E57386" w:rsidP="002E005E">
      <w:pPr>
        <w:ind w:left="1440"/>
        <w:rPr>
          <w:b/>
          <w:lang w:val="pt-BR"/>
        </w:rPr>
      </w:pPr>
      <w:r>
        <w:rPr>
          <w:b/>
          <w:lang w:val="pt-BR"/>
        </w:rPr>
        <w:t>H</w:t>
      </w:r>
      <w:r w:rsidRPr="00A35EDC">
        <w:rPr>
          <w:b/>
          <w:vertAlign w:val="subscript"/>
          <w:lang w:val="pt-BR"/>
        </w:rPr>
        <w:t>2</w:t>
      </w:r>
      <w:r>
        <w:rPr>
          <w:b/>
          <w:lang w:val="pt-BR"/>
        </w:rPr>
        <w:t>CCHCOCH</w:t>
      </w:r>
      <w:r w:rsidRPr="00A35EDC">
        <w:rPr>
          <w:b/>
          <w:vertAlign w:val="subscript"/>
          <w:lang w:val="pt-BR"/>
        </w:rPr>
        <w:t>3</w:t>
      </w:r>
      <w:r w:rsidRPr="00455EA0">
        <w:rPr>
          <w:b/>
          <w:lang w:val="pt-BR"/>
        </w:rPr>
        <w:t>(aq)</w:t>
      </w:r>
      <w:r>
        <w:rPr>
          <w:b/>
          <w:lang w:val="pt-BR"/>
        </w:rPr>
        <w:t xml:space="preserve"> </w:t>
      </w:r>
      <w:r w:rsidRPr="00455EA0">
        <w:rPr>
          <w:b/>
        </w:rPr>
        <w:sym w:font="Symbol" w:char="F0AE"/>
      </w:r>
      <w:r>
        <w:rPr>
          <w:b/>
        </w:rPr>
        <w:t xml:space="preserve"> </w:t>
      </w:r>
      <w:r w:rsidR="005E7FBB">
        <w:rPr>
          <w:b/>
          <w:lang w:val="pt-BR"/>
        </w:rPr>
        <w:t>CH</w:t>
      </w:r>
      <w:r w:rsidR="005E7FBB">
        <w:rPr>
          <w:b/>
          <w:vertAlign w:val="subscript"/>
          <w:lang w:val="pt-BR"/>
        </w:rPr>
        <w:t>3</w:t>
      </w:r>
      <w:r w:rsidR="005E7FBB" w:rsidRPr="005C1DCC">
        <w:rPr>
          <w:b/>
          <w:lang w:val="pt-BR"/>
        </w:rPr>
        <w:t>(</w:t>
      </w:r>
      <w:r w:rsidR="005E7FBB">
        <w:rPr>
          <w:b/>
          <w:lang w:val="pt-BR"/>
        </w:rPr>
        <w:t>CH)</w:t>
      </w:r>
      <w:r w:rsidR="005E7FBB" w:rsidRPr="005C1DCC">
        <w:rPr>
          <w:b/>
          <w:vertAlign w:val="subscript"/>
          <w:lang w:val="pt-BR"/>
        </w:rPr>
        <w:t>2</w:t>
      </w:r>
      <w:r w:rsidR="005E7FBB">
        <w:rPr>
          <w:b/>
          <w:lang w:val="pt-BR"/>
        </w:rPr>
        <w:t>CHO</w:t>
      </w:r>
      <w:r w:rsidR="005E7FBB" w:rsidRPr="00455EA0">
        <w:rPr>
          <w:b/>
          <w:lang w:val="pt-BR"/>
        </w:rPr>
        <w:t>(aq)</w:t>
      </w:r>
      <w:r w:rsidR="005E7FBB">
        <w:rPr>
          <w:b/>
          <w:lang w:val="pt-BR"/>
        </w:rPr>
        <w:tab/>
      </w:r>
      <w:r w:rsidR="005E7FBB">
        <w:rPr>
          <w:b/>
          <w:lang w:val="pt-BR"/>
        </w:rPr>
        <w:tab/>
      </w:r>
      <w:r w:rsidR="005E7FBB">
        <w:rPr>
          <w:b/>
          <w:lang w:val="pt-BR"/>
        </w:rPr>
        <w:tab/>
      </w:r>
      <w:r w:rsidR="005E7FBB">
        <w:rPr>
          <w:b/>
          <w:lang w:val="pt-BR"/>
        </w:rPr>
        <w:tab/>
        <w:t>(1)</w:t>
      </w:r>
    </w:p>
    <w:p w:rsidR="00E57386" w:rsidRDefault="00E57386" w:rsidP="002E005E">
      <w:pPr>
        <w:ind w:left="1440"/>
        <w:rPr>
          <w:b/>
          <w:lang w:val="pt-BR"/>
        </w:rPr>
      </w:pPr>
    </w:p>
    <w:p w:rsidR="002E005E" w:rsidRDefault="00BC4A45" w:rsidP="002E005E">
      <w:pPr>
        <w:ind w:left="1440"/>
        <w:rPr>
          <w:b/>
          <w:lang w:val="pt-BR"/>
        </w:rPr>
      </w:pPr>
      <w:r>
        <w:rPr>
          <w:b/>
          <w:lang w:val="pt-BR"/>
        </w:rPr>
        <w:t>HO</w:t>
      </w:r>
      <w:r w:rsidR="00F726F5" w:rsidRPr="00455EA0">
        <w:rPr>
          <w:b/>
          <w:lang w:val="pt-BR"/>
        </w:rPr>
        <w:t>(aq)</w:t>
      </w:r>
      <w:r w:rsidR="00692339" w:rsidRPr="00455EA0">
        <w:rPr>
          <w:b/>
          <w:lang w:val="pt-BR"/>
        </w:rPr>
        <w:t xml:space="preserve"> </w:t>
      </w:r>
      <w:r w:rsidR="00F726F5" w:rsidRPr="00455EA0">
        <w:rPr>
          <w:b/>
          <w:lang w:val="pt-BR"/>
        </w:rPr>
        <w:t>+</w:t>
      </w:r>
      <w:r w:rsidR="00692339" w:rsidRPr="00455EA0">
        <w:rPr>
          <w:b/>
          <w:lang w:val="pt-BR"/>
        </w:rPr>
        <w:t xml:space="preserve"> </w:t>
      </w:r>
      <w:r w:rsidR="00A35EDC">
        <w:rPr>
          <w:b/>
          <w:lang w:val="pt-BR"/>
        </w:rPr>
        <w:t>H</w:t>
      </w:r>
      <w:r w:rsidR="00A35EDC" w:rsidRPr="00A35EDC">
        <w:rPr>
          <w:b/>
          <w:vertAlign w:val="subscript"/>
          <w:lang w:val="pt-BR"/>
        </w:rPr>
        <w:t>2</w:t>
      </w:r>
      <w:r w:rsidR="00A35EDC">
        <w:rPr>
          <w:b/>
          <w:lang w:val="pt-BR"/>
        </w:rPr>
        <w:t>CCHCOCH</w:t>
      </w:r>
      <w:r w:rsidR="00A35EDC" w:rsidRPr="00A35EDC">
        <w:rPr>
          <w:b/>
          <w:vertAlign w:val="subscript"/>
          <w:lang w:val="pt-BR"/>
        </w:rPr>
        <w:t>3</w:t>
      </w:r>
      <w:r w:rsidR="006A2320" w:rsidRPr="00455EA0">
        <w:rPr>
          <w:b/>
          <w:lang w:val="pt-BR"/>
        </w:rPr>
        <w:t>(</w:t>
      </w:r>
      <w:r w:rsidR="00F726F5" w:rsidRPr="00455EA0">
        <w:rPr>
          <w:b/>
          <w:lang w:val="pt-BR"/>
        </w:rPr>
        <w:t xml:space="preserve">aq) </w:t>
      </w:r>
      <w:r w:rsidR="00F726F5" w:rsidRPr="00455EA0">
        <w:rPr>
          <w:b/>
        </w:rPr>
        <w:sym w:font="Symbol" w:char="F0AE"/>
      </w:r>
      <w:r w:rsidR="00DD1D44" w:rsidRPr="00455EA0">
        <w:rPr>
          <w:b/>
          <w:lang w:val="pt-BR"/>
        </w:rPr>
        <w:t xml:space="preserve"> </w:t>
      </w:r>
      <w:r w:rsidR="002E005E">
        <w:rPr>
          <w:b/>
          <w:lang w:val="pt-BR"/>
        </w:rPr>
        <w:tab/>
      </w:r>
      <w:r w:rsidR="00A35EDC" w:rsidRPr="00A35EDC">
        <w:rPr>
          <w:b/>
          <w:lang w:val="pt-BR"/>
        </w:rPr>
        <w:t>HOCH</w:t>
      </w:r>
      <w:r w:rsidR="00A35EDC" w:rsidRPr="00A35EDC">
        <w:rPr>
          <w:b/>
          <w:vertAlign w:val="subscript"/>
          <w:lang w:val="pt-BR"/>
        </w:rPr>
        <w:t>2</w:t>
      </w:r>
      <w:r w:rsidR="00A35EDC">
        <w:rPr>
          <w:b/>
          <w:lang w:val="pt-BR"/>
        </w:rPr>
        <w:t>CHCOCH</w:t>
      </w:r>
      <w:r w:rsidR="00A35EDC" w:rsidRPr="00A35EDC">
        <w:rPr>
          <w:b/>
          <w:vertAlign w:val="subscript"/>
          <w:lang w:val="pt-BR"/>
        </w:rPr>
        <w:t>3</w:t>
      </w:r>
      <w:r w:rsidR="002E005E" w:rsidRPr="00455EA0">
        <w:rPr>
          <w:b/>
          <w:lang w:val="pt-BR"/>
        </w:rPr>
        <w:t>(aq)</w:t>
      </w:r>
      <w:r w:rsidR="006D6759">
        <w:rPr>
          <w:b/>
          <w:lang w:val="pt-BR"/>
        </w:rPr>
        <w:t xml:space="preserve"> </w:t>
      </w:r>
      <w:r w:rsidR="00F07327">
        <w:rPr>
          <w:b/>
          <w:lang w:val="pt-BR"/>
        </w:rPr>
        <w:t>+</w:t>
      </w:r>
    </w:p>
    <w:p w:rsidR="00F726F5" w:rsidRDefault="002E005E" w:rsidP="002E005E">
      <w:pPr>
        <w:ind w:left="1440"/>
        <w:rPr>
          <w:b/>
          <w:lang w:val="pt-BR"/>
        </w:rPr>
      </w:pP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 w:rsidR="00F07327" w:rsidRPr="00A35EDC">
        <w:rPr>
          <w:b/>
          <w:lang w:val="pt-BR"/>
        </w:rPr>
        <w:t>CH</w:t>
      </w:r>
      <w:r w:rsidR="00F07327" w:rsidRPr="00A35EDC">
        <w:rPr>
          <w:b/>
          <w:vertAlign w:val="subscript"/>
          <w:lang w:val="pt-BR"/>
        </w:rPr>
        <w:t>2</w:t>
      </w:r>
      <w:r w:rsidR="00F07327">
        <w:rPr>
          <w:b/>
          <w:lang w:val="pt-BR"/>
        </w:rPr>
        <w:t>CH(</w:t>
      </w:r>
      <w:r w:rsidR="00F07327" w:rsidRPr="00A35EDC">
        <w:rPr>
          <w:b/>
          <w:lang w:val="pt-BR"/>
        </w:rPr>
        <w:t>O</w:t>
      </w:r>
      <w:r w:rsidR="00F07327">
        <w:rPr>
          <w:b/>
          <w:lang w:val="pt-BR"/>
        </w:rPr>
        <w:t>H)COCH</w:t>
      </w:r>
      <w:r w:rsidR="00F07327" w:rsidRPr="00A35EDC">
        <w:rPr>
          <w:b/>
          <w:vertAlign w:val="subscript"/>
          <w:lang w:val="pt-BR"/>
        </w:rPr>
        <w:t>3</w:t>
      </w:r>
      <w:r w:rsidRPr="00455EA0">
        <w:rPr>
          <w:b/>
          <w:lang w:val="pt-BR"/>
        </w:rPr>
        <w:t>(aq)</w:t>
      </w:r>
      <w:r w:rsidR="00F07327" w:rsidRPr="002E005E">
        <w:rPr>
          <w:b/>
          <w:lang w:val="pt-BR"/>
        </w:rPr>
        <w:t xml:space="preserve"> </w:t>
      </w:r>
      <w:r w:rsidR="006D6759">
        <w:rPr>
          <w:b/>
          <w:lang w:val="pt-BR"/>
        </w:rPr>
        <w:t>+ H</w:t>
      </w:r>
      <w:r w:rsidR="006D6759" w:rsidRPr="006D6759">
        <w:rPr>
          <w:b/>
          <w:vertAlign w:val="subscript"/>
          <w:lang w:val="pt-BR"/>
        </w:rPr>
        <w:t>2</w:t>
      </w:r>
      <w:r w:rsidR="006D6759">
        <w:rPr>
          <w:b/>
          <w:lang w:val="pt-BR"/>
        </w:rPr>
        <w:t>O</w:t>
      </w:r>
      <w:r w:rsidR="005E7FBB">
        <w:rPr>
          <w:b/>
          <w:lang w:val="pt-BR"/>
        </w:rPr>
        <w:tab/>
        <w:t>(2)</w:t>
      </w:r>
    </w:p>
    <w:p w:rsidR="00F07327" w:rsidRDefault="00F07327" w:rsidP="00F07327">
      <w:pPr>
        <w:ind w:left="1440"/>
        <w:jc w:val="center"/>
        <w:rPr>
          <w:b/>
          <w:lang w:val="pt-BR"/>
        </w:rPr>
      </w:pPr>
    </w:p>
    <w:p w:rsidR="00F07327" w:rsidRPr="00E57386" w:rsidRDefault="00F07327" w:rsidP="00AD66DF">
      <w:pPr>
        <w:jc w:val="center"/>
        <w:rPr>
          <w:i/>
          <w:sz w:val="20"/>
          <w:lang w:val="pt-BR"/>
        </w:rPr>
      </w:pPr>
      <w:r w:rsidRPr="00E57386">
        <w:rPr>
          <w:i/>
          <w:sz w:val="20"/>
          <w:lang w:val="pt-BR"/>
        </w:rPr>
        <w:t>(</w:t>
      </w:r>
      <w:r w:rsidR="00D576BE" w:rsidRPr="00E57386">
        <w:rPr>
          <w:i/>
          <w:sz w:val="20"/>
          <w:lang w:val="pt-BR"/>
        </w:rPr>
        <w:t xml:space="preserve">primary radical </w:t>
      </w:r>
      <w:r w:rsidRPr="00E57386">
        <w:rPr>
          <w:i/>
          <w:sz w:val="20"/>
          <w:lang w:val="pt-BR"/>
        </w:rPr>
        <w:t>product</w:t>
      </w:r>
      <w:r w:rsidR="00D576BE" w:rsidRPr="00E57386">
        <w:rPr>
          <w:i/>
          <w:sz w:val="20"/>
          <w:lang w:val="pt-BR"/>
        </w:rPr>
        <w:t>s</w:t>
      </w:r>
      <w:r w:rsidRPr="00E57386">
        <w:rPr>
          <w:i/>
          <w:sz w:val="20"/>
          <w:lang w:val="pt-BR"/>
        </w:rPr>
        <w:t xml:space="preserve"> </w:t>
      </w:r>
      <w:r w:rsidR="005E7FBB">
        <w:rPr>
          <w:i/>
          <w:sz w:val="20"/>
          <w:lang w:val="pt-BR"/>
        </w:rPr>
        <w:t xml:space="preserve">(2) </w:t>
      </w:r>
      <w:r w:rsidRPr="00E57386">
        <w:rPr>
          <w:i/>
          <w:sz w:val="20"/>
          <w:lang w:val="pt-BR"/>
        </w:rPr>
        <w:t>determined by Kumar et al., 1990</w:t>
      </w:r>
      <w:r w:rsidR="002E005E" w:rsidRPr="00E57386">
        <w:rPr>
          <w:i/>
          <w:sz w:val="20"/>
          <w:lang w:val="pt-BR"/>
        </w:rPr>
        <w:t xml:space="preserve">; a more detailed discussion of product distribution can be found in </w:t>
      </w:r>
      <w:r w:rsidR="00E57386" w:rsidRPr="00E57386">
        <w:rPr>
          <w:i/>
          <w:sz w:val="20"/>
          <w:lang w:val="pt-BR"/>
        </w:rPr>
        <w:t xml:space="preserve">Zhang et al., 2010 and </w:t>
      </w:r>
      <w:r w:rsidR="002E005E" w:rsidRPr="00E57386">
        <w:rPr>
          <w:i/>
          <w:sz w:val="20"/>
          <w:lang w:val="pt-BR"/>
        </w:rPr>
        <w:t>Schoene et al., 2014</w:t>
      </w:r>
      <w:r w:rsidRPr="00E57386">
        <w:rPr>
          <w:i/>
          <w:sz w:val="20"/>
          <w:lang w:val="pt-BR"/>
        </w:rPr>
        <w:t>)</w:t>
      </w:r>
    </w:p>
    <w:p w:rsidR="00842FAF" w:rsidRDefault="00842FAF" w:rsidP="00842FAF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</w:p>
    <w:p w:rsidR="00F726F5" w:rsidRPr="00F726F5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t>Rate coefficient data</w:t>
      </w:r>
    </w:p>
    <w:p w:rsidR="00C648E1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411" w:type="dxa"/>
        <w:tblInd w:w="-108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518"/>
        <w:gridCol w:w="992"/>
        <w:gridCol w:w="1134"/>
        <w:gridCol w:w="1276"/>
        <w:gridCol w:w="15"/>
        <w:gridCol w:w="1686"/>
        <w:gridCol w:w="1568"/>
        <w:gridCol w:w="99"/>
        <w:gridCol w:w="15"/>
      </w:tblGrid>
      <w:tr w:rsidR="00C648E1" w:rsidRPr="004043A7" w:rsidTr="00AD66DF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2518" w:type="dxa"/>
            <w:tcBorders>
              <w:top w:val="double" w:sz="4" w:space="0" w:color="auto"/>
              <w:right w:val="nil"/>
            </w:tcBorders>
            <w:vAlign w:val="center"/>
          </w:tcPr>
          <w:p w:rsidR="00C648E1" w:rsidRPr="004043A7" w:rsidRDefault="00C648E1" w:rsidP="00D12D39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4043A7">
              <w:rPr>
                <w:rFonts w:ascii="Times New Roman" w:hAnsi="Times New Roman" w:cs="Times New Roman"/>
                <w:spacing w:val="-2"/>
                <w:lang w:val="en-US"/>
              </w:rPr>
              <w:t xml:space="preserve">k/ </w:t>
            </w:r>
            <w:r w:rsidR="00D12D39" w:rsidRPr="004043A7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4043A7">
              <w:rPr>
                <w:rFonts w:ascii="Times New Roman" w:hAnsi="Times New Roman" w:cs="Times New Roman"/>
                <w:spacing w:val="-2"/>
                <w:lang w:val="en-US"/>
              </w:rPr>
              <w:t xml:space="preserve"> mol</w:t>
            </w:r>
            <w:r w:rsidRPr="004043A7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4043A7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4043A7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4043A7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4043A7">
              <w:rPr>
                <w:rFonts w:ascii="Times New Roman" w:hAnsi="Times New Roman" w:cs="Times New Roman"/>
                <w:iCs/>
                <w:spacing w:val="-2"/>
                <w:lang w:val="en-US"/>
              </w:rPr>
              <w:t>T</w:t>
            </w:r>
            <w:r w:rsidRPr="004043A7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4043A7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4043A7">
              <w:rPr>
                <w:spacing w:val="-3"/>
                <w:lang w:val="en-US"/>
              </w:rPr>
              <w:t>pH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4043A7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4043A7">
              <w:rPr>
                <w:spacing w:val="-3"/>
                <w:lang w:val="en-US"/>
              </w:rPr>
              <w:t>I</w:t>
            </w:r>
            <w:r w:rsidRPr="004043A7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F64725" w:rsidRPr="004043A7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F64725" w:rsidRPr="004043A7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4043A7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</w:rPr>
            </w:pPr>
            <w:r w:rsidRPr="004043A7">
              <w:rPr>
                <w:b w:val="0"/>
                <w:i w:val="0"/>
                <w:szCs w:val="24"/>
              </w:rPr>
              <w:t>Reference</w:t>
            </w:r>
          </w:p>
        </w:tc>
        <w:tc>
          <w:tcPr>
            <w:tcW w:w="1682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C648E1" w:rsidRPr="004043A7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4043A7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973F08" w:rsidRPr="00F257E7" w:rsidTr="00973F08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9303" w:type="dxa"/>
            <w:gridSpan w:val="9"/>
            <w:vAlign w:val="center"/>
          </w:tcPr>
          <w:p w:rsidR="00973F08" w:rsidRPr="00F257E7" w:rsidRDefault="00973F08" w:rsidP="004043A7">
            <w:pPr>
              <w:spacing w:before="120" w:line="264" w:lineRule="auto"/>
              <w:jc w:val="center"/>
              <w:rPr>
                <w:spacing w:val="-2"/>
              </w:rPr>
            </w:pPr>
            <w:r w:rsidRPr="00F257E7">
              <w:rPr>
                <w:i/>
                <w:spacing w:val="-2"/>
              </w:rPr>
              <w:t>Absolute Rate Coefficients</w:t>
            </w:r>
          </w:p>
        </w:tc>
      </w:tr>
      <w:tr w:rsidR="00973F08" w:rsidRPr="003B12CD" w:rsidTr="004043A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14" w:type="dxa"/>
          <w:trHeight w:val="561"/>
        </w:trPr>
        <w:tc>
          <w:tcPr>
            <w:tcW w:w="262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F08" w:rsidRPr="0080022C" w:rsidRDefault="00973F08" w:rsidP="004043A7">
            <w:pPr>
              <w:spacing w:line="263" w:lineRule="atLeast"/>
              <w:jc w:val="center"/>
              <w:rPr>
                <w:rFonts w:eastAsia="Symbol" w:cs="Symbol"/>
                <w:spacing w:val="-2"/>
                <w:vertAlign w:val="superscript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7 × 10</w:t>
            </w:r>
            <w:r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F08" w:rsidRDefault="00CF5876" w:rsidP="004043A7">
            <w:pPr>
              <w:snapToGrid w:val="0"/>
              <w:spacing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F08" w:rsidRPr="003B12CD" w:rsidRDefault="00973F08" w:rsidP="004043A7">
            <w:pPr>
              <w:spacing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6.8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F08" w:rsidRPr="003B12CD" w:rsidRDefault="00973F08" w:rsidP="004043A7">
            <w:pPr>
              <w:snapToGrid w:val="0"/>
              <w:spacing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F08" w:rsidRDefault="00973F08" w:rsidP="004043A7">
            <w:pPr>
              <w:spacing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spacing w:val="-2"/>
                <w:lang w:val="en-CA"/>
              </w:rPr>
              <w:t>Kumar et al., 1990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F08" w:rsidRDefault="00973F08" w:rsidP="004043A7">
            <w:pPr>
              <w:spacing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PR-UV/Vis (a)</w:t>
            </w:r>
          </w:p>
        </w:tc>
      </w:tr>
      <w:tr w:rsidR="00C648E1" w:rsidTr="00973F08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9303" w:type="dxa"/>
            <w:gridSpan w:val="9"/>
            <w:vAlign w:val="center"/>
          </w:tcPr>
          <w:p w:rsidR="00C648E1" w:rsidRDefault="00DE09D1" w:rsidP="004E7108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</w:t>
            </w:r>
            <w:r w:rsidR="00C648E1">
              <w:rPr>
                <w:i/>
                <w:spacing w:val="-2"/>
                <w:lang w:val="en-US"/>
              </w:rPr>
              <w:t xml:space="preserve"> Rate Coefficients</w:t>
            </w:r>
          </w:p>
        </w:tc>
      </w:tr>
      <w:tr w:rsidR="00DB53BB" w:rsidTr="004043A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53BB" w:rsidRDefault="00973F08" w:rsidP="00E54FE8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eastAsia="Symbol" w:cs="Symbol"/>
                <w:spacing w:val="-3"/>
                <w:lang w:val="en-GB"/>
              </w:rPr>
              <w:t>8.5</w:t>
            </w:r>
            <w:r w:rsidR="00BE78BD">
              <w:rPr>
                <w:rFonts w:eastAsia="Symbol" w:cs="Symbol"/>
                <w:spacing w:val="-3"/>
                <w:lang w:val="en-GB"/>
              </w:rPr>
              <w:t> </w:t>
            </w:r>
            <w:r w:rsidR="00BE78BD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BE78BD">
              <w:rPr>
                <w:rFonts w:eastAsia="Symbol" w:cs="Symbol"/>
                <w:spacing w:val="-2"/>
                <w:lang w:val="en-GB"/>
              </w:rPr>
              <w:t> </w:t>
            </w:r>
            <w:r w:rsidR="00DB53BB">
              <w:rPr>
                <w:spacing w:val="-2"/>
                <w:lang w:val="en-US"/>
              </w:rPr>
              <w:t>10</w:t>
            </w:r>
            <w:r w:rsidR="00DB53BB" w:rsidRPr="002C5E16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53BB" w:rsidRDefault="00973F08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53BB" w:rsidRDefault="0005682B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53BB" w:rsidRDefault="0005682B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53BB" w:rsidRDefault="00101D9C" w:rsidP="00F10448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Lilie and Henglein, 1970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53BB" w:rsidRPr="00197003" w:rsidRDefault="006967C4" w:rsidP="009C7A1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PR / UV-Vis</w:t>
            </w:r>
            <w:r w:rsidR="00101D9C">
              <w:rPr>
                <w:spacing w:val="-2"/>
                <w:lang w:val="en-US"/>
              </w:rPr>
              <w:t xml:space="preserve"> </w:t>
            </w:r>
            <w:r w:rsidR="00DB53BB">
              <w:rPr>
                <w:spacing w:val="-2"/>
                <w:lang w:val="en-US"/>
              </w:rPr>
              <w:t>(</w:t>
            </w:r>
            <w:r w:rsidR="00973F08">
              <w:rPr>
                <w:spacing w:val="-2"/>
                <w:lang w:val="en-US"/>
              </w:rPr>
              <w:t>b</w:t>
            </w:r>
            <w:r w:rsidR="00DB53BB">
              <w:rPr>
                <w:spacing w:val="-2"/>
                <w:lang w:val="en-US"/>
              </w:rPr>
              <w:t>)</w:t>
            </w:r>
          </w:p>
        </w:tc>
      </w:tr>
      <w:tr w:rsidR="00DB53BB" w:rsidTr="004043A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3BB" w:rsidRDefault="00D74C56" w:rsidP="00A45F07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eastAsia="Symbol" w:cs="Symbol"/>
                <w:spacing w:val="-3"/>
                <w:lang w:val="en-GB"/>
              </w:rPr>
              <w:t>8.5</w:t>
            </w:r>
            <w:r w:rsidR="00101D9C">
              <w:rPr>
                <w:rFonts w:eastAsia="Symbol" w:cs="Symbol"/>
                <w:spacing w:val="-3"/>
                <w:lang w:val="en-GB"/>
              </w:rPr>
              <w:t> </w:t>
            </w:r>
            <w:r w:rsidR="00101D9C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101D9C">
              <w:rPr>
                <w:rFonts w:eastAsia="Symbol" w:cs="Symbol"/>
                <w:spacing w:val="-2"/>
                <w:lang w:val="en-GB"/>
              </w:rPr>
              <w:t> </w:t>
            </w:r>
            <w:r w:rsidR="00A45F07">
              <w:rPr>
                <w:spacing w:val="-2"/>
                <w:lang w:val="en-US"/>
              </w:rPr>
              <w:t>10</w:t>
            </w:r>
            <w:r w:rsidR="00A45F07">
              <w:rPr>
                <w:spacing w:val="-2"/>
                <w:vertAlign w:val="superscript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3BB" w:rsidRDefault="00CF5876" w:rsidP="00DB53BB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3BB" w:rsidRDefault="00F10448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6.8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3BB" w:rsidRDefault="0005682B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3BB" w:rsidRDefault="00101D9C" w:rsidP="00F10448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Kumar et al., 1990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3BB" w:rsidRPr="00197003" w:rsidRDefault="00D95437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 xml:space="preserve">PR / </w:t>
            </w:r>
            <w:r w:rsidR="00107670">
              <w:rPr>
                <w:spacing w:val="-2"/>
                <w:lang w:val="en-US"/>
              </w:rPr>
              <w:t>UV-Vis</w:t>
            </w:r>
            <w:r w:rsidR="00A45F07">
              <w:rPr>
                <w:spacing w:val="-2"/>
                <w:lang w:val="en-US"/>
              </w:rPr>
              <w:t xml:space="preserve"> (</w:t>
            </w:r>
            <w:r w:rsidR="00973F08">
              <w:rPr>
                <w:spacing w:val="-2"/>
                <w:lang w:val="en-US"/>
              </w:rPr>
              <w:t>c</w:t>
            </w:r>
            <w:r w:rsidR="00101D9C">
              <w:rPr>
                <w:spacing w:val="-2"/>
                <w:lang w:val="en-US"/>
              </w:rPr>
              <w:t>)</w:t>
            </w:r>
          </w:p>
        </w:tc>
      </w:tr>
      <w:tr w:rsidR="004043A7" w:rsidTr="004043A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A7" w:rsidRDefault="004043A7" w:rsidP="00284087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eastAsia="Symbol" w:cs="Symbol"/>
                <w:spacing w:val="-3"/>
                <w:lang w:val="en-GB"/>
              </w:rPr>
              <w:t>7.1 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>
              <w:rPr>
                <w:rFonts w:eastAsia="Symbol" w:cs="Symbol"/>
                <w:spacing w:val="-2"/>
                <w:lang w:val="en-GB"/>
              </w:rPr>
              <w:t> </w:t>
            </w:r>
            <w:r>
              <w:rPr>
                <w:spacing w:val="-2"/>
                <w:lang w:val="en-US"/>
              </w:rPr>
              <w:t>10</w:t>
            </w:r>
            <w:r w:rsidRPr="002C5E16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A7" w:rsidRDefault="004043A7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A7" w:rsidRDefault="004043A7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A7" w:rsidRDefault="004043A7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A7" w:rsidRDefault="004043A7" w:rsidP="00F10448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Szeremeta et al., 2009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A7" w:rsidRPr="00197003" w:rsidRDefault="004043A7" w:rsidP="00A45F07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LP-LPA (d)</w:t>
            </w:r>
          </w:p>
        </w:tc>
      </w:tr>
      <w:tr w:rsidR="004043A7" w:rsidTr="004043A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A7" w:rsidRPr="00EF6107" w:rsidRDefault="004043A7" w:rsidP="00284087">
            <w:pPr>
              <w:suppressAutoHyphens/>
              <w:spacing w:after="120" w:line="263" w:lineRule="atLeast"/>
              <w:jc w:val="center"/>
              <w:rPr>
                <w:rFonts w:eastAsia="Symbol" w:cs="Symbol"/>
                <w:spacing w:val="-3"/>
                <w:vertAlign w:val="superscript"/>
                <w:lang w:val="en-GB"/>
              </w:rPr>
            </w:pPr>
            <w:r>
              <w:rPr>
                <w:rFonts w:eastAsia="Symbol" w:cs="Symbol"/>
                <w:spacing w:val="-3"/>
                <w:lang w:val="en-GB"/>
              </w:rPr>
              <w:t>1.6 × 10</w:t>
            </w:r>
            <w:r>
              <w:rPr>
                <w:rFonts w:eastAsia="Symbol" w:cs="Symbol"/>
                <w:spacing w:val="-3"/>
                <w:vertAlign w:val="superscript"/>
                <w:lang w:val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A7" w:rsidRDefault="004043A7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A7" w:rsidRDefault="004043A7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A7" w:rsidRDefault="004043A7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A7" w:rsidRDefault="004043A7" w:rsidP="00F10448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A7" w:rsidRDefault="004043A7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Corrected value (d1)</w:t>
            </w:r>
          </w:p>
        </w:tc>
      </w:tr>
      <w:tr w:rsidR="004043A7" w:rsidTr="004043A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A7" w:rsidRPr="000D121F" w:rsidRDefault="004043A7" w:rsidP="00D963D2">
            <w:pPr>
              <w:suppressAutoHyphens/>
              <w:spacing w:after="120" w:line="263" w:lineRule="atLeast"/>
              <w:jc w:val="center"/>
              <w:rPr>
                <w:rFonts w:eastAsia="Symbol" w:cs="Symbol"/>
                <w:spacing w:val="-3"/>
                <w:lang w:val="en-GB"/>
              </w:rPr>
            </w:pPr>
            <w:r>
              <w:rPr>
                <w:rFonts w:eastAsia="Symbol" w:cs="Symbol"/>
                <w:spacing w:val="-3"/>
                <w:lang w:val="en-GB"/>
              </w:rPr>
              <w:t>4.54 × 10</w:t>
            </w:r>
            <w:r>
              <w:rPr>
                <w:rFonts w:eastAsia="Symbol" w:cs="Symbol"/>
                <w:spacing w:val="-3"/>
                <w:vertAlign w:val="superscript"/>
                <w:lang w:val="en-GB"/>
              </w:rPr>
              <w:t>11</w:t>
            </w:r>
            <w:r>
              <w:rPr>
                <w:rFonts w:eastAsia="Symbol" w:cs="Symbol"/>
                <w:spacing w:val="-3"/>
                <w:lang w:val="en-GB"/>
              </w:rPr>
              <w:t xml:space="preserve"> exp[-(1200</w:t>
            </w:r>
            <w:r w:rsidR="00AD66DF">
              <w:rPr>
                <w:rFonts w:eastAsia="Symbol" w:cs="Symbol"/>
                <w:spacing w:val="-3"/>
                <w:lang w:val="en-GB"/>
              </w:rPr>
              <w:t> </w:t>
            </w:r>
            <w:r>
              <w:rPr>
                <w:rFonts w:eastAsia="Symbol" w:cs="Symbol"/>
                <w:spacing w:val="-3"/>
                <w:lang w:val="en-GB"/>
              </w:rPr>
              <w:t>±70)/T]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A7" w:rsidRDefault="004043A7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278 - 318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A7" w:rsidRDefault="004043A7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A7" w:rsidRDefault="004043A7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A7" w:rsidRDefault="004043A7" w:rsidP="00F10448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A7" w:rsidRDefault="004043A7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LP-LPA (d2)</w:t>
            </w:r>
          </w:p>
        </w:tc>
      </w:tr>
      <w:tr w:rsidR="004043A7" w:rsidTr="004043A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A7" w:rsidRDefault="004043A7" w:rsidP="00D963D2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eastAsia="Symbol" w:cs="Symbol"/>
                <w:spacing w:val="-3"/>
                <w:lang w:val="en-GB"/>
              </w:rPr>
              <w:t>(7.</w:t>
            </w:r>
            <w:r w:rsidR="00AD66DF">
              <w:rPr>
                <w:rFonts w:eastAsia="Symbol" w:cs="Symbol"/>
                <w:spacing w:val="-3"/>
                <w:lang w:val="en-GB"/>
              </w:rPr>
              <w:t xml:space="preserve">1 </w:t>
            </w:r>
            <w:r>
              <w:rPr>
                <w:rFonts w:eastAsia="Symbol" w:cs="Symbol"/>
                <w:spacing w:val="-3"/>
                <w:lang w:val="en-GB"/>
              </w:rPr>
              <w:t>±0.5) 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>
              <w:rPr>
                <w:rFonts w:eastAsia="Symbol" w:cs="Symbol"/>
                <w:spacing w:val="-2"/>
                <w:lang w:val="en-GB"/>
              </w:rPr>
              <w:t> </w:t>
            </w:r>
            <w:r>
              <w:rPr>
                <w:spacing w:val="-2"/>
                <w:lang w:val="en-US"/>
              </w:rPr>
              <w:t>10</w:t>
            </w:r>
            <w:r w:rsidRPr="002C5E16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A7" w:rsidRDefault="004043A7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A7" w:rsidRDefault="004043A7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A7" w:rsidRDefault="004043A7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A7" w:rsidRDefault="004043A7" w:rsidP="00F10448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Schoene et al., 2014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A7" w:rsidRPr="00197003" w:rsidRDefault="004043A7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LP-LPA (e)</w:t>
            </w:r>
          </w:p>
        </w:tc>
      </w:tr>
      <w:tr w:rsidR="004043A7" w:rsidTr="004043A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5" w:type="dxa"/>
        </w:trPr>
        <w:tc>
          <w:tcPr>
            <w:tcW w:w="2518" w:type="dxa"/>
            <w:tcBorders>
              <w:top w:val="nil"/>
              <w:left w:val="nil"/>
              <w:right w:val="nil"/>
            </w:tcBorders>
            <w:vAlign w:val="center"/>
          </w:tcPr>
          <w:p w:rsidR="004043A7" w:rsidRPr="00FE45C8" w:rsidRDefault="004043A7" w:rsidP="00E80AB0">
            <w:pPr>
              <w:suppressAutoHyphens/>
              <w:spacing w:after="120" w:line="263" w:lineRule="atLeast"/>
              <w:jc w:val="center"/>
              <w:rPr>
                <w:rFonts w:eastAsia="Symbol" w:cs="Symbol"/>
                <w:spacing w:val="-3"/>
                <w:lang w:val="en-GB"/>
              </w:rPr>
            </w:pPr>
            <w:r>
              <w:rPr>
                <w:rFonts w:eastAsia="Symbol" w:cs="Symbol"/>
                <w:spacing w:val="-3"/>
                <w:lang w:val="en-GB"/>
              </w:rPr>
              <w:t>4.37 × 10</w:t>
            </w:r>
            <w:r>
              <w:rPr>
                <w:rFonts w:eastAsia="Symbol" w:cs="Symbol"/>
                <w:spacing w:val="-3"/>
                <w:vertAlign w:val="superscript"/>
                <w:lang w:val="en-GB"/>
              </w:rPr>
              <w:t>11</w:t>
            </w:r>
            <w:r>
              <w:rPr>
                <w:rFonts w:eastAsia="Symbol" w:cs="Symbol"/>
                <w:spacing w:val="-3"/>
                <w:lang w:val="en-GB"/>
              </w:rPr>
              <w:t xml:space="preserve"> exp[-(1200</w:t>
            </w:r>
            <w:r w:rsidR="00AD66DF">
              <w:rPr>
                <w:rFonts w:eastAsia="Symbol" w:cs="Symbol"/>
                <w:spacing w:val="-3"/>
                <w:lang w:val="en-GB"/>
              </w:rPr>
              <w:t> </w:t>
            </w:r>
            <w:r>
              <w:rPr>
                <w:rFonts w:eastAsia="Symbol" w:cs="Symbol"/>
                <w:spacing w:val="-3"/>
                <w:lang w:val="en-GB"/>
              </w:rPr>
              <w:t>±60)/T]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4043A7" w:rsidRDefault="004043A7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278 - 308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4043A7" w:rsidRDefault="004043A7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4043A7" w:rsidRDefault="004043A7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043A7" w:rsidRDefault="004043A7" w:rsidP="00F10448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043A7" w:rsidRDefault="004043A7" w:rsidP="00A45F07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LP-LPA (e1)</w:t>
            </w:r>
          </w:p>
        </w:tc>
      </w:tr>
    </w:tbl>
    <w:p w:rsidR="00325D6F" w:rsidRDefault="00325D6F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BC4A45" w:rsidRPr="00FE07A8" w:rsidRDefault="00BC4A45" w:rsidP="00BC4A4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lang w:val="en-US"/>
        </w:rPr>
      </w:pPr>
      <w:r w:rsidRPr="00FE07A8">
        <w:rPr>
          <w:rFonts w:ascii="Symbol" w:eastAsia="Symbol" w:hAnsi="Symbol" w:cs="Symbol"/>
          <w:spacing w:val="-3"/>
          <w:lang w:val="en-US"/>
        </w:rPr>
        <w:t></w:t>
      </w:r>
      <w:r w:rsidRPr="00FE07A8">
        <w:rPr>
          <w:rFonts w:eastAsia="Symbol"/>
          <w:i/>
          <w:spacing w:val="-3"/>
          <w:lang w:val="en-US"/>
        </w:rPr>
        <w:t>G</w:t>
      </w:r>
      <w:r w:rsidRPr="00FE07A8">
        <w:rPr>
          <w:rFonts w:eastAsia="Symbol"/>
          <w:i/>
          <w:spacing w:val="-3"/>
          <w:vertAlign w:val="subscript"/>
          <w:lang w:val="en-US"/>
        </w:rPr>
        <w:t>R</w:t>
      </w:r>
      <w:r w:rsidRPr="00FE07A8">
        <w:rPr>
          <w:rFonts w:ascii="Symbol" w:eastAsia="Symbol" w:hAnsi="Symbol" w:cs="Symbol"/>
          <w:iCs/>
          <w:spacing w:val="-3"/>
          <w:lang w:val="en-US"/>
        </w:rPr>
        <w:t></w:t>
      </w:r>
      <w:r w:rsidRPr="00FE07A8">
        <w:rPr>
          <w:rFonts w:eastAsia="Symbol" w:cs="Symbol"/>
          <w:iCs/>
          <w:spacing w:val="-3"/>
          <w:lang w:val="en-US"/>
        </w:rPr>
        <w:t xml:space="preserve"> (aq)</w:t>
      </w:r>
      <w:r w:rsidRPr="00FE07A8">
        <w:rPr>
          <w:rFonts w:eastAsia="Symbol" w:cs="Symbol"/>
          <w:lang w:val="en-US"/>
        </w:rPr>
        <w:t xml:space="preserve">: Aqueous phase thermochemical data not available. As well, gas phase thermochemical data </w:t>
      </w:r>
      <w:r w:rsidRPr="00FE07A8">
        <w:rPr>
          <w:rFonts w:ascii="Symbol" w:eastAsia="Symbol" w:hAnsi="Symbol" w:cs="Symbol"/>
          <w:i/>
          <w:spacing w:val="-3"/>
          <w:lang w:val="en-US"/>
        </w:rPr>
        <w:t></w:t>
      </w:r>
      <w:r w:rsidRPr="00FE07A8">
        <w:rPr>
          <w:rFonts w:eastAsia="Symbol"/>
          <w:i/>
          <w:spacing w:val="-3"/>
          <w:vertAlign w:val="subscript"/>
          <w:lang w:val="en-US"/>
        </w:rPr>
        <w:t>R</w:t>
      </w:r>
      <w:r w:rsidRPr="00FE07A8">
        <w:rPr>
          <w:rFonts w:ascii="Symbol" w:eastAsia="Symbol" w:hAnsi="Symbol" w:cs="Symbol"/>
          <w:iCs/>
          <w:spacing w:val="-3"/>
          <w:lang w:val="en-US"/>
        </w:rPr>
        <w:t></w:t>
      </w:r>
      <w:r w:rsidRPr="00FE07A8">
        <w:rPr>
          <w:rFonts w:eastAsia="Symbol" w:cs="Symbol"/>
          <w:spacing w:val="-3"/>
          <w:lang w:val="en-US"/>
        </w:rPr>
        <w:t xml:space="preserve"> (g) are not available.</w:t>
      </w:r>
    </w:p>
    <w:p w:rsidR="008076CF" w:rsidRDefault="008076CF" w:rsidP="008076CF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Symbol" w:hAnsi="Symbol"/>
          <w:spacing w:val="-3"/>
          <w:lang w:val="en-US"/>
        </w:rPr>
      </w:pPr>
    </w:p>
    <w:p w:rsidR="008076CF" w:rsidRDefault="008076CF" w:rsidP="004F2741">
      <w:pPr>
        <w:tabs>
          <w:tab w:val="left" w:pos="426"/>
          <w:tab w:val="left" w:pos="720"/>
        </w:tabs>
        <w:suppressAutoHyphens/>
        <w:spacing w:line="240" w:lineRule="atLeast"/>
        <w:jc w:val="both"/>
        <w:rPr>
          <w:lang w:val="en-CA"/>
        </w:rPr>
      </w:pPr>
      <w:r>
        <w:rPr>
          <w:rFonts w:ascii="Times New Roman" w:hAnsi="Times New Roman" w:cs="Times New Roman"/>
          <w:spacing w:val="-3"/>
          <w:lang w:val="en-US"/>
        </w:rPr>
        <w:t xml:space="preserve">As observed by Zhang et al. (2010), methyl vinyl ketone (MVK) in aqueous systems tends to isomerize to crotonaldehyde </w:t>
      </w:r>
      <w:r w:rsidRPr="00AD66DF">
        <w:rPr>
          <w:rFonts w:ascii="Times New Roman" w:hAnsi="Times New Roman" w:cs="Times New Roman"/>
          <w:spacing w:val="-3"/>
          <w:lang w:val="en-US"/>
        </w:rPr>
        <w:t>(1)</w:t>
      </w:r>
      <w:r w:rsidR="00BC4A45" w:rsidRPr="00AD66DF">
        <w:rPr>
          <w:lang w:val="en-CA"/>
        </w:rPr>
        <w:t xml:space="preserve"> by</w:t>
      </w:r>
      <w:r w:rsidR="00BC4A45">
        <w:rPr>
          <w:lang w:val="en-CA"/>
        </w:rPr>
        <w:t xml:space="preserve"> rearrangement</w:t>
      </w:r>
      <w:r>
        <w:rPr>
          <w:rFonts w:ascii="Times New Roman" w:hAnsi="Times New Roman" w:cs="Times New Roman"/>
          <w:spacing w:val="-3"/>
          <w:lang w:val="en-US"/>
        </w:rPr>
        <w:t xml:space="preserve"> (approx. 14% of dissolved MVK</w:t>
      </w:r>
      <w:r w:rsidR="00BC4A45">
        <w:rPr>
          <w:rFonts w:ascii="Times New Roman" w:hAnsi="Times New Roman" w:cs="Times New Roman"/>
          <w:spacing w:val="-3"/>
          <w:lang w:val="en-US"/>
        </w:rPr>
        <w:t>,</w:t>
      </w:r>
      <w:r w:rsidRPr="005E7FBB">
        <w:rPr>
          <w:lang w:val="en-CA"/>
        </w:rPr>
        <w:t xml:space="preserve"> </w:t>
      </w:r>
      <w:r>
        <w:rPr>
          <w:lang w:val="en-CA"/>
        </w:rPr>
        <w:t>independent of H</w:t>
      </w:r>
      <w:r w:rsidRPr="00156D90">
        <w:rPr>
          <w:vertAlign w:val="subscript"/>
          <w:lang w:val="en-CA"/>
        </w:rPr>
        <w:t>2</w:t>
      </w:r>
      <w:r>
        <w:rPr>
          <w:lang w:val="en-CA"/>
        </w:rPr>
        <w:t>O</w:t>
      </w:r>
      <w:r w:rsidRPr="00156D90">
        <w:rPr>
          <w:vertAlign w:val="subscript"/>
          <w:lang w:val="en-CA"/>
        </w:rPr>
        <w:t>2</w:t>
      </w:r>
      <w:r>
        <w:rPr>
          <w:lang w:val="en-CA"/>
        </w:rPr>
        <w:t xml:space="preserve"> or H</w:t>
      </w:r>
      <w:r w:rsidRPr="00156D90">
        <w:rPr>
          <w:vertAlign w:val="subscript"/>
          <w:lang w:val="en-CA"/>
        </w:rPr>
        <w:t>2</w:t>
      </w:r>
      <w:r>
        <w:rPr>
          <w:lang w:val="en-CA"/>
        </w:rPr>
        <w:t>SO</w:t>
      </w:r>
      <w:r w:rsidRPr="00156D90">
        <w:rPr>
          <w:vertAlign w:val="subscript"/>
          <w:lang w:val="en-CA"/>
        </w:rPr>
        <w:t>4</w:t>
      </w:r>
      <w:r>
        <w:rPr>
          <w:lang w:val="en-CA"/>
        </w:rPr>
        <w:t xml:space="preserve"> addition</w:t>
      </w:r>
      <w:r w:rsidR="00BC4A45">
        <w:rPr>
          <w:lang w:val="en-CA"/>
        </w:rPr>
        <w:t xml:space="preserve">; </w:t>
      </w:r>
      <w:r>
        <w:rPr>
          <w:lang w:val="en-CA"/>
        </w:rPr>
        <w:t>studies performed at pH = 4, 283 K; exact mechanism is still to be determined).</w:t>
      </w:r>
    </w:p>
    <w:p w:rsidR="008076CF" w:rsidRPr="00891F90" w:rsidRDefault="008076CF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AD66DF" w:rsidRDefault="00AD66DF" w:rsidP="00821651">
      <w:pPr>
        <w:tabs>
          <w:tab w:val="center" w:pos="4680"/>
        </w:tabs>
        <w:suppressAutoHyphens/>
        <w:spacing w:line="240" w:lineRule="atLeast"/>
        <w:jc w:val="center"/>
        <w:rPr>
          <w:b/>
          <w:spacing w:val="-3"/>
          <w:lang w:val="en-CA"/>
        </w:rPr>
      </w:pPr>
    </w:p>
    <w:p w:rsidR="00821651" w:rsidRPr="00893259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893259">
        <w:rPr>
          <w:b/>
          <w:spacing w:val="-3"/>
          <w:lang w:val="en-CA"/>
        </w:rPr>
        <w:lastRenderedPageBreak/>
        <w:t>Comments</w:t>
      </w:r>
    </w:p>
    <w:p w:rsidR="00BA6D1D" w:rsidRPr="00973F08" w:rsidRDefault="00BA6D1D" w:rsidP="00FC186E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</w:p>
    <w:p w:rsidR="00973F08" w:rsidRPr="004F2741" w:rsidRDefault="00973F08" w:rsidP="00E57CE9">
      <w:pPr>
        <w:numPr>
          <w:ilvl w:val="0"/>
          <w:numId w:val="13"/>
        </w:numPr>
        <w:suppressAutoHyphens/>
        <w:spacing w:after="120"/>
        <w:ind w:left="426" w:hanging="426"/>
        <w:jc w:val="both"/>
        <w:rPr>
          <w:lang w:val="pt-BR"/>
        </w:rPr>
      </w:pPr>
      <w:r>
        <w:rPr>
          <w:spacing w:val="-2"/>
          <w:lang w:val="en-US"/>
        </w:rPr>
        <w:t xml:space="preserve">Kumar et al. verified their determined rate </w:t>
      </w:r>
      <w:r w:rsidR="00AD66DF">
        <w:rPr>
          <w:spacing w:val="-2"/>
          <w:lang w:val="en-US"/>
        </w:rPr>
        <w:t>coefficient</w:t>
      </w:r>
      <w:r>
        <w:rPr>
          <w:spacing w:val="-2"/>
          <w:lang w:val="en-US"/>
        </w:rPr>
        <w:t xml:space="preserve"> (</w:t>
      </w:r>
      <w:r w:rsidR="00CF5876">
        <w:rPr>
          <w:spacing w:val="-2"/>
          <w:lang w:val="en-US"/>
        </w:rPr>
        <w:t>c</w:t>
      </w:r>
      <w:r>
        <w:rPr>
          <w:spacing w:val="-2"/>
          <w:lang w:val="en-US"/>
        </w:rPr>
        <w:t>) by observing the build up of the transient species (T</w:t>
      </w:r>
      <w:r w:rsidRPr="000D6CA9">
        <w:rPr>
          <w:spacing w:val="-2"/>
          <w:vertAlign w:val="subscript"/>
          <w:lang w:val="en-US"/>
        </w:rPr>
        <w:t>2</w:t>
      </w:r>
      <w:r>
        <w:rPr>
          <w:spacing w:val="-2"/>
          <w:lang w:val="en-US"/>
        </w:rPr>
        <w:t>) of MVK at 310 nm under the same conditions as (</w:t>
      </w:r>
      <w:r w:rsidR="00CF5876">
        <w:rPr>
          <w:spacing w:val="-2"/>
          <w:lang w:val="en-US"/>
        </w:rPr>
        <w:t>c</w:t>
      </w:r>
      <w:r>
        <w:rPr>
          <w:spacing w:val="-2"/>
          <w:lang w:val="en-US"/>
        </w:rPr>
        <w:t>)</w:t>
      </w:r>
      <w:r w:rsidR="00CF5876">
        <w:rPr>
          <w:spacing w:val="-2"/>
          <w:lang w:val="en-US"/>
        </w:rPr>
        <w:t xml:space="preserve">; </w:t>
      </w:r>
      <w:r w:rsidR="00CF5876">
        <w:rPr>
          <w:lang w:val="en-CA"/>
        </w:rPr>
        <w:t xml:space="preserve">as no exact temperature is given, T = 294 K is assumed </w:t>
      </w:r>
      <w:r w:rsidR="00C44C33">
        <w:rPr>
          <w:lang w:val="en-CA"/>
        </w:rPr>
        <w:t>as</w:t>
      </w:r>
      <w:r w:rsidR="00CF5876">
        <w:rPr>
          <w:lang w:val="en-CA"/>
        </w:rPr>
        <w:t xml:space="preserve"> room temperature</w:t>
      </w:r>
      <w:r>
        <w:rPr>
          <w:spacing w:val="-2"/>
          <w:lang w:val="en-US"/>
        </w:rPr>
        <w:t>.</w:t>
      </w:r>
    </w:p>
    <w:p w:rsidR="00B86EB3" w:rsidRPr="004F2741" w:rsidRDefault="00B86EB3" w:rsidP="00B86EB3">
      <w:pPr>
        <w:suppressAutoHyphens/>
        <w:spacing w:after="120"/>
        <w:ind w:left="426"/>
        <w:jc w:val="both"/>
        <w:rPr>
          <w:lang w:val="pt-BR"/>
        </w:rPr>
      </w:pPr>
    </w:p>
    <w:p w:rsidR="00E57CE9" w:rsidRDefault="00BC4A45" w:rsidP="00E57CE9">
      <w:pPr>
        <w:numPr>
          <w:ilvl w:val="0"/>
          <w:numId w:val="13"/>
        </w:numPr>
        <w:suppressAutoHyphens/>
        <w:spacing w:after="120"/>
        <w:ind w:left="426" w:hanging="426"/>
        <w:jc w:val="both"/>
        <w:rPr>
          <w:lang w:val="pt-BR"/>
        </w:rPr>
      </w:pPr>
      <w:r>
        <w:rPr>
          <w:spacing w:val="-2"/>
          <w:lang w:val="en-US"/>
        </w:rPr>
        <w:t>HO</w:t>
      </w:r>
      <w:r w:rsidR="002254C8">
        <w:rPr>
          <w:spacing w:val="-2"/>
          <w:lang w:val="en-US"/>
        </w:rPr>
        <w:t xml:space="preserve"> radicals were generated by irradiation of N</w:t>
      </w:r>
      <w:r w:rsidR="002254C8">
        <w:rPr>
          <w:spacing w:val="-2"/>
          <w:vertAlign w:val="subscript"/>
          <w:lang w:val="en-US"/>
        </w:rPr>
        <w:t>2</w:t>
      </w:r>
      <w:r w:rsidR="002254C8">
        <w:rPr>
          <w:spacing w:val="-2"/>
          <w:lang w:val="en-US"/>
        </w:rPr>
        <w:t xml:space="preserve">O saturated solutions; </w:t>
      </w:r>
      <w:r w:rsidR="002254C8">
        <w:rPr>
          <w:i/>
          <w:spacing w:val="-2"/>
          <w:lang w:val="en-US"/>
        </w:rPr>
        <w:t>c</w:t>
      </w:r>
      <w:r w:rsidR="002254C8">
        <w:rPr>
          <w:spacing w:val="-2"/>
          <w:lang w:val="en-US"/>
        </w:rPr>
        <w:t>(N</w:t>
      </w:r>
      <w:r w:rsidR="002254C8">
        <w:rPr>
          <w:spacing w:val="-2"/>
          <w:vertAlign w:val="subscript"/>
          <w:lang w:val="en-US"/>
        </w:rPr>
        <w:t>2</w:t>
      </w:r>
      <w:r w:rsidR="002254C8">
        <w:rPr>
          <w:spacing w:val="-2"/>
          <w:lang w:val="en-US"/>
        </w:rPr>
        <w:t>O) = 2.5 × 10</w:t>
      </w:r>
      <w:r w:rsidR="002254C8">
        <w:rPr>
          <w:spacing w:val="-2"/>
          <w:vertAlign w:val="superscript"/>
          <w:lang w:val="en-US"/>
        </w:rPr>
        <w:noBreakHyphen/>
        <w:t>2</w:t>
      </w:r>
      <w:r w:rsidR="002254C8">
        <w:rPr>
          <w:spacing w:val="-2"/>
          <w:lang w:val="en-US"/>
        </w:rPr>
        <w:t> M, concentration of the carbonyl compounds was given as “some 10</w:t>
      </w:r>
      <w:r w:rsidR="002254C8">
        <w:rPr>
          <w:spacing w:val="-2"/>
          <w:vertAlign w:val="superscript"/>
          <w:lang w:val="en-US"/>
        </w:rPr>
        <w:noBreakHyphen/>
        <w:t>4</w:t>
      </w:r>
      <w:r w:rsidR="002254C8">
        <w:rPr>
          <w:spacing w:val="-2"/>
          <w:lang w:val="en-US"/>
        </w:rPr>
        <w:t xml:space="preserve"> molar”, concentration of the compound radicals was calculated to be around 10</w:t>
      </w:r>
      <w:r w:rsidR="002254C8">
        <w:rPr>
          <w:spacing w:val="-2"/>
          <w:vertAlign w:val="superscript"/>
          <w:lang w:val="en-US"/>
        </w:rPr>
        <w:noBreakHyphen/>
        <w:t>5</w:t>
      </w:r>
      <w:r w:rsidR="002254C8">
        <w:rPr>
          <w:spacing w:val="-2"/>
          <w:lang w:val="en-US"/>
        </w:rPr>
        <w:t xml:space="preserve"> M; reference reaction: </w:t>
      </w:r>
      <w:r>
        <w:rPr>
          <w:lang w:val="pt-BR"/>
        </w:rPr>
        <w:t>HO</w:t>
      </w:r>
      <w:r w:rsidR="002254C8">
        <w:rPr>
          <w:lang w:val="pt-BR"/>
        </w:rPr>
        <w:t xml:space="preserve"> + SCN</w:t>
      </w:r>
      <w:r w:rsidR="002254C8">
        <w:rPr>
          <w:vertAlign w:val="superscript"/>
          <w:lang w:val="pt-BR"/>
        </w:rPr>
        <w:noBreakHyphen/>
      </w:r>
      <w:r w:rsidR="002254C8">
        <w:rPr>
          <w:lang w:val="pt-BR"/>
        </w:rPr>
        <w:t xml:space="preserve"> with </w:t>
      </w:r>
      <w:r w:rsidR="002254C8">
        <w:rPr>
          <w:i/>
          <w:lang w:val="pt-BR"/>
        </w:rPr>
        <w:t>k</w:t>
      </w:r>
      <w:r w:rsidR="002254C8">
        <w:rPr>
          <w:lang w:val="pt-BR"/>
        </w:rPr>
        <w:t>(</w:t>
      </w:r>
      <w:r>
        <w:rPr>
          <w:lang w:val="pt-BR"/>
        </w:rPr>
        <w:t>HO</w:t>
      </w:r>
      <w:r w:rsidR="002254C8">
        <w:rPr>
          <w:lang w:val="pt-BR"/>
        </w:rPr>
        <w:t xml:space="preserve"> + SCN</w:t>
      </w:r>
      <w:r w:rsidR="002254C8">
        <w:rPr>
          <w:vertAlign w:val="superscript"/>
          <w:lang w:val="pt-BR"/>
        </w:rPr>
        <w:noBreakHyphen/>
      </w:r>
      <w:r w:rsidR="002254C8">
        <w:rPr>
          <w:lang w:val="pt-BR"/>
        </w:rPr>
        <w:t>) = 6.6 × 10</w:t>
      </w:r>
      <w:r w:rsidR="002254C8">
        <w:rPr>
          <w:vertAlign w:val="superscript"/>
          <w:lang w:val="pt-BR"/>
        </w:rPr>
        <w:t>9</w:t>
      </w:r>
      <w:r w:rsidR="002254C8">
        <w:rPr>
          <w:lang w:val="pt-BR"/>
        </w:rPr>
        <w:t> M</w:t>
      </w:r>
      <w:r w:rsidR="002254C8">
        <w:rPr>
          <w:vertAlign w:val="superscript"/>
          <w:lang w:val="pt-BR"/>
        </w:rPr>
        <w:noBreakHyphen/>
        <w:t>1</w:t>
      </w:r>
      <w:r w:rsidR="002254C8">
        <w:rPr>
          <w:lang w:val="pt-BR"/>
        </w:rPr>
        <w:t> s</w:t>
      </w:r>
      <w:r w:rsidR="002254C8">
        <w:rPr>
          <w:vertAlign w:val="superscript"/>
          <w:lang w:val="pt-BR"/>
        </w:rPr>
        <w:noBreakHyphen/>
        <w:t>1</w:t>
      </w:r>
      <w:r w:rsidR="002254C8">
        <w:rPr>
          <w:lang w:val="pt-BR"/>
        </w:rPr>
        <w:t xml:space="preserve">; </w:t>
      </w:r>
      <w:r w:rsidR="00AD66DF">
        <w:rPr>
          <w:lang w:val="pt-BR"/>
        </w:rPr>
        <w:t xml:space="preserve">rate coefficients have been recalculated using the selected temperature dependence for the reference reaction by Zhu et al.(2003); </w:t>
      </w:r>
      <w:r w:rsidR="002254C8">
        <w:rPr>
          <w:lang w:val="pt-BR"/>
        </w:rPr>
        <w:t>analysis was performed within a buffered pH range from 5 to 9</w:t>
      </w:r>
      <w:r w:rsidR="002E005E">
        <w:rPr>
          <w:lang w:val="pt-BR"/>
        </w:rPr>
        <w:t>;</w:t>
      </w:r>
      <w:r w:rsidR="002254C8">
        <w:rPr>
          <w:lang w:val="pt-BR"/>
        </w:rPr>
        <w:t xml:space="preserve"> Lilie and Henglein determined, that 30% of the nonhydrated compound radical disproportioned to yield the enol and </w:t>
      </w:r>
      <w:r w:rsidR="002254C8" w:rsidRPr="002B06A4">
        <w:rPr>
          <w:i/>
          <w:lang w:val="pt-BR"/>
        </w:rPr>
        <w:t>β</w:t>
      </w:r>
      <w:r w:rsidR="002254C8">
        <w:rPr>
          <w:lang w:val="pt-BR"/>
        </w:rPr>
        <w:t>-alcohol while the rest forms a dimer</w:t>
      </w:r>
      <w:r w:rsidR="00CF5876">
        <w:rPr>
          <w:lang w:val="pt-BR"/>
        </w:rPr>
        <w:t xml:space="preserve">; </w:t>
      </w:r>
      <w:r w:rsidR="00CF5876">
        <w:rPr>
          <w:lang w:val="en-CA"/>
        </w:rPr>
        <w:t>as no exact temperature is given, T = 294 K is assumed for room temperature</w:t>
      </w:r>
      <w:r w:rsidR="002254C8">
        <w:rPr>
          <w:lang w:val="pt-BR"/>
        </w:rPr>
        <w:t>.</w:t>
      </w:r>
      <w:r w:rsidR="00E57CE9">
        <w:rPr>
          <w:lang w:val="pt-BR"/>
        </w:rPr>
        <w:t xml:space="preserve"> </w:t>
      </w:r>
    </w:p>
    <w:p w:rsidR="00FC186E" w:rsidRPr="002254C8" w:rsidRDefault="00FC186E" w:rsidP="002254C8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rFonts w:cs="Times New Roman"/>
          <w:lang w:val="pt-BR"/>
        </w:rPr>
      </w:pPr>
    </w:p>
    <w:p w:rsidR="00E57CE9" w:rsidRDefault="00E57CE9" w:rsidP="004F2741">
      <w:pPr>
        <w:tabs>
          <w:tab w:val="left" w:pos="426"/>
          <w:tab w:val="left" w:pos="851"/>
        </w:tabs>
        <w:suppressAutoHyphens/>
        <w:spacing w:line="240" w:lineRule="atLeast"/>
        <w:ind w:left="426" w:hanging="426"/>
        <w:jc w:val="both"/>
        <w:rPr>
          <w:rFonts w:eastAsia="Symbol" w:cs="Symbol"/>
          <w:lang w:val="en-CA"/>
        </w:rPr>
      </w:pPr>
      <w:r w:rsidRPr="00E57CE9">
        <w:rPr>
          <w:lang w:val="pt-BR"/>
        </w:rPr>
        <w:t>(</w:t>
      </w:r>
      <w:r w:rsidR="00973F08">
        <w:rPr>
          <w:lang w:val="pt-BR"/>
        </w:rPr>
        <w:t>c</w:t>
      </w:r>
      <w:r w:rsidR="000D121F">
        <w:rPr>
          <w:lang w:val="pt-BR"/>
        </w:rPr>
        <w:t>)</w:t>
      </w:r>
      <w:r w:rsidR="000D121F">
        <w:rPr>
          <w:lang w:val="pt-BR"/>
        </w:rPr>
        <w:tab/>
      </w:r>
      <w:r w:rsidR="004D0A1E">
        <w:rPr>
          <w:lang w:val="pt-BR"/>
        </w:rPr>
        <w:t xml:space="preserve">Radicals generated by </w:t>
      </w:r>
      <w:r w:rsidR="00D95437">
        <w:rPr>
          <w:lang w:val="pt-BR"/>
        </w:rPr>
        <w:t>pulse radiolysis of N</w:t>
      </w:r>
      <w:r w:rsidR="00D95437">
        <w:rPr>
          <w:vertAlign w:val="subscript"/>
          <w:lang w:val="pt-BR"/>
        </w:rPr>
        <w:t>2</w:t>
      </w:r>
      <w:r w:rsidR="00D95437">
        <w:rPr>
          <w:lang w:val="pt-BR"/>
        </w:rPr>
        <w:t>O saturated solutions</w:t>
      </w:r>
      <w:r w:rsidR="00107670">
        <w:rPr>
          <w:lang w:val="pt-BR"/>
        </w:rPr>
        <w:t>, formation of (</w:t>
      </w:r>
      <w:r w:rsidR="002E005E">
        <w:rPr>
          <w:lang w:val="pt-BR"/>
        </w:rPr>
        <w:t>SCN</w:t>
      </w:r>
      <w:r w:rsidR="00107670">
        <w:rPr>
          <w:lang w:val="pt-BR"/>
        </w:rPr>
        <w:t>)</w:t>
      </w:r>
      <w:r w:rsidR="00107670">
        <w:rPr>
          <w:vertAlign w:val="subscript"/>
          <w:lang w:val="pt-BR"/>
        </w:rPr>
        <w:t>2</w:t>
      </w:r>
      <w:r w:rsidR="00107670" w:rsidRPr="00107670">
        <w:rPr>
          <w:vertAlign w:val="superscript"/>
          <w:lang w:val="pt-BR"/>
        </w:rPr>
        <w:t>·</w:t>
      </w:r>
      <w:r w:rsidR="00107670">
        <w:rPr>
          <w:vertAlign w:val="superscript"/>
          <w:lang w:val="pt-BR"/>
        </w:rPr>
        <w:noBreakHyphen/>
      </w:r>
      <w:r w:rsidR="00107670">
        <w:rPr>
          <w:lang w:val="pt-BR"/>
        </w:rPr>
        <w:t xml:space="preserve"> species observed at 500 nm</w:t>
      </w:r>
      <w:r w:rsidR="00D95437">
        <w:rPr>
          <w:lang w:val="pt-BR"/>
        </w:rPr>
        <w:t>;</w:t>
      </w:r>
      <w:r w:rsidR="000D121F">
        <w:rPr>
          <w:lang w:val="pt-BR"/>
        </w:rPr>
        <w:t xml:space="preserve"> reference reaction: </w:t>
      </w:r>
      <w:r w:rsidR="00BC4A45">
        <w:rPr>
          <w:lang w:val="pt-BR"/>
        </w:rPr>
        <w:t>HO</w:t>
      </w:r>
      <w:r w:rsidR="000D121F">
        <w:rPr>
          <w:lang w:val="pt-BR"/>
        </w:rPr>
        <w:t xml:space="preserve"> + SCN</w:t>
      </w:r>
      <w:r w:rsidR="000D121F">
        <w:rPr>
          <w:vertAlign w:val="superscript"/>
          <w:lang w:val="pt-BR"/>
        </w:rPr>
        <w:noBreakHyphen/>
      </w:r>
      <w:r w:rsidR="000D121F">
        <w:rPr>
          <w:lang w:val="pt-BR"/>
        </w:rPr>
        <w:t xml:space="preserve"> with no rate </w:t>
      </w:r>
      <w:r w:rsidR="00AD66DF">
        <w:rPr>
          <w:lang w:val="pt-BR"/>
        </w:rPr>
        <w:t>coefficient</w:t>
      </w:r>
      <w:r w:rsidR="000D121F">
        <w:rPr>
          <w:lang w:val="pt-BR"/>
        </w:rPr>
        <w:t xml:space="preserve"> given for reference;</w:t>
      </w:r>
      <w:r w:rsidR="00107670">
        <w:rPr>
          <w:lang w:val="pt-BR"/>
        </w:rPr>
        <w:t xml:space="preserve"> </w:t>
      </w:r>
      <w:r w:rsidR="003B48C1">
        <w:rPr>
          <w:i/>
          <w:lang w:val="pt-BR"/>
        </w:rPr>
        <w:t>c</w:t>
      </w:r>
      <w:r w:rsidR="003B48C1">
        <w:rPr>
          <w:lang w:val="pt-BR"/>
        </w:rPr>
        <w:t>(methyl vinyl ketone</w:t>
      </w:r>
      <w:r w:rsidR="00BF1FB7">
        <w:rPr>
          <w:lang w:val="pt-BR"/>
        </w:rPr>
        <w:t>) = 4 × 10</w:t>
      </w:r>
      <w:r w:rsidR="00BF1FB7">
        <w:rPr>
          <w:vertAlign w:val="superscript"/>
          <w:lang w:val="pt-BR"/>
        </w:rPr>
        <w:noBreakHyphen/>
        <w:t>3</w:t>
      </w:r>
      <w:r w:rsidR="00BF1FB7">
        <w:rPr>
          <w:lang w:val="pt-BR"/>
        </w:rPr>
        <w:t> M</w:t>
      </w:r>
      <w:r w:rsidR="00A948E0">
        <w:rPr>
          <w:lang w:val="pt-BR"/>
        </w:rPr>
        <w:t xml:space="preserve">; rate </w:t>
      </w:r>
      <w:r w:rsidR="00AD66DF">
        <w:rPr>
          <w:lang w:val="pt-BR"/>
        </w:rPr>
        <w:t>coefficient</w:t>
      </w:r>
      <w:r w:rsidR="00A948E0">
        <w:rPr>
          <w:lang w:val="pt-BR"/>
        </w:rPr>
        <w:t xml:space="preserve"> was confirmed by direct observation of transient species at 310 nm (</w:t>
      </w:r>
      <w:r w:rsidR="00CF5876">
        <w:rPr>
          <w:lang w:val="pt-BR"/>
        </w:rPr>
        <w:t xml:space="preserve">see (a), </w:t>
      </w:r>
      <w:r w:rsidR="00A948E0">
        <w:rPr>
          <w:i/>
          <w:lang w:val="pt-BR"/>
        </w:rPr>
        <w:t>k</w:t>
      </w:r>
      <w:r w:rsidR="00A948E0">
        <w:rPr>
          <w:lang w:val="pt-BR"/>
        </w:rPr>
        <w:t> = 7.0 × 10</w:t>
      </w:r>
      <w:r w:rsidR="00A948E0">
        <w:rPr>
          <w:vertAlign w:val="superscript"/>
          <w:lang w:val="pt-BR"/>
        </w:rPr>
        <w:t>8</w:t>
      </w:r>
      <w:r w:rsidR="00A948E0">
        <w:rPr>
          <w:lang w:val="pt-BR"/>
        </w:rPr>
        <w:t> M</w:t>
      </w:r>
      <w:r w:rsidR="00A948E0">
        <w:rPr>
          <w:vertAlign w:val="superscript"/>
          <w:lang w:val="pt-BR"/>
        </w:rPr>
        <w:noBreakHyphen/>
        <w:t>1</w:t>
      </w:r>
      <w:r w:rsidR="00A948E0">
        <w:rPr>
          <w:lang w:val="pt-BR"/>
        </w:rPr>
        <w:t>s</w:t>
      </w:r>
      <w:r w:rsidR="00A948E0">
        <w:rPr>
          <w:vertAlign w:val="superscript"/>
          <w:lang w:val="pt-BR"/>
        </w:rPr>
        <w:noBreakHyphen/>
        <w:t>1</w:t>
      </w:r>
      <w:r w:rsidR="00A948E0">
        <w:rPr>
          <w:lang w:val="pt-BR"/>
        </w:rPr>
        <w:t xml:space="preserve">); </w:t>
      </w:r>
      <w:r w:rsidR="00CF5876">
        <w:rPr>
          <w:lang w:val="en-CA"/>
        </w:rPr>
        <w:t>as no exact temperature is given, T = 294 K is assumed for room temperature</w:t>
      </w:r>
      <w:r w:rsidR="00CF5876">
        <w:rPr>
          <w:lang w:val="pt-BR"/>
        </w:rPr>
        <w:t>.</w:t>
      </w:r>
    </w:p>
    <w:p w:rsidR="000D121F" w:rsidRDefault="000D121F" w:rsidP="00E57CE9">
      <w:pPr>
        <w:tabs>
          <w:tab w:val="left" w:pos="426"/>
          <w:tab w:val="left" w:pos="851"/>
        </w:tabs>
        <w:suppressAutoHyphens/>
        <w:spacing w:line="240" w:lineRule="atLeast"/>
        <w:ind w:left="426"/>
        <w:jc w:val="both"/>
        <w:rPr>
          <w:rFonts w:eastAsia="Symbol" w:cs="Symbol"/>
          <w:lang w:val="en-CA"/>
        </w:rPr>
      </w:pPr>
    </w:p>
    <w:p w:rsidR="005A60C4" w:rsidRPr="00A37AA5" w:rsidRDefault="00A45F07" w:rsidP="005A60C4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spacing w:val="-3"/>
          <w:lang w:val="en-US"/>
        </w:rPr>
      </w:pPr>
      <w:r>
        <w:rPr>
          <w:rFonts w:eastAsia="Symbol" w:cs="Symbol"/>
          <w:lang w:val="en-CA"/>
        </w:rPr>
        <w:t>(</w:t>
      </w:r>
      <w:r w:rsidR="00973F08">
        <w:rPr>
          <w:rFonts w:eastAsia="Symbol" w:cs="Symbol"/>
          <w:lang w:val="en-CA"/>
        </w:rPr>
        <w:t>d</w:t>
      </w:r>
      <w:r w:rsidR="000D121F">
        <w:rPr>
          <w:rFonts w:eastAsia="Symbol" w:cs="Symbol"/>
          <w:lang w:val="en-CA"/>
        </w:rPr>
        <w:t>)</w:t>
      </w:r>
      <w:r w:rsidR="000D121F">
        <w:rPr>
          <w:rFonts w:eastAsia="Symbol" w:cs="Symbol"/>
          <w:lang w:val="en-CA"/>
        </w:rPr>
        <w:tab/>
      </w:r>
      <w:r w:rsidR="00CF5876">
        <w:rPr>
          <w:spacing w:val="-3"/>
          <w:lang w:val="en-US"/>
        </w:rPr>
        <w:t>R</w:t>
      </w:r>
      <w:r w:rsidR="005A60C4">
        <w:rPr>
          <w:spacing w:val="-3"/>
          <w:lang w:val="en-US"/>
        </w:rPr>
        <w:t xml:space="preserve">adicals generated by photolysis of </w:t>
      </w:r>
      <w:r w:rsidR="005A60C4" w:rsidRPr="00FE07A8">
        <w:rPr>
          <w:spacing w:val="-2"/>
          <w:lang w:val="en-US"/>
        </w:rPr>
        <w:t>H</w:t>
      </w:r>
      <w:r w:rsidR="005A60C4" w:rsidRPr="00FE07A8">
        <w:rPr>
          <w:spacing w:val="-2"/>
          <w:vertAlign w:val="subscript"/>
          <w:lang w:val="en-US"/>
        </w:rPr>
        <w:t>2</w:t>
      </w:r>
      <w:r w:rsidR="005A60C4" w:rsidRPr="00FE07A8">
        <w:rPr>
          <w:spacing w:val="-2"/>
          <w:lang w:val="en-US"/>
        </w:rPr>
        <w:t>O</w:t>
      </w:r>
      <w:r w:rsidR="005A60C4" w:rsidRPr="00FE07A8">
        <w:rPr>
          <w:spacing w:val="-2"/>
          <w:vertAlign w:val="subscript"/>
          <w:lang w:val="en-US"/>
        </w:rPr>
        <w:t>2</w:t>
      </w:r>
      <w:r w:rsidR="005A60C4" w:rsidRPr="00FE07A8">
        <w:rPr>
          <w:spacing w:val="-2"/>
          <w:lang w:val="en-US"/>
        </w:rPr>
        <w:t xml:space="preserve"> solution at 248 nm</w:t>
      </w:r>
      <w:r w:rsidR="005A60C4">
        <w:rPr>
          <w:spacing w:val="-2"/>
          <w:lang w:val="en-US"/>
        </w:rPr>
        <w:t xml:space="preserve">, product detection at 436 nm; </w:t>
      </w:r>
      <w:r w:rsidR="005A60C4" w:rsidRPr="00FE07A8">
        <w:rPr>
          <w:spacing w:val="-2"/>
          <w:lang w:val="en-US"/>
        </w:rPr>
        <w:t xml:space="preserve">reference reaction: </w:t>
      </w:r>
      <w:r w:rsidR="00BC4A45">
        <w:rPr>
          <w:lang w:val="en-US"/>
        </w:rPr>
        <w:t>HO</w:t>
      </w:r>
      <w:r w:rsidR="005A60C4" w:rsidRPr="00FE07A8">
        <w:rPr>
          <w:lang w:val="en-US"/>
        </w:rPr>
        <w:t xml:space="preserve"> + SCN</w:t>
      </w:r>
      <w:r w:rsidR="005A60C4" w:rsidRPr="00FE07A8">
        <w:rPr>
          <w:vertAlign w:val="superscript"/>
          <w:lang w:val="en-US"/>
        </w:rPr>
        <w:noBreakHyphen/>
      </w:r>
      <w:r w:rsidR="005A60C4" w:rsidRPr="00FE07A8">
        <w:rPr>
          <w:lang w:val="en-US"/>
        </w:rPr>
        <w:t xml:space="preserve"> with ln </w:t>
      </w:r>
      <w:r w:rsidR="005A60C4" w:rsidRPr="00FE07A8">
        <w:rPr>
          <w:rFonts w:ascii="Times New Roman" w:hAnsi="Times New Roman" w:cs="Times New Roman"/>
          <w:bCs/>
          <w:i/>
          <w:iCs/>
          <w:lang w:val="en-US" w:eastAsia="en-CA"/>
        </w:rPr>
        <w:t>k</w:t>
      </w:r>
      <w:r w:rsidR="005A60C4" w:rsidRPr="00FE07A8">
        <w:rPr>
          <w:rFonts w:ascii="Times New Roman" w:hAnsi="Times New Roman" w:cs="Times New Roman"/>
          <w:bCs/>
          <w:iCs/>
          <w:lang w:val="en-US" w:eastAsia="en-CA"/>
        </w:rPr>
        <w:t>(T)</w:t>
      </w:r>
      <w:r w:rsidR="005A60C4" w:rsidRPr="00FE07A8">
        <w:rPr>
          <w:rFonts w:ascii="Times New Roman" w:hAnsi="Times New Roman" w:cs="Times New Roman"/>
          <w:bCs/>
          <w:i/>
          <w:iCs/>
          <w:lang w:val="en-US" w:eastAsia="en-CA"/>
        </w:rPr>
        <w:t xml:space="preserve"> = </w:t>
      </w:r>
      <w:r w:rsidR="005A60C4" w:rsidRPr="00FE07A8">
        <w:rPr>
          <w:rFonts w:ascii="Times New Roman" w:hAnsi="Times New Roman" w:cs="Times New Roman"/>
          <w:bCs/>
          <w:lang w:val="en-US" w:eastAsia="en-CA"/>
        </w:rPr>
        <w:t>(29.614±0.636) - (1900±</w:t>
      </w:r>
      <w:r w:rsidR="005A60C4" w:rsidRPr="00FE07A8">
        <w:rPr>
          <w:rFonts w:ascii="Times New Roman" w:hAnsi="Times New Roman" w:cs="Times New Roman"/>
          <w:bCs/>
          <w:iCs/>
          <w:lang w:val="en-US" w:eastAsia="en-CA"/>
        </w:rPr>
        <w:t>190)/T</w:t>
      </w:r>
      <w:r w:rsidR="005A60C4" w:rsidRPr="00FE07A8">
        <w:rPr>
          <w:lang w:val="en-US"/>
        </w:rPr>
        <w:t> M</w:t>
      </w:r>
      <w:r w:rsidR="005A60C4" w:rsidRPr="00FE07A8">
        <w:rPr>
          <w:vertAlign w:val="superscript"/>
          <w:lang w:val="en-US"/>
        </w:rPr>
        <w:noBreakHyphen/>
        <w:t>1</w:t>
      </w:r>
      <w:r w:rsidR="005A60C4" w:rsidRPr="00FE07A8">
        <w:rPr>
          <w:lang w:val="en-US"/>
        </w:rPr>
        <w:t> s</w:t>
      </w:r>
      <w:r w:rsidR="005A60C4" w:rsidRPr="00FE07A8">
        <w:rPr>
          <w:vertAlign w:val="superscript"/>
          <w:lang w:val="en-US"/>
        </w:rPr>
        <w:noBreakHyphen/>
        <w:t>1</w:t>
      </w:r>
      <w:r w:rsidR="005A60C4" w:rsidRPr="00FE07A8">
        <w:rPr>
          <w:lang w:val="en-US"/>
        </w:rPr>
        <w:t xml:space="preserve"> (according to Chin and Wine (1992));</w:t>
      </w:r>
      <w:r w:rsidR="005A60C4">
        <w:rPr>
          <w:spacing w:val="-2"/>
          <w:lang w:val="en-US"/>
        </w:rPr>
        <w:t xml:space="preserve"> </w:t>
      </w:r>
      <w:r w:rsidR="007B13BD">
        <w:rPr>
          <w:spacing w:val="-2"/>
          <w:lang w:val="en-US"/>
        </w:rPr>
        <w:t xml:space="preserve">rate </w:t>
      </w:r>
      <w:r w:rsidR="00AD66DF">
        <w:rPr>
          <w:spacing w:val="-2"/>
          <w:lang w:val="en-US"/>
        </w:rPr>
        <w:t>coefficient</w:t>
      </w:r>
      <w:r w:rsidR="007B13BD">
        <w:rPr>
          <w:spacing w:val="-2"/>
          <w:lang w:val="en-US"/>
        </w:rPr>
        <w:t xml:space="preserve">s were recalculated using </w:t>
      </w:r>
      <w:r w:rsidR="00CF5876">
        <w:rPr>
          <w:spacing w:val="-2"/>
          <w:lang w:val="en-US"/>
        </w:rPr>
        <w:t>the</w:t>
      </w:r>
      <w:r w:rsidR="007B13BD">
        <w:rPr>
          <w:spacing w:val="-2"/>
          <w:lang w:val="en-US"/>
        </w:rPr>
        <w:t xml:space="preserve"> selected temperature dependent rate </w:t>
      </w:r>
      <w:r w:rsidR="00AD66DF">
        <w:rPr>
          <w:spacing w:val="-2"/>
          <w:lang w:val="en-US"/>
        </w:rPr>
        <w:t>coefficient</w:t>
      </w:r>
      <w:r w:rsidR="007B13BD">
        <w:rPr>
          <w:spacing w:val="-2"/>
          <w:lang w:val="en-US"/>
        </w:rPr>
        <w:t xml:space="preserve">s </w:t>
      </w:r>
      <w:r w:rsidR="00CF5876">
        <w:rPr>
          <w:spacing w:val="-2"/>
          <w:lang w:val="en-US"/>
        </w:rPr>
        <w:t xml:space="preserve"> by </w:t>
      </w:r>
      <w:r w:rsidR="007B13BD">
        <w:rPr>
          <w:spacing w:val="-2"/>
          <w:lang w:val="en-US"/>
        </w:rPr>
        <w:t xml:space="preserve">Zhu et al., 2003; </w:t>
      </w:r>
      <w:r w:rsidR="005A60C4">
        <w:rPr>
          <w:i/>
          <w:spacing w:val="-2"/>
          <w:lang w:val="en-US"/>
        </w:rPr>
        <w:t>c</w:t>
      </w:r>
      <w:r w:rsidR="005A60C4">
        <w:rPr>
          <w:spacing w:val="-2"/>
          <w:lang w:val="en-US"/>
        </w:rPr>
        <w:t>(H</w:t>
      </w:r>
      <w:r w:rsidR="005A60C4">
        <w:rPr>
          <w:spacing w:val="-2"/>
          <w:vertAlign w:val="subscript"/>
          <w:lang w:val="en-US"/>
        </w:rPr>
        <w:t>2</w:t>
      </w:r>
      <w:r w:rsidR="005A60C4">
        <w:rPr>
          <w:spacing w:val="-2"/>
          <w:lang w:val="en-US"/>
        </w:rPr>
        <w:t>O</w:t>
      </w:r>
      <w:r w:rsidR="005A60C4">
        <w:rPr>
          <w:spacing w:val="-2"/>
          <w:vertAlign w:val="subscript"/>
          <w:lang w:val="en-US"/>
        </w:rPr>
        <w:t>2</w:t>
      </w:r>
      <w:r w:rsidR="005A60C4">
        <w:rPr>
          <w:spacing w:val="-2"/>
          <w:lang w:val="en-US"/>
        </w:rPr>
        <w:t>) = 2 × 10</w:t>
      </w:r>
      <w:r w:rsidR="005A60C4">
        <w:rPr>
          <w:spacing w:val="-2"/>
          <w:vertAlign w:val="superscript"/>
          <w:lang w:val="en-US"/>
        </w:rPr>
        <w:t>-5</w:t>
      </w:r>
      <w:r w:rsidR="005A60C4">
        <w:rPr>
          <w:spacing w:val="-2"/>
          <w:lang w:val="en-US"/>
        </w:rPr>
        <w:t xml:space="preserve"> M, </w:t>
      </w:r>
      <w:r w:rsidR="005A60C4">
        <w:rPr>
          <w:i/>
          <w:spacing w:val="-2"/>
          <w:lang w:val="en-US"/>
        </w:rPr>
        <w:t>c</w:t>
      </w:r>
      <w:r w:rsidR="005A60C4">
        <w:rPr>
          <w:spacing w:val="-2"/>
          <w:lang w:val="en-US"/>
        </w:rPr>
        <w:t>(KSCN) = 1 × 10</w:t>
      </w:r>
      <w:r w:rsidR="005A60C4">
        <w:rPr>
          <w:spacing w:val="-2"/>
          <w:vertAlign w:val="superscript"/>
          <w:lang w:val="en-US"/>
        </w:rPr>
        <w:t>-4</w:t>
      </w:r>
      <w:r w:rsidR="005A60C4">
        <w:rPr>
          <w:spacing w:val="-2"/>
          <w:lang w:val="en-US"/>
        </w:rPr>
        <w:t xml:space="preserve"> M, </w:t>
      </w:r>
      <w:r w:rsidR="005A60C4">
        <w:rPr>
          <w:i/>
          <w:spacing w:val="-2"/>
          <w:lang w:val="en-US"/>
        </w:rPr>
        <w:t>c</w:t>
      </w:r>
      <w:r w:rsidR="005A60C4">
        <w:rPr>
          <w:spacing w:val="-2"/>
          <w:lang w:val="en-US"/>
        </w:rPr>
        <w:t>(methyl vinyl ketone) ranging from 5 × 10</w:t>
      </w:r>
      <w:r w:rsidR="005A60C4">
        <w:rPr>
          <w:spacing w:val="-2"/>
          <w:vertAlign w:val="superscript"/>
          <w:lang w:val="en-US"/>
        </w:rPr>
        <w:t>-6</w:t>
      </w:r>
      <w:r w:rsidR="005A60C4">
        <w:rPr>
          <w:spacing w:val="-2"/>
          <w:lang w:val="en-US"/>
        </w:rPr>
        <w:t xml:space="preserve"> to 1 × 10</w:t>
      </w:r>
      <w:r w:rsidR="005A60C4">
        <w:rPr>
          <w:spacing w:val="-2"/>
          <w:vertAlign w:val="superscript"/>
          <w:lang w:val="en-US"/>
        </w:rPr>
        <w:t>-4</w:t>
      </w:r>
      <w:r w:rsidR="005A60C4">
        <w:rPr>
          <w:spacing w:val="-2"/>
          <w:lang w:val="en-US"/>
        </w:rPr>
        <w:t xml:space="preserve"> M; </w:t>
      </w:r>
      <w:r w:rsidR="005A60C4">
        <w:rPr>
          <w:spacing w:val="-3"/>
          <w:lang w:val="en-US"/>
        </w:rPr>
        <w:t xml:space="preserve">the rate </w:t>
      </w:r>
      <w:r w:rsidR="00AD66DF">
        <w:rPr>
          <w:spacing w:val="-3"/>
          <w:lang w:val="en-US"/>
        </w:rPr>
        <w:t>coefficient</w:t>
      </w:r>
      <w:r w:rsidR="005A60C4">
        <w:rPr>
          <w:spacing w:val="-3"/>
          <w:lang w:val="en-US"/>
        </w:rPr>
        <w:t xml:space="preserve">s at </w:t>
      </w:r>
      <w:r w:rsidR="005A60C4" w:rsidRPr="00680D2D">
        <w:rPr>
          <w:spacing w:val="-3"/>
          <w:lang w:val="en-US"/>
        </w:rPr>
        <w:t>298</w:t>
      </w:r>
      <w:r w:rsidR="005A60C4">
        <w:rPr>
          <w:spacing w:val="-3"/>
          <w:lang w:val="en-US"/>
        </w:rPr>
        <w:t xml:space="preserve"> K were determined from plotted data, as no specific temperature dependent value was given in the publication; (d1): corrected rate </w:t>
      </w:r>
      <w:r w:rsidR="00AD66DF">
        <w:rPr>
          <w:spacing w:val="-3"/>
          <w:lang w:val="en-US"/>
        </w:rPr>
        <w:t>coefficient</w:t>
      </w:r>
      <w:r w:rsidR="005A60C4">
        <w:rPr>
          <w:spacing w:val="-3"/>
          <w:lang w:val="en-US"/>
        </w:rPr>
        <w:t>, calculated by considering simultaneous diffusion and first order chemical reaction</w:t>
      </w:r>
      <w:r w:rsidR="00B67722">
        <w:rPr>
          <w:spacing w:val="-3"/>
          <w:lang w:val="en-US"/>
        </w:rPr>
        <w:t xml:space="preserve">, referring to the recalculated </w:t>
      </w:r>
      <w:r w:rsidR="00B67722">
        <w:rPr>
          <w:i/>
          <w:spacing w:val="-3"/>
          <w:lang w:val="en-US"/>
        </w:rPr>
        <w:t>k</w:t>
      </w:r>
      <w:r w:rsidR="00B67722">
        <w:rPr>
          <w:spacing w:val="-3"/>
          <w:lang w:val="en-US"/>
        </w:rPr>
        <w:t>(298 K) value</w:t>
      </w:r>
      <w:r w:rsidR="005A60C4">
        <w:rPr>
          <w:spacing w:val="-3"/>
          <w:lang w:val="en-US"/>
        </w:rPr>
        <w:t xml:space="preserve">; (d2): Arrhenius expression </w:t>
      </w:r>
      <w:r w:rsidR="007B13BD">
        <w:rPr>
          <w:spacing w:val="-3"/>
          <w:lang w:val="en-US"/>
        </w:rPr>
        <w:t xml:space="preserve">derives from regression of the corrected recalculated data;  </w:t>
      </w:r>
      <w:r w:rsidR="005A60C4">
        <w:rPr>
          <w:spacing w:val="-3"/>
          <w:lang w:val="en-US"/>
        </w:rPr>
        <w:t>activation parameters</w:t>
      </w:r>
      <w:r w:rsidR="007B13BD">
        <w:rPr>
          <w:spacing w:val="-3"/>
          <w:lang w:val="en-US"/>
        </w:rPr>
        <w:t xml:space="preserve"> given in the original publication: A = (8.96 ±2.35) × 10</w:t>
      </w:r>
      <w:r w:rsidR="007B13BD">
        <w:rPr>
          <w:spacing w:val="-3"/>
          <w:vertAlign w:val="superscript"/>
          <w:lang w:val="en-US"/>
        </w:rPr>
        <w:t>11</w:t>
      </w:r>
      <w:r w:rsidR="007B13BD">
        <w:rPr>
          <w:spacing w:val="-3"/>
          <w:lang w:val="en-US"/>
        </w:rPr>
        <w:t>, E</w:t>
      </w:r>
      <w:r w:rsidR="007B13BD">
        <w:rPr>
          <w:spacing w:val="-3"/>
          <w:vertAlign w:val="subscript"/>
          <w:lang w:val="en-US"/>
        </w:rPr>
        <w:t>A</w:t>
      </w:r>
      <w:r w:rsidR="007B13BD">
        <w:rPr>
          <w:spacing w:val="-3"/>
          <w:lang w:val="en-US"/>
        </w:rPr>
        <w:t> = (11.90 ±0.64) kJ mol</w:t>
      </w:r>
      <w:r w:rsidR="007B13BD">
        <w:rPr>
          <w:spacing w:val="-3"/>
          <w:vertAlign w:val="superscript"/>
          <w:lang w:val="en-US"/>
        </w:rPr>
        <w:noBreakHyphen/>
        <w:t>1</w:t>
      </w:r>
      <w:r w:rsidR="005A60C4">
        <w:rPr>
          <w:spacing w:val="-3"/>
          <w:lang w:val="en-US"/>
        </w:rPr>
        <w:t>; all experiments were repeated eight times for reproducibility.</w:t>
      </w:r>
    </w:p>
    <w:p w:rsidR="00E57CE9" w:rsidRDefault="00E57CE9" w:rsidP="00E57CE9">
      <w:pPr>
        <w:tabs>
          <w:tab w:val="left" w:pos="444"/>
          <w:tab w:val="left" w:pos="720"/>
        </w:tabs>
        <w:suppressAutoHyphens/>
        <w:spacing w:line="240" w:lineRule="atLeast"/>
        <w:ind w:left="426" w:hanging="426"/>
        <w:jc w:val="both"/>
        <w:rPr>
          <w:rFonts w:eastAsia="Symbol" w:cs="Symbol"/>
          <w:lang w:val="en-CA"/>
        </w:rPr>
      </w:pPr>
    </w:p>
    <w:p w:rsidR="005A60C4" w:rsidRPr="002254C8" w:rsidRDefault="00A45F07" w:rsidP="00E57CE9">
      <w:pPr>
        <w:tabs>
          <w:tab w:val="left" w:pos="444"/>
          <w:tab w:val="left" w:pos="720"/>
        </w:tabs>
        <w:suppressAutoHyphens/>
        <w:spacing w:line="240" w:lineRule="atLeast"/>
        <w:ind w:left="426" w:hanging="426"/>
        <w:jc w:val="both"/>
        <w:rPr>
          <w:rFonts w:eastAsia="Symbol" w:cs="Symbol"/>
          <w:lang w:val="en-CA"/>
        </w:rPr>
      </w:pPr>
      <w:r>
        <w:rPr>
          <w:rFonts w:eastAsia="Symbol" w:cs="Symbol"/>
          <w:lang w:val="en-CA"/>
        </w:rPr>
        <w:t>(</w:t>
      </w:r>
      <w:r w:rsidR="00973F08">
        <w:rPr>
          <w:rFonts w:eastAsia="Symbol" w:cs="Symbol"/>
          <w:lang w:val="en-CA"/>
        </w:rPr>
        <w:t>e</w:t>
      </w:r>
      <w:r w:rsidR="005A60C4">
        <w:rPr>
          <w:rFonts w:eastAsia="Symbol" w:cs="Symbol"/>
          <w:lang w:val="en-CA"/>
        </w:rPr>
        <w:t>)</w:t>
      </w:r>
      <w:r w:rsidR="005A60C4">
        <w:rPr>
          <w:rFonts w:eastAsia="Symbol" w:cs="Symbol"/>
          <w:lang w:val="en-CA"/>
        </w:rPr>
        <w:tab/>
      </w:r>
      <w:r w:rsidR="00994191" w:rsidRPr="00FE07A8">
        <w:rPr>
          <w:spacing w:val="-2"/>
          <w:lang w:val="en-US"/>
        </w:rPr>
        <w:t xml:space="preserve">Radicals generated </w:t>
      </w:r>
      <w:r w:rsidR="00994191">
        <w:rPr>
          <w:spacing w:val="-2"/>
          <w:lang w:val="en-US"/>
        </w:rPr>
        <w:t xml:space="preserve">by photolysis </w:t>
      </w:r>
      <w:r w:rsidR="00994191" w:rsidRPr="00FE07A8">
        <w:rPr>
          <w:spacing w:val="-2"/>
          <w:lang w:val="en-US"/>
        </w:rPr>
        <w:t>of H</w:t>
      </w:r>
      <w:r w:rsidR="00994191" w:rsidRPr="00FE07A8">
        <w:rPr>
          <w:spacing w:val="-2"/>
          <w:vertAlign w:val="subscript"/>
          <w:lang w:val="en-US"/>
        </w:rPr>
        <w:t>2</w:t>
      </w:r>
      <w:r w:rsidR="00994191" w:rsidRPr="00FE07A8">
        <w:rPr>
          <w:spacing w:val="-2"/>
          <w:lang w:val="en-US"/>
        </w:rPr>
        <w:t>O</w:t>
      </w:r>
      <w:r w:rsidR="00994191" w:rsidRPr="00FE07A8">
        <w:rPr>
          <w:spacing w:val="-2"/>
          <w:vertAlign w:val="subscript"/>
          <w:lang w:val="en-US"/>
        </w:rPr>
        <w:t>2</w:t>
      </w:r>
      <w:r w:rsidR="00994191" w:rsidRPr="00FE07A8">
        <w:rPr>
          <w:spacing w:val="-2"/>
          <w:lang w:val="en-US"/>
        </w:rPr>
        <w:t xml:space="preserve"> solution at 248 nm</w:t>
      </w:r>
      <w:r w:rsidR="00994191">
        <w:rPr>
          <w:spacing w:val="-2"/>
          <w:lang w:val="en-US"/>
        </w:rPr>
        <w:t xml:space="preserve">, </w:t>
      </w:r>
      <w:r w:rsidR="00994191" w:rsidRPr="00FE07A8">
        <w:rPr>
          <w:spacing w:val="-2"/>
          <w:lang w:val="en-US"/>
        </w:rPr>
        <w:t>for detection,</w:t>
      </w:r>
      <w:r w:rsidR="00994191">
        <w:rPr>
          <w:spacing w:val="-2"/>
          <w:lang w:val="en-US"/>
        </w:rPr>
        <w:t xml:space="preserve"> a</w:t>
      </w:r>
      <w:r w:rsidR="00994191" w:rsidRPr="00FE07A8">
        <w:rPr>
          <w:spacing w:val="-2"/>
          <w:lang w:val="en-US"/>
        </w:rPr>
        <w:t xml:space="preserve"> cw laser was used at 407 nm</w:t>
      </w:r>
      <w:r w:rsidR="00994191">
        <w:rPr>
          <w:spacing w:val="-2"/>
          <w:lang w:val="en-US"/>
        </w:rPr>
        <w:t xml:space="preserve"> (</w:t>
      </w:r>
      <w:r w:rsidR="00994191" w:rsidRPr="00FE07A8">
        <w:rPr>
          <w:spacing w:val="-2"/>
          <w:lang w:val="en-US"/>
        </w:rPr>
        <w:t>laser flash photolysis</w:t>
      </w:r>
      <w:r w:rsidR="00994191">
        <w:rPr>
          <w:spacing w:val="-2"/>
          <w:lang w:val="en-US"/>
        </w:rPr>
        <w:t xml:space="preserve"> long-path absorption setup (LP-LPA))</w:t>
      </w:r>
      <w:r w:rsidR="00994191" w:rsidRPr="00FE07A8">
        <w:rPr>
          <w:spacing w:val="-2"/>
          <w:lang w:val="en-US"/>
        </w:rPr>
        <w:t>;</w:t>
      </w:r>
      <w:r w:rsidR="00472D87">
        <w:rPr>
          <w:spacing w:val="-2"/>
          <w:lang w:val="en-US"/>
        </w:rPr>
        <w:t xml:space="preserve"> for detection of the carbonyl products formed, derivatization with 2,4-dinitrophenylhydrazine was performed;</w:t>
      </w:r>
      <w:r w:rsidR="00994191" w:rsidRPr="00FE07A8">
        <w:rPr>
          <w:spacing w:val="-2"/>
          <w:lang w:val="en-US"/>
        </w:rPr>
        <w:t xml:space="preserve"> reference reaction: </w:t>
      </w:r>
      <w:r w:rsidR="00BC4A45">
        <w:rPr>
          <w:lang w:val="en-US"/>
        </w:rPr>
        <w:t>HO</w:t>
      </w:r>
      <w:r w:rsidR="00994191" w:rsidRPr="00FE07A8">
        <w:rPr>
          <w:lang w:val="en-US"/>
        </w:rPr>
        <w:t xml:space="preserve"> + SCN</w:t>
      </w:r>
      <w:r w:rsidR="00994191" w:rsidRPr="00FE07A8">
        <w:rPr>
          <w:vertAlign w:val="superscript"/>
          <w:lang w:val="en-US"/>
        </w:rPr>
        <w:noBreakHyphen/>
      </w:r>
      <w:r w:rsidR="00994191" w:rsidRPr="00FE07A8">
        <w:rPr>
          <w:lang w:val="en-US"/>
        </w:rPr>
        <w:t xml:space="preserve"> with ln </w:t>
      </w:r>
      <w:r w:rsidR="00994191" w:rsidRPr="00FE07A8">
        <w:rPr>
          <w:rFonts w:ascii="Times New Roman" w:hAnsi="Times New Roman" w:cs="Times New Roman"/>
          <w:bCs/>
          <w:i/>
          <w:iCs/>
          <w:lang w:val="en-US" w:eastAsia="en-CA"/>
        </w:rPr>
        <w:t>k</w:t>
      </w:r>
      <w:r w:rsidR="00994191" w:rsidRPr="00FE07A8">
        <w:rPr>
          <w:rFonts w:ascii="Times New Roman" w:hAnsi="Times New Roman" w:cs="Times New Roman"/>
          <w:bCs/>
          <w:iCs/>
          <w:lang w:val="en-US" w:eastAsia="en-CA"/>
        </w:rPr>
        <w:t>(T)</w:t>
      </w:r>
      <w:r w:rsidR="00994191" w:rsidRPr="00FE07A8">
        <w:rPr>
          <w:rFonts w:ascii="Times New Roman" w:hAnsi="Times New Roman" w:cs="Times New Roman"/>
          <w:bCs/>
          <w:i/>
          <w:iCs/>
          <w:lang w:val="en-US" w:eastAsia="en-CA"/>
        </w:rPr>
        <w:t xml:space="preserve"> = </w:t>
      </w:r>
      <w:r w:rsidR="00994191" w:rsidRPr="00FE07A8">
        <w:rPr>
          <w:rFonts w:ascii="Times New Roman" w:hAnsi="Times New Roman" w:cs="Times New Roman"/>
          <w:bCs/>
          <w:lang w:val="en-US" w:eastAsia="en-CA"/>
        </w:rPr>
        <w:t>(29.614±0.636) - (1900±</w:t>
      </w:r>
      <w:r w:rsidR="00994191" w:rsidRPr="00FE07A8">
        <w:rPr>
          <w:rFonts w:ascii="Times New Roman" w:hAnsi="Times New Roman" w:cs="Times New Roman"/>
          <w:bCs/>
          <w:iCs/>
          <w:lang w:val="en-US" w:eastAsia="en-CA"/>
        </w:rPr>
        <w:t>190)/T</w:t>
      </w:r>
      <w:r w:rsidR="00994191" w:rsidRPr="00FE07A8">
        <w:rPr>
          <w:lang w:val="en-US"/>
        </w:rPr>
        <w:t> M</w:t>
      </w:r>
      <w:r w:rsidR="00994191" w:rsidRPr="00FE07A8">
        <w:rPr>
          <w:vertAlign w:val="superscript"/>
          <w:lang w:val="en-US"/>
        </w:rPr>
        <w:noBreakHyphen/>
        <w:t>1</w:t>
      </w:r>
      <w:r w:rsidR="00994191" w:rsidRPr="00FE07A8">
        <w:rPr>
          <w:lang w:val="en-US"/>
        </w:rPr>
        <w:t> s</w:t>
      </w:r>
      <w:r w:rsidR="00994191" w:rsidRPr="00FE07A8">
        <w:rPr>
          <w:vertAlign w:val="superscript"/>
          <w:lang w:val="en-US"/>
        </w:rPr>
        <w:noBreakHyphen/>
        <w:t>1</w:t>
      </w:r>
      <w:r w:rsidR="00994191" w:rsidRPr="00FE07A8">
        <w:rPr>
          <w:lang w:val="en-US"/>
        </w:rPr>
        <w:t xml:space="preserve"> (according to Chin and Wine (1992));</w:t>
      </w:r>
      <w:r w:rsidR="007B13BD" w:rsidRPr="007B13BD">
        <w:rPr>
          <w:spacing w:val="-2"/>
          <w:lang w:val="en-US"/>
        </w:rPr>
        <w:t xml:space="preserve"> </w:t>
      </w:r>
      <w:r w:rsidR="007B13BD">
        <w:rPr>
          <w:spacing w:val="-2"/>
          <w:lang w:val="en-US"/>
        </w:rPr>
        <w:t xml:space="preserve">rate </w:t>
      </w:r>
      <w:r w:rsidR="00AD66DF">
        <w:rPr>
          <w:spacing w:val="-2"/>
          <w:lang w:val="en-US"/>
        </w:rPr>
        <w:t>coefficient</w:t>
      </w:r>
      <w:r w:rsidR="007B13BD">
        <w:rPr>
          <w:spacing w:val="-2"/>
          <w:lang w:val="en-US"/>
        </w:rPr>
        <w:t xml:space="preserve">s were recalculated using </w:t>
      </w:r>
      <w:r w:rsidR="00B86EB3">
        <w:rPr>
          <w:spacing w:val="-2"/>
          <w:lang w:val="en-US"/>
        </w:rPr>
        <w:t>the</w:t>
      </w:r>
      <w:r w:rsidR="007B13BD">
        <w:rPr>
          <w:spacing w:val="-2"/>
          <w:lang w:val="en-US"/>
        </w:rPr>
        <w:t xml:space="preserve"> selected temperature dependen</w:t>
      </w:r>
      <w:r w:rsidR="00AD66DF">
        <w:rPr>
          <w:spacing w:val="-2"/>
          <w:lang w:val="en-US"/>
        </w:rPr>
        <w:t>ce</w:t>
      </w:r>
      <w:r w:rsidR="007B13BD">
        <w:rPr>
          <w:spacing w:val="-2"/>
          <w:lang w:val="en-US"/>
        </w:rPr>
        <w:t xml:space="preserve"> </w:t>
      </w:r>
      <w:r w:rsidR="00AD66DF">
        <w:rPr>
          <w:spacing w:val="-2"/>
          <w:lang w:val="en-US"/>
        </w:rPr>
        <w:t>for the reference reaction</w:t>
      </w:r>
      <w:r w:rsidR="007B13BD">
        <w:rPr>
          <w:spacing w:val="-2"/>
          <w:lang w:val="en-US"/>
        </w:rPr>
        <w:t xml:space="preserve"> (Zhu et al., 2003); </w:t>
      </w:r>
      <w:r w:rsidR="00994191" w:rsidRPr="00FE07A8">
        <w:rPr>
          <w:i/>
          <w:lang w:val="en-US"/>
        </w:rPr>
        <w:t>c</w:t>
      </w:r>
      <w:r w:rsidR="00994191" w:rsidRPr="00FE07A8">
        <w:rPr>
          <w:lang w:val="en-US"/>
        </w:rPr>
        <w:t>(KSCN) = 1.59 × 10</w:t>
      </w:r>
      <w:r w:rsidR="00994191" w:rsidRPr="00FE07A8">
        <w:rPr>
          <w:vertAlign w:val="superscript"/>
          <w:lang w:val="en-US"/>
        </w:rPr>
        <w:noBreakHyphen/>
        <w:t>5</w:t>
      </w:r>
      <w:r w:rsidR="00994191" w:rsidRPr="00FE07A8">
        <w:rPr>
          <w:lang w:val="en-US"/>
        </w:rPr>
        <w:t xml:space="preserve"> M, </w:t>
      </w:r>
      <w:r w:rsidR="00994191" w:rsidRPr="00FE07A8">
        <w:rPr>
          <w:i/>
          <w:lang w:val="en-US"/>
        </w:rPr>
        <w:t>c</w:t>
      </w:r>
      <w:r w:rsidR="00994191" w:rsidRPr="00FE07A8">
        <w:rPr>
          <w:lang w:val="en-US"/>
        </w:rPr>
        <w:t>(H</w:t>
      </w:r>
      <w:r w:rsidR="00994191" w:rsidRPr="00FE07A8">
        <w:rPr>
          <w:vertAlign w:val="subscript"/>
          <w:lang w:val="en-US"/>
        </w:rPr>
        <w:t>2</w:t>
      </w:r>
      <w:r w:rsidR="00994191" w:rsidRPr="00FE07A8">
        <w:rPr>
          <w:lang w:val="en-US"/>
        </w:rPr>
        <w:t>O</w:t>
      </w:r>
      <w:r w:rsidR="00994191" w:rsidRPr="00FE07A8">
        <w:rPr>
          <w:vertAlign w:val="subscript"/>
          <w:lang w:val="en-US"/>
        </w:rPr>
        <w:t>2</w:t>
      </w:r>
      <w:r w:rsidR="00994191" w:rsidRPr="00FE07A8">
        <w:rPr>
          <w:lang w:val="en-US"/>
        </w:rPr>
        <w:t>) = 1</w:t>
      </w:r>
      <w:r w:rsidR="00994191">
        <w:rPr>
          <w:lang w:val="en-US"/>
        </w:rPr>
        <w:t> </w:t>
      </w:r>
      <w:r w:rsidR="00994191" w:rsidRPr="00FE07A8">
        <w:rPr>
          <w:lang w:val="en-US"/>
        </w:rPr>
        <w:t>×</w:t>
      </w:r>
      <w:r w:rsidR="00994191">
        <w:rPr>
          <w:lang w:val="en-US"/>
        </w:rPr>
        <w:t> </w:t>
      </w:r>
      <w:r w:rsidR="00994191" w:rsidRPr="00FE07A8">
        <w:rPr>
          <w:lang w:val="en-US"/>
        </w:rPr>
        <w:t>10</w:t>
      </w:r>
      <w:r w:rsidR="00994191" w:rsidRPr="00FE07A8">
        <w:rPr>
          <w:vertAlign w:val="superscript"/>
          <w:lang w:val="en-US"/>
        </w:rPr>
        <w:noBreakHyphen/>
        <w:t>4</w:t>
      </w:r>
      <w:r w:rsidR="00994191" w:rsidRPr="00FE07A8">
        <w:rPr>
          <w:lang w:val="en-US"/>
        </w:rPr>
        <w:t xml:space="preserve"> M; </w:t>
      </w:r>
      <w:r w:rsidR="00E80AB0">
        <w:rPr>
          <w:lang w:val="en-US"/>
        </w:rPr>
        <w:t>(</w:t>
      </w:r>
      <w:r w:rsidR="00973F08">
        <w:rPr>
          <w:lang w:val="en-US"/>
        </w:rPr>
        <w:t>e</w:t>
      </w:r>
      <w:r w:rsidR="00E80AB0">
        <w:rPr>
          <w:lang w:val="en-US"/>
        </w:rPr>
        <w:t xml:space="preserve">1): </w:t>
      </w:r>
      <w:r w:rsidR="00994191" w:rsidRPr="00FE07A8">
        <w:rPr>
          <w:lang w:val="en-US"/>
        </w:rPr>
        <w:t xml:space="preserve">Arrhenius expression </w:t>
      </w:r>
      <w:r w:rsidR="007B13BD">
        <w:rPr>
          <w:spacing w:val="-3"/>
          <w:lang w:val="en-US"/>
        </w:rPr>
        <w:t xml:space="preserve">derives from regression of the corrected recalculated data; </w:t>
      </w:r>
      <w:r w:rsidR="00994191" w:rsidRPr="00FE07A8">
        <w:rPr>
          <w:lang w:val="en-US"/>
        </w:rPr>
        <w:t>activation parameters</w:t>
      </w:r>
      <w:r w:rsidR="007B13BD" w:rsidRPr="007B13BD">
        <w:rPr>
          <w:spacing w:val="-3"/>
          <w:lang w:val="en-US"/>
        </w:rPr>
        <w:t xml:space="preserve"> </w:t>
      </w:r>
      <w:r w:rsidR="007B13BD">
        <w:rPr>
          <w:spacing w:val="-3"/>
          <w:lang w:val="en-US"/>
        </w:rPr>
        <w:t>given in the original publication: A = (9.0 ±0.4) × 10</w:t>
      </w:r>
      <w:r w:rsidR="007B13BD">
        <w:rPr>
          <w:spacing w:val="-3"/>
          <w:vertAlign w:val="superscript"/>
          <w:lang w:val="en-US"/>
        </w:rPr>
        <w:t>11</w:t>
      </w:r>
      <w:r w:rsidR="007B13BD">
        <w:rPr>
          <w:spacing w:val="-3"/>
          <w:lang w:val="en-US"/>
        </w:rPr>
        <w:t>, E</w:t>
      </w:r>
      <w:r w:rsidR="007B13BD">
        <w:rPr>
          <w:spacing w:val="-3"/>
          <w:vertAlign w:val="subscript"/>
          <w:lang w:val="en-US"/>
        </w:rPr>
        <w:t>A</w:t>
      </w:r>
      <w:r w:rsidR="007B13BD">
        <w:rPr>
          <w:spacing w:val="-3"/>
          <w:lang w:val="en-US"/>
        </w:rPr>
        <w:t> = (</w:t>
      </w:r>
      <w:r w:rsidR="00E80AB0">
        <w:rPr>
          <w:spacing w:val="-3"/>
          <w:lang w:val="en-US"/>
        </w:rPr>
        <w:t>12</w:t>
      </w:r>
      <w:r w:rsidR="007B13BD">
        <w:rPr>
          <w:spacing w:val="-3"/>
          <w:lang w:val="en-US"/>
        </w:rPr>
        <w:t> ±</w:t>
      </w:r>
      <w:r w:rsidR="00E80AB0">
        <w:rPr>
          <w:spacing w:val="-3"/>
          <w:lang w:val="en-US"/>
        </w:rPr>
        <w:t>3</w:t>
      </w:r>
      <w:r w:rsidR="007B13BD">
        <w:rPr>
          <w:spacing w:val="-3"/>
          <w:lang w:val="en-US"/>
        </w:rPr>
        <w:t>) kJ mol</w:t>
      </w:r>
      <w:r w:rsidR="007B13BD">
        <w:rPr>
          <w:spacing w:val="-3"/>
          <w:vertAlign w:val="superscript"/>
          <w:lang w:val="en-US"/>
        </w:rPr>
        <w:noBreakHyphen/>
        <w:t>1</w:t>
      </w:r>
      <w:r w:rsidR="00994191">
        <w:rPr>
          <w:lang w:val="en-US"/>
        </w:rPr>
        <w:t xml:space="preserve">; rate </w:t>
      </w:r>
      <w:r w:rsidR="00AD66DF">
        <w:rPr>
          <w:lang w:val="en-US"/>
        </w:rPr>
        <w:t>coefficient</w:t>
      </w:r>
      <w:r w:rsidR="00994191">
        <w:rPr>
          <w:lang w:val="en-US"/>
        </w:rPr>
        <w:t xml:space="preserve">s for </w:t>
      </w:r>
      <w:r w:rsidR="00994191">
        <w:rPr>
          <w:i/>
          <w:lang w:val="en-US"/>
        </w:rPr>
        <w:t>k</w:t>
      </w:r>
      <w:r w:rsidR="00994191">
        <w:rPr>
          <w:vertAlign w:val="subscript"/>
          <w:lang w:val="en-US"/>
        </w:rPr>
        <w:t>313 K</w:t>
      </w:r>
      <w:r w:rsidR="00994191">
        <w:rPr>
          <w:lang w:val="en-US"/>
        </w:rPr>
        <w:t xml:space="preserve"> and </w:t>
      </w:r>
      <w:r w:rsidR="00994191">
        <w:rPr>
          <w:i/>
          <w:lang w:val="en-US"/>
        </w:rPr>
        <w:t>k</w:t>
      </w:r>
      <w:r w:rsidR="00994191">
        <w:rPr>
          <w:vertAlign w:val="subscript"/>
          <w:lang w:val="en-US"/>
        </w:rPr>
        <w:t>318 K</w:t>
      </w:r>
      <w:r w:rsidR="00994191">
        <w:rPr>
          <w:lang w:val="en-US"/>
        </w:rPr>
        <w:t xml:space="preserve"> </w:t>
      </w:r>
      <w:r w:rsidR="00570FF8">
        <w:rPr>
          <w:lang w:val="en-US"/>
        </w:rPr>
        <w:t xml:space="preserve">were measured, but </w:t>
      </w:r>
      <w:r w:rsidR="00994191">
        <w:rPr>
          <w:lang w:val="en-US"/>
        </w:rPr>
        <w:t>have not been used to calculate activation parameters</w:t>
      </w:r>
      <w:r w:rsidR="00E80AB0">
        <w:rPr>
          <w:lang w:val="en-US"/>
        </w:rPr>
        <w:t>.</w:t>
      </w:r>
    </w:p>
    <w:p w:rsidR="00C94ED5" w:rsidRDefault="00C94ED5" w:rsidP="009E5505">
      <w:pPr>
        <w:tabs>
          <w:tab w:val="left" w:pos="426"/>
          <w:tab w:val="left" w:pos="720"/>
        </w:tabs>
        <w:suppressAutoHyphens/>
        <w:spacing w:line="240" w:lineRule="atLeast"/>
        <w:jc w:val="both"/>
        <w:rPr>
          <w:spacing w:val="-2"/>
          <w:lang w:val="en-US"/>
        </w:rPr>
      </w:pPr>
    </w:p>
    <w:p w:rsidR="00A12788" w:rsidRDefault="00A12788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  <w:lang w:val="en-CA"/>
        </w:rPr>
      </w:pPr>
    </w:p>
    <w:p w:rsidR="007F4C67" w:rsidRPr="00F16250" w:rsidRDefault="00803998" w:rsidP="007F4C67">
      <w:pPr>
        <w:keepNext/>
        <w:keepLines/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color w:val="000000"/>
          <w:lang w:val="de-DE" w:eastAsia="de-DE"/>
        </w:rPr>
      </w:pPr>
      <w:r>
        <w:rPr>
          <w:rFonts w:ascii="Times New Roman" w:hAnsi="Times New Roman" w:cs="Times New Roman"/>
          <w:b/>
          <w:color w:val="000000"/>
          <w:lang w:val="de-DE" w:eastAsia="de-DE"/>
        </w:rPr>
        <w:br w:type="page"/>
      </w:r>
      <w:r w:rsidR="007F4C67" w:rsidRPr="00F16250">
        <w:rPr>
          <w:rFonts w:ascii="Times New Roman" w:hAnsi="Times New Roman" w:cs="Times New Roman"/>
          <w:b/>
          <w:color w:val="000000"/>
          <w:lang w:val="de-DE" w:eastAsia="de-DE"/>
        </w:rPr>
        <w:lastRenderedPageBreak/>
        <w:t>Preferred Values</w:t>
      </w:r>
    </w:p>
    <w:p w:rsidR="007F4C67" w:rsidRPr="00F16250" w:rsidRDefault="007F4C67" w:rsidP="007F4C6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de-DE"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7F4C67" w:rsidRPr="00F16250" w:rsidTr="00604D2C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i/>
                <w:color w:val="000000"/>
                <w:lang w:val="de-DE" w:eastAsia="de-DE"/>
              </w:rPr>
              <w:t>T</w:t>
            </w: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/K</w:t>
            </w:r>
          </w:p>
        </w:tc>
      </w:tr>
      <w:tr w:rsidR="007F4C67" w:rsidRPr="00F16250" w:rsidTr="00604D2C">
        <w:tc>
          <w:tcPr>
            <w:tcW w:w="2059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7F4C67" w:rsidRPr="00AA2BCD" w:rsidTr="00604D2C">
        <w:tc>
          <w:tcPr>
            <w:tcW w:w="2059" w:type="dxa"/>
          </w:tcPr>
          <w:p w:rsidR="007F4C67" w:rsidRPr="00AA2BCD" w:rsidRDefault="007F4C67" w:rsidP="00455EA0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AA2BCD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AA2BCD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</w:t>
            </w:r>
            <w:r w:rsidR="00486CBB" w:rsidRPr="00AA2BCD"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AA2BCD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AA2BCD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AA2BCD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AA2BCD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7F4C67" w:rsidRPr="00570FF8" w:rsidRDefault="00570FF8" w:rsidP="00853F01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7.</w:t>
            </w:r>
            <w:r w:rsidR="00853F01">
              <w:rPr>
                <w:rFonts w:ascii="Times New Roman" w:hAnsi="Times New Roman" w:cs="Times New Roman"/>
                <w:color w:val="000000"/>
                <w:lang w:val="en-US" w:eastAsia="de-DE"/>
              </w:rPr>
              <w:t>2</w:t>
            </w:r>
            <w:r w:rsidR="00C454A7">
              <w:rPr>
                <w:rFonts w:ascii="Times New Roman" w:hAnsi="Times New Roman" w:cs="Times New Roman"/>
                <w:color w:val="000000"/>
                <w:lang w:val="en-US" w:eastAsia="de-DE"/>
              </w:rPr>
              <w:t>7</w:t>
            </w:r>
            <w:r w:rsidR="00853F01">
              <w:rPr>
                <w:rFonts w:ascii="Times New Roman" w:hAnsi="Times New Roman" w:cs="Times New Roman"/>
                <w:color w:val="000000"/>
                <w:lang w:val="en-US" w:eastAsia="de-DE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× 10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9</w:t>
            </w:r>
          </w:p>
        </w:tc>
        <w:tc>
          <w:tcPr>
            <w:tcW w:w="2175" w:type="dxa"/>
          </w:tcPr>
          <w:p w:rsidR="007F4C67" w:rsidRPr="00AA2BCD" w:rsidRDefault="00570FF8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298</w:t>
            </w:r>
          </w:p>
        </w:tc>
      </w:tr>
      <w:tr w:rsidR="00AA2BCD" w:rsidRPr="00AA2BCD" w:rsidTr="008206A7">
        <w:tc>
          <w:tcPr>
            <w:tcW w:w="2059" w:type="dxa"/>
          </w:tcPr>
          <w:p w:rsidR="00AA2BCD" w:rsidRPr="00AA2BCD" w:rsidRDefault="00AA2BCD" w:rsidP="008206A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</w:pPr>
          </w:p>
        </w:tc>
        <w:tc>
          <w:tcPr>
            <w:tcW w:w="5069" w:type="dxa"/>
          </w:tcPr>
          <w:p w:rsidR="00AA2BCD" w:rsidRPr="00AA2BCD" w:rsidRDefault="00AA2BCD" w:rsidP="008206A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75" w:type="dxa"/>
          </w:tcPr>
          <w:p w:rsidR="00AA2BCD" w:rsidRPr="00AA2BCD" w:rsidRDefault="00AA2BCD" w:rsidP="008206A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</w:tr>
      <w:tr w:rsidR="00AA2BCD" w:rsidRPr="00AA2BCD" w:rsidTr="008206A7">
        <w:tc>
          <w:tcPr>
            <w:tcW w:w="2059" w:type="dxa"/>
          </w:tcPr>
          <w:p w:rsidR="00AA2BCD" w:rsidRPr="00AA2BCD" w:rsidRDefault="00AA2BCD" w:rsidP="008206A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AA2BCD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AA2BCD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L mol</w:t>
            </w:r>
            <w:r w:rsidRPr="00AA2BCD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AA2BCD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AA2BCD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AA2BCD" w:rsidRPr="00570FF8" w:rsidRDefault="00673E08" w:rsidP="00853F01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4.7</w:t>
            </w:r>
            <w:r w:rsidR="00C454A7">
              <w:rPr>
                <w:rFonts w:ascii="Times New Roman" w:hAnsi="Times New Roman" w:cs="Times New Roman"/>
                <w:color w:val="000000"/>
                <w:lang w:val="en-US" w:eastAsia="de-DE"/>
              </w:rPr>
              <w:t>2</w:t>
            </w:r>
            <w:r w:rsidR="002E005E">
              <w:rPr>
                <w:rFonts w:ascii="Times New Roman" w:hAnsi="Times New Roman" w:cs="Times New Roman"/>
                <w:color w:val="000000"/>
                <w:lang w:val="en-US" w:eastAsia="de-DE"/>
              </w:rPr>
              <w:t> × 10</w:t>
            </w:r>
            <w:r w:rsidR="002E005E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1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1</w:t>
            </w:r>
            <w:r w:rsidR="00570FF8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exp[-(</w:t>
            </w:r>
            <w:r w:rsidR="002E005E">
              <w:rPr>
                <w:rFonts w:ascii="Times New Roman" w:hAnsi="Times New Roman" w:cs="Times New Roman"/>
                <w:color w:val="000000"/>
                <w:lang w:val="en-US" w:eastAsia="de-DE"/>
              </w:rPr>
              <w:t>1</w:t>
            </w:r>
            <w:r w:rsidR="00853F01">
              <w:rPr>
                <w:rFonts w:ascii="Times New Roman" w:hAnsi="Times New Roman" w:cs="Times New Roman"/>
                <w:color w:val="000000"/>
                <w:lang w:val="en-US" w:eastAsia="de-DE"/>
              </w:rPr>
              <w:t>25</w:t>
            </w:r>
            <w:r w:rsidR="002E005E">
              <w:rPr>
                <w:rFonts w:ascii="Times New Roman" w:hAnsi="Times New Roman" w:cs="Times New Roman"/>
                <w:color w:val="000000"/>
                <w:lang w:val="en-US" w:eastAsia="de-DE"/>
              </w:rPr>
              <w:t>0</w:t>
            </w:r>
            <w:r w:rsidR="00570FF8">
              <w:rPr>
                <w:rFonts w:ascii="Times New Roman" w:hAnsi="Times New Roman" w:cs="Times New Roman"/>
                <w:color w:val="000000"/>
                <w:lang w:val="en-US" w:eastAsia="de-DE"/>
              </w:rPr>
              <w:t>)/T]</w:t>
            </w:r>
          </w:p>
        </w:tc>
        <w:tc>
          <w:tcPr>
            <w:tcW w:w="2175" w:type="dxa"/>
          </w:tcPr>
          <w:p w:rsidR="00AA2BCD" w:rsidRPr="00AA2BCD" w:rsidRDefault="00570FF8" w:rsidP="008206A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278 - 308</w:t>
            </w:r>
          </w:p>
        </w:tc>
      </w:tr>
      <w:tr w:rsidR="0027580C" w:rsidRPr="00AA2BCD" w:rsidTr="00604D2C">
        <w:tc>
          <w:tcPr>
            <w:tcW w:w="2059" w:type="dxa"/>
          </w:tcPr>
          <w:p w:rsidR="0027580C" w:rsidRPr="00AA2BCD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  <w:tc>
          <w:tcPr>
            <w:tcW w:w="5069" w:type="dxa"/>
          </w:tcPr>
          <w:p w:rsidR="0027580C" w:rsidRPr="00AA2BCD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  <w:tc>
          <w:tcPr>
            <w:tcW w:w="2175" w:type="dxa"/>
          </w:tcPr>
          <w:p w:rsidR="0027580C" w:rsidRPr="00AA2BCD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</w:tr>
    </w:tbl>
    <w:p w:rsidR="007F4C67" w:rsidRPr="00AA2BCD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highlight w:val="yellow"/>
          <w:lang w:val="en-US" w:eastAsia="de-DE"/>
        </w:rPr>
      </w:pPr>
    </w:p>
    <w:p w:rsidR="007F4C67" w:rsidRPr="00AA2BCD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lang w:val="en-US" w:eastAsia="de-DE"/>
        </w:rPr>
      </w:pPr>
      <w:r w:rsidRPr="00AA2BCD">
        <w:rPr>
          <w:rFonts w:ascii="Times New Roman" w:hAnsi="Times New Roman" w:cs="Times New Roman"/>
          <w:i/>
          <w:color w:val="000000"/>
          <w:lang w:val="en-US" w:eastAsia="de-DE"/>
        </w:rPr>
        <w:t>Reliability</w:t>
      </w: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7F4C67" w:rsidRPr="00AA2BCD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AA2BCD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AA2BCD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AA2BCD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log</w:t>
            </w:r>
            <w:r w:rsidRPr="00AA2BCD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 xml:space="preserve"> 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AA2BCD" w:rsidRDefault="00570FF8" w:rsidP="00853F01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±0.</w:t>
            </w:r>
            <w:r w:rsidR="004043A7">
              <w:rPr>
                <w:rFonts w:ascii="Times New Roman" w:hAnsi="Times New Roman" w:cs="Times New Roman"/>
                <w:color w:val="000000"/>
                <w:lang w:val="en-US" w:eastAsia="de-DE"/>
              </w:rPr>
              <w:t>24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AA2BCD" w:rsidRDefault="00570FF8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298</w:t>
            </w:r>
          </w:p>
        </w:tc>
      </w:tr>
      <w:tr w:rsidR="007F4C67" w:rsidRPr="00AA2BCD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AA2BCD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AA2BCD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AA2BCD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E</w:t>
            </w:r>
            <w:r w:rsidRPr="00AA2BCD">
              <w:rPr>
                <w:rFonts w:ascii="Times New Roman" w:hAnsi="Times New Roman" w:cs="Times New Roman"/>
                <w:color w:val="000000"/>
                <w:vertAlign w:val="subscript"/>
                <w:lang w:val="en-US" w:eastAsia="de-DE"/>
              </w:rPr>
              <w:t>A</w:t>
            </w:r>
            <w:r w:rsidRPr="00AA2BCD">
              <w:rPr>
                <w:rFonts w:ascii="Times New Roman" w:hAnsi="Times New Roman" w:cs="Times New Roman"/>
                <w:color w:val="000000"/>
                <w:lang w:val="en-US" w:eastAsia="de-DE"/>
              </w:rPr>
              <w:t>/R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AA2BCD" w:rsidRDefault="00570FF8" w:rsidP="002E005E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±</w:t>
            </w:r>
            <w:r w:rsidR="00853F01">
              <w:rPr>
                <w:rFonts w:ascii="Times New Roman" w:hAnsi="Times New Roman" w:cs="Times New Roman"/>
                <w:color w:val="000000"/>
                <w:lang w:val="en-US" w:eastAsia="de-DE"/>
              </w:rPr>
              <w:t>2</w:t>
            </w:r>
            <w:r w:rsidR="00C454A7">
              <w:rPr>
                <w:rFonts w:ascii="Times New Roman" w:hAnsi="Times New Roman" w:cs="Times New Roman"/>
                <w:color w:val="000000"/>
                <w:lang w:val="en-US" w:eastAsia="de-DE"/>
              </w:rPr>
              <w:t>5</w:t>
            </w:r>
            <w:r w:rsidR="00853F01">
              <w:rPr>
                <w:rFonts w:ascii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AA2BCD" w:rsidRDefault="00570FF8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278 – 308</w:t>
            </w:r>
          </w:p>
        </w:tc>
      </w:tr>
      <w:tr w:rsidR="002B69B0" w:rsidRPr="00AA2BCD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B69B0" w:rsidRPr="00AA2BCD" w:rsidRDefault="002B69B0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B69B0" w:rsidRPr="00AA2BCD" w:rsidRDefault="002B69B0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2B69B0" w:rsidRPr="00AA2BCD" w:rsidRDefault="002B69B0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</w:tr>
    </w:tbl>
    <w:p w:rsidR="007F4C67" w:rsidRPr="00803998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Cs w:val="20"/>
          <w:lang w:val="en-US" w:eastAsia="de-DE"/>
        </w:rPr>
      </w:pPr>
    </w:p>
    <w:p w:rsidR="007F4C67" w:rsidRPr="00F1625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F16250">
        <w:rPr>
          <w:rFonts w:ascii="Times New Roman" w:hAnsi="Times New Roman" w:cs="Times New Roman"/>
          <w:i/>
          <w:color w:val="000000"/>
          <w:lang w:val="en-US" w:eastAsia="de-DE"/>
        </w:rPr>
        <w:t>Comments on Preferred Values</w:t>
      </w:r>
    </w:p>
    <w:p w:rsidR="00450818" w:rsidRPr="00803998" w:rsidRDefault="00450818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Cs w:val="22"/>
          <w:lang w:val="en-US"/>
        </w:rPr>
      </w:pPr>
    </w:p>
    <w:p w:rsidR="00570FF8" w:rsidRPr="00467D9B" w:rsidRDefault="00570FF8" w:rsidP="004F274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  <w:r w:rsidRPr="00570FF8">
        <w:rPr>
          <w:spacing w:val="-3"/>
          <w:lang w:val="en-US"/>
        </w:rPr>
        <w:t>Data</w:t>
      </w:r>
      <w:r>
        <w:rPr>
          <w:spacing w:val="-3"/>
          <w:lang w:val="en-US"/>
        </w:rPr>
        <w:t xml:space="preserve"> from </w:t>
      </w:r>
      <w:r w:rsidR="00D963D2">
        <w:rPr>
          <w:spacing w:val="-3"/>
          <w:lang w:val="en-US"/>
        </w:rPr>
        <w:t>Lilie and Henglein (1970)</w:t>
      </w:r>
      <w:r>
        <w:rPr>
          <w:spacing w:val="-3"/>
          <w:lang w:val="en-US"/>
        </w:rPr>
        <w:t>, Szeremeta et al. (2009) and Schoene et al. (2014) have been used for regression</w:t>
      </w:r>
      <w:r w:rsidR="00C44C33">
        <w:rPr>
          <w:spacing w:val="-3"/>
          <w:lang w:val="en-US"/>
        </w:rPr>
        <w:t xml:space="preserve"> (r</w:t>
      </w:r>
      <w:r w:rsidR="00C44C33" w:rsidRPr="004F2741">
        <w:rPr>
          <w:spacing w:val="-3"/>
          <w:vertAlign w:val="superscript"/>
          <w:lang w:val="en-US"/>
        </w:rPr>
        <w:t>2</w:t>
      </w:r>
      <w:r w:rsidR="00C44C33">
        <w:rPr>
          <w:spacing w:val="-3"/>
          <w:lang w:val="en-US"/>
        </w:rPr>
        <w:t xml:space="preserve"> = 0.94)</w:t>
      </w:r>
      <w:r>
        <w:rPr>
          <w:spacing w:val="-3"/>
          <w:lang w:val="en-US"/>
        </w:rPr>
        <w:t>.</w:t>
      </w:r>
      <w:r w:rsidR="00D963D2">
        <w:rPr>
          <w:spacing w:val="-3"/>
          <w:lang w:val="en-US"/>
        </w:rPr>
        <w:t xml:space="preserve"> As the rate </w:t>
      </w:r>
      <w:r w:rsidR="00AD66DF">
        <w:rPr>
          <w:spacing w:val="-3"/>
          <w:lang w:val="en-US"/>
        </w:rPr>
        <w:t>coefficient</w:t>
      </w:r>
      <w:r w:rsidR="00D963D2">
        <w:rPr>
          <w:spacing w:val="-3"/>
          <w:lang w:val="en-US"/>
        </w:rPr>
        <w:t>s determined by Kumar et al. (1990) differ by a factor of 10 from all other determinations, th</w:t>
      </w:r>
      <w:r w:rsidR="00C44C33">
        <w:rPr>
          <w:spacing w:val="-3"/>
          <w:lang w:val="en-US"/>
        </w:rPr>
        <w:t>ey</w:t>
      </w:r>
      <w:r w:rsidR="00D963D2">
        <w:rPr>
          <w:spacing w:val="-3"/>
          <w:lang w:val="en-US"/>
        </w:rPr>
        <w:t xml:space="preserve"> have not been considered for the evaluation.</w:t>
      </w:r>
      <w:r w:rsidR="00467D9B">
        <w:rPr>
          <w:spacing w:val="-3"/>
          <w:lang w:val="en-US"/>
        </w:rPr>
        <w:t xml:space="preserve"> While both Szeremeta et al.</w:t>
      </w:r>
      <w:r w:rsidR="00C454A7">
        <w:rPr>
          <w:spacing w:val="-3"/>
          <w:lang w:val="en-US"/>
        </w:rPr>
        <w:t xml:space="preserve"> (2009)</w:t>
      </w:r>
      <w:r w:rsidR="00467D9B">
        <w:rPr>
          <w:spacing w:val="-3"/>
          <w:lang w:val="en-US"/>
        </w:rPr>
        <w:t xml:space="preserve"> and Schoene et al.</w:t>
      </w:r>
      <w:r w:rsidR="00C454A7">
        <w:rPr>
          <w:spacing w:val="-3"/>
          <w:lang w:val="en-US"/>
        </w:rPr>
        <w:t xml:space="preserve"> (2014)</w:t>
      </w:r>
      <w:r w:rsidR="00467D9B">
        <w:rPr>
          <w:spacing w:val="-3"/>
          <w:lang w:val="en-US"/>
        </w:rPr>
        <w:t xml:space="preserve"> determined values in perfect agreement, the rate </w:t>
      </w:r>
      <w:r w:rsidR="00AD66DF">
        <w:rPr>
          <w:spacing w:val="-3"/>
          <w:lang w:val="en-US"/>
        </w:rPr>
        <w:t>coefficient</w:t>
      </w:r>
      <w:r w:rsidR="00467D9B">
        <w:rPr>
          <w:spacing w:val="-3"/>
          <w:lang w:val="en-US"/>
        </w:rPr>
        <w:t xml:space="preserve"> of Lilie and Henglein from 1970 implies a higher value. From the regression of the considered data, a rate </w:t>
      </w:r>
      <w:r w:rsidR="00AD66DF">
        <w:rPr>
          <w:spacing w:val="-3"/>
          <w:lang w:val="en-US"/>
        </w:rPr>
        <w:t>coefficient</w:t>
      </w:r>
      <w:r w:rsidR="00467D9B">
        <w:rPr>
          <w:spacing w:val="-3"/>
          <w:lang w:val="en-US"/>
        </w:rPr>
        <w:t xml:space="preserve"> of </w:t>
      </w:r>
      <w:r w:rsidR="00467D9B">
        <w:rPr>
          <w:i/>
          <w:spacing w:val="-3"/>
          <w:lang w:val="en-US"/>
        </w:rPr>
        <w:t>k</w:t>
      </w:r>
      <w:r w:rsidR="00467D9B">
        <w:rPr>
          <w:spacing w:val="-3"/>
          <w:lang w:val="en-US"/>
        </w:rPr>
        <w:t>(298 K) = 7.26 × 10</w:t>
      </w:r>
      <w:r w:rsidR="00467D9B">
        <w:rPr>
          <w:spacing w:val="-3"/>
          <w:vertAlign w:val="superscript"/>
          <w:lang w:val="en-US"/>
        </w:rPr>
        <w:t>9</w:t>
      </w:r>
      <w:r w:rsidR="00467D9B">
        <w:rPr>
          <w:spacing w:val="-3"/>
          <w:lang w:val="en-US"/>
        </w:rPr>
        <w:t> M</w:t>
      </w:r>
      <w:r w:rsidR="00467D9B">
        <w:rPr>
          <w:spacing w:val="-3"/>
          <w:vertAlign w:val="superscript"/>
          <w:lang w:val="en-US"/>
        </w:rPr>
        <w:noBreakHyphen/>
        <w:t>1</w:t>
      </w:r>
      <w:r w:rsidR="00467D9B">
        <w:rPr>
          <w:spacing w:val="-3"/>
          <w:lang w:val="en-US"/>
        </w:rPr>
        <w:t>s</w:t>
      </w:r>
      <w:r w:rsidR="00467D9B">
        <w:rPr>
          <w:spacing w:val="-3"/>
          <w:vertAlign w:val="superscript"/>
          <w:lang w:val="en-US"/>
        </w:rPr>
        <w:noBreakHyphen/>
        <w:t>1</w:t>
      </w:r>
      <w:r w:rsidR="00467D9B">
        <w:rPr>
          <w:spacing w:val="-3"/>
          <w:lang w:val="en-US"/>
        </w:rPr>
        <w:t xml:space="preserve"> is suggested, which is still in perfect agreement with both T dependent determinations within the error limits. The recommendation </w:t>
      </w:r>
      <w:r w:rsidR="00973F08">
        <w:rPr>
          <w:spacing w:val="-3"/>
          <w:lang w:val="en-US"/>
        </w:rPr>
        <w:t xml:space="preserve">of </w:t>
      </w:r>
      <w:r w:rsidR="00973F08" w:rsidRPr="00973F08">
        <w:rPr>
          <w:i/>
          <w:spacing w:val="-3"/>
          <w:lang w:val="en-US"/>
        </w:rPr>
        <w:t>k</w:t>
      </w:r>
      <w:r w:rsidR="00973F08">
        <w:rPr>
          <w:spacing w:val="-3"/>
          <w:lang w:val="en-US"/>
        </w:rPr>
        <w:t xml:space="preserve"> = </w:t>
      </w:r>
      <w:r w:rsidR="00973F08">
        <w:rPr>
          <w:lang w:val="pt-BR"/>
        </w:rPr>
        <w:t>8.5 × 10</w:t>
      </w:r>
      <w:r w:rsidR="00973F08">
        <w:rPr>
          <w:vertAlign w:val="superscript"/>
          <w:lang w:val="pt-BR"/>
        </w:rPr>
        <w:t>9</w:t>
      </w:r>
      <w:r w:rsidR="00973F08">
        <w:rPr>
          <w:lang w:val="pt-BR"/>
        </w:rPr>
        <w:t> M</w:t>
      </w:r>
      <w:r w:rsidR="00973F08">
        <w:rPr>
          <w:vertAlign w:val="superscript"/>
          <w:lang w:val="pt-BR"/>
        </w:rPr>
        <w:noBreakHyphen/>
        <w:t>1</w:t>
      </w:r>
      <w:r w:rsidR="00973F08">
        <w:rPr>
          <w:lang w:val="pt-BR"/>
        </w:rPr>
        <w:t> s</w:t>
      </w:r>
      <w:r w:rsidR="00973F08">
        <w:rPr>
          <w:vertAlign w:val="superscript"/>
          <w:lang w:val="pt-BR"/>
        </w:rPr>
        <w:noBreakHyphen/>
        <w:t>1</w:t>
      </w:r>
      <w:r w:rsidR="00973F08" w:rsidRPr="004F2741">
        <w:rPr>
          <w:lang w:val="pt-BR"/>
        </w:rPr>
        <w:t xml:space="preserve"> </w:t>
      </w:r>
      <w:r w:rsidR="00467D9B" w:rsidRPr="00973F08">
        <w:rPr>
          <w:spacing w:val="-3"/>
          <w:lang w:val="en-US"/>
        </w:rPr>
        <w:t>from</w:t>
      </w:r>
      <w:r w:rsidR="00467D9B">
        <w:rPr>
          <w:spacing w:val="-3"/>
          <w:lang w:val="en-US"/>
        </w:rPr>
        <w:t xml:space="preserve"> 1988 by Buxton et al. </w:t>
      </w:r>
      <w:r w:rsidR="00C44C33">
        <w:rPr>
          <w:spacing w:val="-3"/>
          <w:lang w:val="en-US"/>
        </w:rPr>
        <w:t xml:space="preserve">(without recalculations) </w:t>
      </w:r>
      <w:r w:rsidR="00467D9B">
        <w:rPr>
          <w:spacing w:val="-3"/>
          <w:lang w:val="en-US"/>
        </w:rPr>
        <w:t xml:space="preserve">considers only the determination by Lilie and Henglein, which explains the deviation </w:t>
      </w:r>
      <w:r w:rsidR="004043A7">
        <w:rPr>
          <w:spacing w:val="-3"/>
          <w:lang w:val="en-US"/>
        </w:rPr>
        <w:t xml:space="preserve">to the newly evaluated </w:t>
      </w:r>
      <w:r w:rsidR="00467D9B">
        <w:rPr>
          <w:spacing w:val="-3"/>
          <w:lang w:val="en-US"/>
        </w:rPr>
        <w:t>recommendation.</w:t>
      </w:r>
      <w:r w:rsidR="004043A7">
        <w:rPr>
          <w:spacing w:val="-3"/>
          <w:lang w:val="en-US"/>
        </w:rPr>
        <w:t xml:space="preserve"> </w:t>
      </w:r>
      <w:r w:rsidR="004043A7">
        <w:rPr>
          <w:rFonts w:ascii="Times New Roman" w:eastAsia="Symbol" w:hAnsi="Times New Roman" w:cs="Times New Roman"/>
          <w:color w:val="000000"/>
          <w:lang w:val="en-GB" w:eastAsia="de-DE"/>
        </w:rPr>
        <w:t xml:space="preserve">The estimated uncertainty is given as </w:t>
      </w:r>
      <w:r w:rsidR="004043A7" w:rsidRPr="00CE5C58">
        <w:rPr>
          <w:rFonts w:ascii="Times New Roman" w:hAnsi="Times New Roman" w:cs="Times New Roman"/>
          <w:color w:val="000000"/>
          <w:lang w:val="de-DE" w:eastAsia="de-DE"/>
        </w:rPr>
        <w:t>Δ</w:t>
      </w:r>
      <w:r w:rsidR="004043A7" w:rsidRPr="00CE5C58">
        <w:rPr>
          <w:rFonts w:ascii="Times New Roman" w:hAnsi="Times New Roman" w:cs="Times New Roman"/>
          <w:color w:val="000000"/>
          <w:lang w:val="en-US" w:eastAsia="de-DE"/>
        </w:rPr>
        <w:t xml:space="preserve"> log</w:t>
      </w:r>
      <w:r w:rsidR="004043A7" w:rsidRPr="00CE5C58">
        <w:rPr>
          <w:rFonts w:ascii="Times New Roman" w:hAnsi="Times New Roman" w:cs="Times New Roman"/>
          <w:i/>
          <w:color w:val="000000"/>
          <w:lang w:val="en-US" w:eastAsia="de-DE"/>
        </w:rPr>
        <w:t xml:space="preserve"> k</w:t>
      </w:r>
      <w:r w:rsidR="004043A7">
        <w:rPr>
          <w:rFonts w:ascii="Times New Roman" w:hAnsi="Times New Roman" w:cs="Times New Roman"/>
          <w:color w:val="000000"/>
          <w:lang w:val="en-US" w:eastAsia="de-DE"/>
        </w:rPr>
        <w:t> = ±0.24 or ±50%.</w:t>
      </w:r>
    </w:p>
    <w:p w:rsidR="00570FF8" w:rsidRDefault="00570FF8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lang w:val="en-US"/>
        </w:rPr>
      </w:pPr>
    </w:p>
    <w:p w:rsidR="00821651" w:rsidRPr="007C1BA6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7C1BA6">
        <w:rPr>
          <w:b/>
          <w:spacing w:val="-3"/>
          <w:lang w:val="en-CA"/>
        </w:rPr>
        <w:t>References</w:t>
      </w:r>
    </w:p>
    <w:p w:rsidR="00C94ED5" w:rsidRPr="00A91F89" w:rsidRDefault="00C94ED5" w:rsidP="00A91F89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27580C" w:rsidRDefault="0027580C" w:rsidP="00101D9C">
      <w:pPr>
        <w:tabs>
          <w:tab w:val="left" w:pos="426"/>
          <w:tab w:val="left" w:pos="720"/>
        </w:tabs>
        <w:suppressAutoHyphens/>
        <w:ind w:left="426" w:hanging="426"/>
        <w:jc w:val="both"/>
        <w:rPr>
          <w:spacing w:val="-3"/>
          <w:lang w:val="en-US"/>
        </w:rPr>
      </w:pPr>
      <w:r w:rsidRPr="00692339">
        <w:rPr>
          <w:spacing w:val="-3"/>
          <w:lang w:val="en-US"/>
        </w:rPr>
        <w:t>Buxton,</w:t>
      </w:r>
      <w:r w:rsidRPr="00C81008">
        <w:rPr>
          <w:spacing w:val="-3"/>
          <w:lang w:val="en-US"/>
        </w:rPr>
        <w:t xml:space="preserve"> G. V.</w:t>
      </w:r>
      <w:r w:rsidR="00152FD9">
        <w:rPr>
          <w:spacing w:val="-3"/>
          <w:lang w:val="en-US"/>
        </w:rPr>
        <w:t>,</w:t>
      </w:r>
      <w:r w:rsidRPr="00C81008">
        <w:rPr>
          <w:spacing w:val="-3"/>
          <w:lang w:val="en-US"/>
        </w:rPr>
        <w:t xml:space="preserve"> Greenstock, C. L.</w:t>
      </w:r>
      <w:r w:rsidR="00152FD9">
        <w:rPr>
          <w:spacing w:val="-3"/>
          <w:lang w:val="en-US"/>
        </w:rPr>
        <w:t>,</w:t>
      </w:r>
      <w:r w:rsidRPr="00C81008">
        <w:rPr>
          <w:spacing w:val="-3"/>
          <w:lang w:val="en-US"/>
        </w:rPr>
        <w:t xml:space="preserve"> Helman, W. P.</w:t>
      </w:r>
      <w:r w:rsidR="002E005E">
        <w:rPr>
          <w:spacing w:val="-3"/>
          <w:lang w:val="en-US"/>
        </w:rPr>
        <w:t xml:space="preserve"> and</w:t>
      </w:r>
      <w:r w:rsidRPr="00C81008">
        <w:rPr>
          <w:spacing w:val="-3"/>
          <w:lang w:val="en-US"/>
        </w:rPr>
        <w:t xml:space="preserve"> Ross, A. B.</w:t>
      </w:r>
      <w:r w:rsidR="00BE78BD">
        <w:rPr>
          <w:spacing w:val="-3"/>
          <w:lang w:val="en-US"/>
        </w:rPr>
        <w:t>:</w:t>
      </w:r>
      <w:r w:rsidRPr="00C81008">
        <w:rPr>
          <w:spacing w:val="-3"/>
          <w:lang w:val="en-US"/>
        </w:rPr>
        <w:t xml:space="preserve"> J. Phys. Chem. Ref. Data, </w:t>
      </w:r>
      <w:r>
        <w:rPr>
          <w:spacing w:val="-3"/>
          <w:lang w:val="en-US"/>
        </w:rPr>
        <w:t xml:space="preserve">Vol. </w:t>
      </w:r>
      <w:r w:rsidRPr="00C81008">
        <w:rPr>
          <w:spacing w:val="-3"/>
          <w:lang w:val="en-US"/>
        </w:rPr>
        <w:t>12</w:t>
      </w:r>
      <w:r>
        <w:rPr>
          <w:spacing w:val="-3"/>
          <w:lang w:val="en-US"/>
        </w:rPr>
        <w:t xml:space="preserve"> </w:t>
      </w:r>
      <w:r w:rsidRPr="00C81008">
        <w:rPr>
          <w:spacing w:val="-3"/>
          <w:lang w:val="en-US"/>
        </w:rPr>
        <w:t>(2), 513</w:t>
      </w:r>
      <w:r>
        <w:rPr>
          <w:spacing w:val="-3"/>
          <w:lang w:val="en-US"/>
        </w:rPr>
        <w:t xml:space="preserve"> </w:t>
      </w:r>
      <w:r w:rsidR="00152FD9">
        <w:rPr>
          <w:spacing w:val="-3"/>
          <w:lang w:val="en-US"/>
        </w:rPr>
        <w:t>–</w:t>
      </w:r>
      <w:r>
        <w:rPr>
          <w:spacing w:val="-3"/>
          <w:lang w:val="en-US"/>
        </w:rPr>
        <w:t xml:space="preserve"> </w:t>
      </w:r>
      <w:r w:rsidRPr="00C81008">
        <w:rPr>
          <w:spacing w:val="-3"/>
          <w:lang w:val="en-US"/>
        </w:rPr>
        <w:t>886, 1988.</w:t>
      </w:r>
    </w:p>
    <w:p w:rsidR="00AD66DF" w:rsidRDefault="00AD66DF" w:rsidP="00101D9C">
      <w:pPr>
        <w:tabs>
          <w:tab w:val="left" w:pos="426"/>
          <w:tab w:val="left" w:pos="720"/>
        </w:tabs>
        <w:suppressAutoHyphens/>
        <w:ind w:left="426" w:hanging="426"/>
        <w:jc w:val="both"/>
        <w:rPr>
          <w:spacing w:val="-3"/>
          <w:lang w:val="en-US"/>
        </w:rPr>
      </w:pPr>
    </w:p>
    <w:p w:rsidR="00AD66DF" w:rsidRDefault="00AD66DF" w:rsidP="00101D9C">
      <w:pPr>
        <w:tabs>
          <w:tab w:val="left" w:pos="426"/>
          <w:tab w:val="left" w:pos="720"/>
        </w:tabs>
        <w:suppressAutoHyphens/>
        <w:ind w:left="426" w:hanging="426"/>
        <w:jc w:val="both"/>
        <w:rPr>
          <w:spacing w:val="-3"/>
          <w:lang w:val="en-US"/>
        </w:rPr>
      </w:pPr>
      <w:r w:rsidRPr="00AD66DF">
        <w:rPr>
          <w:spacing w:val="-3"/>
          <w:lang w:val="en-US"/>
        </w:rPr>
        <w:t>Chin, M., and Wine, P. H: J. Photochem. Photobiol., A, 69(1), 17-25, 1992.</w:t>
      </w:r>
    </w:p>
    <w:p w:rsidR="00101D9C" w:rsidRDefault="00101D9C" w:rsidP="00101D9C">
      <w:pPr>
        <w:tabs>
          <w:tab w:val="left" w:pos="426"/>
          <w:tab w:val="left" w:pos="720"/>
        </w:tabs>
        <w:suppressAutoHyphens/>
        <w:ind w:left="426" w:hanging="426"/>
        <w:jc w:val="both"/>
        <w:rPr>
          <w:spacing w:val="-3"/>
          <w:lang w:val="en-US"/>
        </w:rPr>
      </w:pPr>
    </w:p>
    <w:p w:rsidR="00101D9C" w:rsidRPr="004043A7" w:rsidRDefault="00101D9C" w:rsidP="00101D9C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  <w:lang w:val="de-DE" w:eastAsia="en-CA"/>
        </w:rPr>
      </w:pPr>
      <w:r w:rsidRPr="00101D9C">
        <w:rPr>
          <w:rFonts w:ascii="Times New Roman" w:hAnsi="Times New Roman" w:cs="Times New Roman"/>
          <w:color w:val="000000"/>
          <w:lang w:val="en-CA" w:eastAsia="en-CA"/>
        </w:rPr>
        <w:t xml:space="preserve">Kumar, M., Rao, M. H. and Moorthy, P. N.: J. Macromol. </w:t>
      </w:r>
      <w:r w:rsidRPr="004043A7">
        <w:rPr>
          <w:rFonts w:ascii="Times New Roman" w:hAnsi="Times New Roman" w:cs="Times New Roman"/>
          <w:color w:val="000000"/>
          <w:lang w:val="de-DE" w:eastAsia="en-CA"/>
        </w:rPr>
        <w:t>Sci., Chem., 27(3), 299-308, 1990.</w:t>
      </w:r>
    </w:p>
    <w:p w:rsidR="00101D9C" w:rsidRPr="004043A7" w:rsidRDefault="00101D9C" w:rsidP="00101D9C">
      <w:pPr>
        <w:tabs>
          <w:tab w:val="left" w:pos="426"/>
          <w:tab w:val="left" w:pos="720"/>
        </w:tabs>
        <w:suppressAutoHyphens/>
        <w:ind w:left="426" w:hanging="426"/>
        <w:jc w:val="both"/>
        <w:rPr>
          <w:spacing w:val="-3"/>
          <w:lang w:val="de-DE"/>
        </w:rPr>
      </w:pPr>
    </w:p>
    <w:p w:rsidR="00101D9C" w:rsidRPr="00101D9C" w:rsidRDefault="00101D9C" w:rsidP="00101D9C">
      <w:pPr>
        <w:tabs>
          <w:tab w:val="left" w:pos="426"/>
        </w:tabs>
        <w:ind w:left="426" w:hanging="426"/>
        <w:jc w:val="both"/>
        <w:rPr>
          <w:rFonts w:cs="Times New Roman"/>
          <w:color w:val="000000"/>
          <w:lang w:val="en-CA" w:eastAsia="en-CA"/>
        </w:rPr>
      </w:pPr>
      <w:r w:rsidRPr="004043A7">
        <w:rPr>
          <w:rFonts w:cs="Times New Roman"/>
          <w:color w:val="000000"/>
          <w:lang w:val="de-DE" w:eastAsia="en-CA"/>
        </w:rPr>
        <w:t xml:space="preserve">Lilie, J. and Henglein, A.: Ber. </w:t>
      </w:r>
      <w:r w:rsidRPr="00101D9C">
        <w:rPr>
          <w:rFonts w:cs="Times New Roman"/>
          <w:color w:val="000000"/>
          <w:lang w:val="en-CA" w:eastAsia="en-CA"/>
        </w:rPr>
        <w:t>Bunsen-Ges. Phys. Chem., 74(4), 388-393, 1970.</w:t>
      </w:r>
    </w:p>
    <w:p w:rsidR="00101D9C" w:rsidRDefault="00101D9C" w:rsidP="00101D9C">
      <w:pPr>
        <w:tabs>
          <w:tab w:val="left" w:pos="426"/>
          <w:tab w:val="left" w:pos="720"/>
        </w:tabs>
        <w:suppressAutoHyphens/>
        <w:ind w:left="426" w:hanging="426"/>
        <w:jc w:val="both"/>
        <w:rPr>
          <w:spacing w:val="-3"/>
          <w:lang w:val="en-US"/>
        </w:rPr>
      </w:pPr>
    </w:p>
    <w:p w:rsidR="00101D9C" w:rsidRPr="00101D9C" w:rsidRDefault="00101D9C" w:rsidP="00101D9C">
      <w:pPr>
        <w:tabs>
          <w:tab w:val="left" w:pos="426"/>
        </w:tabs>
        <w:ind w:left="426" w:hanging="426"/>
        <w:jc w:val="both"/>
        <w:rPr>
          <w:rFonts w:cs="Times New Roman"/>
          <w:color w:val="000000"/>
          <w:lang w:val="en-CA" w:eastAsia="en-CA"/>
        </w:rPr>
      </w:pPr>
      <w:r w:rsidRPr="004043A7">
        <w:rPr>
          <w:rFonts w:cs="Times New Roman"/>
          <w:color w:val="000000"/>
          <w:lang w:val="de-DE" w:eastAsia="en-CA"/>
        </w:rPr>
        <w:t xml:space="preserve">Schöne, L., Schindelka, J., Szeremeta, E., Schaefer, T., Hoffmann, D., Rudzinski, K. J., Szmigielski, R. and Herrmann, H.: Phys. </w:t>
      </w:r>
      <w:r w:rsidRPr="00101D9C">
        <w:rPr>
          <w:rFonts w:cs="Times New Roman"/>
          <w:color w:val="000000"/>
          <w:lang w:val="en-CA" w:eastAsia="en-CA"/>
        </w:rPr>
        <w:t>Chem. Chem. Phys., 16(13), 6257-6272, 2014.</w:t>
      </w:r>
    </w:p>
    <w:p w:rsidR="00101D9C" w:rsidRDefault="00101D9C" w:rsidP="00101D9C">
      <w:pPr>
        <w:tabs>
          <w:tab w:val="left" w:pos="426"/>
          <w:tab w:val="left" w:pos="720"/>
        </w:tabs>
        <w:suppressAutoHyphens/>
        <w:ind w:left="426" w:hanging="426"/>
        <w:jc w:val="both"/>
        <w:rPr>
          <w:spacing w:val="-3"/>
          <w:lang w:val="en-US"/>
        </w:rPr>
      </w:pPr>
    </w:p>
    <w:p w:rsidR="00101D9C" w:rsidRPr="00101D9C" w:rsidRDefault="00101D9C" w:rsidP="00101D9C">
      <w:pPr>
        <w:tabs>
          <w:tab w:val="left" w:pos="426"/>
        </w:tabs>
        <w:ind w:left="426" w:hanging="426"/>
        <w:jc w:val="both"/>
        <w:rPr>
          <w:rFonts w:cs="Times New Roman"/>
          <w:color w:val="000000"/>
          <w:lang w:val="en-CA" w:eastAsia="en-CA"/>
        </w:rPr>
      </w:pPr>
      <w:r w:rsidRPr="00101D9C">
        <w:rPr>
          <w:rFonts w:cs="Times New Roman"/>
          <w:color w:val="000000"/>
          <w:lang w:val="en-CA" w:eastAsia="en-CA"/>
        </w:rPr>
        <w:t>Szeremeta, E., Barzaghi, P., Böge, O., Herrmann, H., Gmachowski, L. and Rudzinski, K. J., edt.: Maione, M. and Fuzzi, S., Aracne editrice Srl.: Atmospheric composition Change–Causes and Consequences–Local to Global, 2009.</w:t>
      </w:r>
    </w:p>
    <w:p w:rsidR="00101D9C" w:rsidRDefault="00101D9C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A404EA" w:rsidRPr="00A404EA" w:rsidRDefault="00A404EA" w:rsidP="00A404EA">
      <w:pPr>
        <w:jc w:val="both"/>
        <w:rPr>
          <w:rFonts w:ascii="Times New Roman" w:hAnsi="Times New Roman" w:cs="Times New Roman"/>
          <w:color w:val="000000"/>
          <w:lang w:val="en-CA" w:eastAsia="en-CA"/>
        </w:rPr>
      </w:pPr>
      <w:r w:rsidRPr="00A404EA">
        <w:rPr>
          <w:rFonts w:ascii="Times New Roman" w:hAnsi="Times New Roman" w:cs="Times New Roman"/>
          <w:color w:val="000000"/>
          <w:lang w:val="en-CA" w:eastAsia="en-CA"/>
        </w:rPr>
        <w:t>Zhang, X., Chen, Z. M. and Zhao, Y.: Atmos. Chem. Phys., 10(19), 9551-9561, 2010.</w:t>
      </w:r>
    </w:p>
    <w:p w:rsidR="00A404EA" w:rsidRDefault="00A404EA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2E005E" w:rsidRDefault="00AD66DF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  <w:r w:rsidRPr="00AD66DF">
        <w:rPr>
          <w:spacing w:val="-3"/>
          <w:lang w:val="en-US"/>
        </w:rPr>
        <w:t>Zhu, L., Nicovich, J. M. and Wine, P. H.: Aquat. Sci., 65(4), 425-435, 2003.</w:t>
      </w:r>
    </w:p>
    <w:p w:rsidR="005B1F77" w:rsidRDefault="00681918" w:rsidP="00570FF8">
      <w:pPr>
        <w:autoSpaceDE w:val="0"/>
        <w:autoSpaceDN w:val="0"/>
        <w:adjustRightInd w:val="0"/>
        <w:rPr>
          <w:rFonts w:ascii="Times New Roman" w:eastAsia="Symbol" w:hAnsi="Times New Roman" w:cs="Times New Roman"/>
          <w:color w:val="000000"/>
          <w:lang w:val="en-GB" w:eastAsia="de-DE"/>
        </w:rPr>
      </w:pPr>
      <w:r>
        <w:rPr>
          <w:rFonts w:ascii="Times New Roman" w:eastAsia="Symbol" w:hAnsi="Times New Roman" w:cs="Times New Roman"/>
          <w:noProof/>
          <w:color w:val="000000"/>
          <w:lang w:val="en-GB" w:eastAsia="de-DE"/>
        </w:rPr>
        <w:lastRenderedPageBreak/>
        <w:drawing>
          <wp:inline distT="0" distB="0" distL="0" distR="0">
            <wp:extent cx="5762625" cy="4067175"/>
            <wp:effectExtent l="0" t="0" r="0" b="0"/>
            <wp:docPr id="1" name="Bild 1" descr="MVK+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K+H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E1" w:rsidRPr="00570FF8" w:rsidRDefault="00DE06E1" w:rsidP="00570FF8">
      <w:pPr>
        <w:autoSpaceDE w:val="0"/>
        <w:autoSpaceDN w:val="0"/>
        <w:adjustRightInd w:val="0"/>
        <w:rPr>
          <w:rFonts w:ascii="Times New Roman" w:eastAsia="Symbol" w:hAnsi="Times New Roman" w:cs="Times New Roman"/>
          <w:color w:val="000000"/>
          <w:lang w:val="en-GB" w:eastAsia="de-DE"/>
        </w:rPr>
      </w:pPr>
      <w:r w:rsidRPr="00AB48BD">
        <w:rPr>
          <w:rFonts w:ascii="Times New Roman" w:eastAsia="Symbol" w:hAnsi="Times New Roman" w:cs="Times New Roman"/>
          <w:color w:val="000000"/>
          <w:lang w:val="en-GB" w:eastAsia="de-DE"/>
        </w:rPr>
        <w:t xml:space="preserve">T-dependent rate </w:t>
      </w:r>
      <w:r w:rsidR="00AD66DF">
        <w:rPr>
          <w:rFonts w:ascii="Times New Roman" w:eastAsia="Symbol" w:hAnsi="Times New Roman" w:cs="Times New Roman"/>
          <w:color w:val="000000"/>
          <w:lang w:val="en-GB" w:eastAsia="de-DE"/>
        </w:rPr>
        <w:t>coefficient</w:t>
      </w:r>
      <w:r w:rsidRPr="00AB48BD">
        <w:rPr>
          <w:rFonts w:ascii="Times New Roman" w:eastAsia="Symbol" w:hAnsi="Times New Roman" w:cs="Times New Roman"/>
          <w:color w:val="000000"/>
          <w:lang w:val="en-GB" w:eastAsia="de-DE"/>
        </w:rPr>
        <w:t xml:space="preserve">s for the reaction of </w:t>
      </w:r>
      <w:r w:rsidR="00827D11">
        <w:rPr>
          <w:rFonts w:ascii="Times New Roman" w:eastAsia="Symbol" w:hAnsi="Times New Roman" w:cs="Times New Roman"/>
          <w:color w:val="000000"/>
          <w:lang w:val="en-GB" w:eastAsia="de-DE"/>
        </w:rPr>
        <w:t>methyl vinyl ketone</w:t>
      </w:r>
      <w:r w:rsidRPr="00AB48BD">
        <w:rPr>
          <w:rFonts w:ascii="Times New Roman" w:eastAsia="Symbol" w:hAnsi="Times New Roman" w:cs="Times New Roman"/>
          <w:color w:val="000000"/>
          <w:lang w:val="en-GB" w:eastAsia="de-DE"/>
        </w:rPr>
        <w:t xml:space="preserve"> with </w:t>
      </w:r>
      <w:r w:rsidR="00BC4A45">
        <w:rPr>
          <w:rFonts w:ascii="Times New Roman" w:eastAsia="Symbol" w:hAnsi="Times New Roman" w:cs="Times New Roman"/>
          <w:color w:val="000000"/>
          <w:lang w:val="en-GB" w:eastAsia="de-DE"/>
        </w:rPr>
        <w:t>HO</w:t>
      </w:r>
      <w:r w:rsidRPr="00AB48BD">
        <w:rPr>
          <w:rFonts w:ascii="Times New Roman" w:eastAsia="Symbol" w:hAnsi="Times New Roman" w:cs="Times New Roman"/>
          <w:color w:val="000000"/>
          <w:lang w:val="en-GB" w:eastAsia="de-DE"/>
        </w:rPr>
        <w:t xml:space="preserve"> in aqueous solution. Data from</w:t>
      </w:r>
      <w:r>
        <w:rPr>
          <w:rFonts w:ascii="Times New Roman" w:eastAsia="Symbol" w:hAnsi="Times New Roman" w:cs="Times New Roman"/>
          <w:color w:val="000000"/>
          <w:lang w:val="en-GB" w:eastAsia="de-DE"/>
        </w:rPr>
        <w:t xml:space="preserve"> </w:t>
      </w:r>
      <w:r w:rsidR="005B1F77">
        <w:rPr>
          <w:rFonts w:ascii="Times New Roman" w:eastAsia="Symbol" w:hAnsi="Times New Roman" w:cs="Times New Roman"/>
          <w:color w:val="000000"/>
          <w:lang w:val="en-GB" w:eastAsia="de-DE"/>
        </w:rPr>
        <w:t>Lilie and Henglein (1970)</w:t>
      </w:r>
      <w:r>
        <w:rPr>
          <w:rFonts w:ascii="Times New Roman" w:eastAsia="Symbol" w:hAnsi="Times New Roman" w:cs="Times New Roman"/>
          <w:color w:val="000000"/>
          <w:lang w:val="en-GB" w:eastAsia="de-DE"/>
        </w:rPr>
        <w:t xml:space="preserve">, </w:t>
      </w:r>
      <w:r w:rsidR="00827D11">
        <w:rPr>
          <w:rFonts w:ascii="Times New Roman" w:eastAsia="Symbol" w:hAnsi="Times New Roman" w:cs="Times New Roman"/>
          <w:color w:val="000000"/>
          <w:lang w:val="en-GB" w:eastAsia="de-DE"/>
        </w:rPr>
        <w:t>Szeremeta et al. (2009) and Schoene et al. (2014)</w:t>
      </w:r>
      <w:r w:rsidR="00C454A7">
        <w:rPr>
          <w:rFonts w:ascii="Times New Roman" w:eastAsia="Symbol" w:hAnsi="Times New Roman" w:cs="Times New Roman"/>
          <w:color w:val="000000"/>
          <w:lang w:val="en-GB" w:eastAsia="de-DE"/>
        </w:rPr>
        <w:t xml:space="preserve"> have been considered for regression</w:t>
      </w:r>
      <w:r w:rsidRPr="003B4C82">
        <w:rPr>
          <w:rFonts w:ascii="Times New Roman" w:eastAsia="Symbol" w:hAnsi="Times New Roman" w:cs="Times New Roman"/>
          <w:lang w:val="en-GB" w:eastAsia="de-DE"/>
        </w:rPr>
        <w:t>.</w:t>
      </w:r>
      <w:r w:rsidR="004043A7">
        <w:rPr>
          <w:rFonts w:ascii="Times New Roman" w:eastAsia="Symbol" w:hAnsi="Times New Roman" w:cs="Times New Roman"/>
          <w:lang w:val="en-GB" w:eastAsia="de-DE"/>
        </w:rPr>
        <w:t xml:space="preserve"> Due to the high deviation, data from Kumar et al. (1990) is not shown.</w:t>
      </w:r>
    </w:p>
    <w:sectPr w:rsidR="00DE06E1" w:rsidRPr="00570FF8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eastAsia="Symbol" w:cs="Symbol" w:hint="default"/>
        <w:spacing w:val="-2"/>
        <w:lang w:val="en-CA"/>
      </w:rPr>
    </w:lvl>
  </w:abstractNum>
  <w:abstractNum w:abstractNumId="1" w15:restartNumberingAfterBreak="0">
    <w:nsid w:val="13E739E8"/>
    <w:multiLevelType w:val="hybridMultilevel"/>
    <w:tmpl w:val="51D23F12"/>
    <w:lvl w:ilvl="0" w:tplc="C44873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1E5D0349"/>
    <w:multiLevelType w:val="hybridMultilevel"/>
    <w:tmpl w:val="8EC47CD4"/>
    <w:lvl w:ilvl="0" w:tplc="00C293DA">
      <w:start w:val="1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Time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6D77BE"/>
    <w:multiLevelType w:val="hybridMultilevel"/>
    <w:tmpl w:val="DA2C769A"/>
    <w:lvl w:ilvl="0" w:tplc="E5F80E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0D65"/>
    <w:multiLevelType w:val="hybridMultilevel"/>
    <w:tmpl w:val="92D8FDB0"/>
    <w:lvl w:ilvl="0" w:tplc="F74E25E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F757B"/>
    <w:multiLevelType w:val="hybridMultilevel"/>
    <w:tmpl w:val="AED466DC"/>
    <w:lvl w:ilvl="0" w:tplc="3124AADE">
      <w:start w:val="1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52D4D3C"/>
    <w:multiLevelType w:val="hybridMultilevel"/>
    <w:tmpl w:val="5AF4A246"/>
    <w:lvl w:ilvl="0" w:tplc="1C58B7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060E0"/>
    <w:multiLevelType w:val="hybridMultilevel"/>
    <w:tmpl w:val="B9BE44A4"/>
    <w:lvl w:ilvl="0" w:tplc="A9ACC7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36BFA"/>
    <w:multiLevelType w:val="hybridMultilevel"/>
    <w:tmpl w:val="7F84760E"/>
    <w:lvl w:ilvl="0" w:tplc="C3504C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97CA2"/>
    <w:multiLevelType w:val="hybridMultilevel"/>
    <w:tmpl w:val="C1FC7A20"/>
    <w:lvl w:ilvl="0" w:tplc="0D30309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A9D5445"/>
    <w:multiLevelType w:val="hybridMultilevel"/>
    <w:tmpl w:val="982431BC"/>
    <w:lvl w:ilvl="0" w:tplc="C87A97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46010"/>
    <w:multiLevelType w:val="hybridMultilevel"/>
    <w:tmpl w:val="BE241D18"/>
    <w:lvl w:ilvl="0" w:tplc="0120A3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12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F005A"/>
    <w:rsid w:val="00003186"/>
    <w:rsid w:val="000058F8"/>
    <w:rsid w:val="0000681C"/>
    <w:rsid w:val="000100DA"/>
    <w:rsid w:val="00014066"/>
    <w:rsid w:val="000142D0"/>
    <w:rsid w:val="000226C3"/>
    <w:rsid w:val="00032D98"/>
    <w:rsid w:val="00037BE6"/>
    <w:rsid w:val="00040EB8"/>
    <w:rsid w:val="00053A77"/>
    <w:rsid w:val="00053BFF"/>
    <w:rsid w:val="0005682B"/>
    <w:rsid w:val="000623D4"/>
    <w:rsid w:val="00063311"/>
    <w:rsid w:val="00064D18"/>
    <w:rsid w:val="000702C3"/>
    <w:rsid w:val="00077A3A"/>
    <w:rsid w:val="00081DF2"/>
    <w:rsid w:val="000857CF"/>
    <w:rsid w:val="00090C16"/>
    <w:rsid w:val="000921DC"/>
    <w:rsid w:val="00097533"/>
    <w:rsid w:val="000977C2"/>
    <w:rsid w:val="000A011B"/>
    <w:rsid w:val="000A162B"/>
    <w:rsid w:val="000A2FAF"/>
    <w:rsid w:val="000A50BC"/>
    <w:rsid w:val="000A71A1"/>
    <w:rsid w:val="000C3CAA"/>
    <w:rsid w:val="000C7F9F"/>
    <w:rsid w:val="000D121F"/>
    <w:rsid w:val="000D16E7"/>
    <w:rsid w:val="000D37DF"/>
    <w:rsid w:val="000D65CF"/>
    <w:rsid w:val="000D78B2"/>
    <w:rsid w:val="000E03DB"/>
    <w:rsid w:val="000E3FE8"/>
    <w:rsid w:val="00101645"/>
    <w:rsid w:val="00101D9C"/>
    <w:rsid w:val="00106A74"/>
    <w:rsid w:val="00107670"/>
    <w:rsid w:val="00112844"/>
    <w:rsid w:val="00120EED"/>
    <w:rsid w:val="00121AC9"/>
    <w:rsid w:val="001318D0"/>
    <w:rsid w:val="00133FEA"/>
    <w:rsid w:val="00145C54"/>
    <w:rsid w:val="00152FD9"/>
    <w:rsid w:val="00153BFD"/>
    <w:rsid w:val="00156D90"/>
    <w:rsid w:val="001574B6"/>
    <w:rsid w:val="00157A3A"/>
    <w:rsid w:val="001637C3"/>
    <w:rsid w:val="0018490C"/>
    <w:rsid w:val="00192FCA"/>
    <w:rsid w:val="00195B6D"/>
    <w:rsid w:val="00197003"/>
    <w:rsid w:val="001977C2"/>
    <w:rsid w:val="001A1912"/>
    <w:rsid w:val="001B27BC"/>
    <w:rsid w:val="001D6CBA"/>
    <w:rsid w:val="001E1C70"/>
    <w:rsid w:val="001E4685"/>
    <w:rsid w:val="001F2202"/>
    <w:rsid w:val="001F4EB5"/>
    <w:rsid w:val="0020061C"/>
    <w:rsid w:val="002103C5"/>
    <w:rsid w:val="00213E99"/>
    <w:rsid w:val="00215F21"/>
    <w:rsid w:val="002162E9"/>
    <w:rsid w:val="00220181"/>
    <w:rsid w:val="00220DDF"/>
    <w:rsid w:val="00221A67"/>
    <w:rsid w:val="0022452F"/>
    <w:rsid w:val="002254C8"/>
    <w:rsid w:val="002549E4"/>
    <w:rsid w:val="00263497"/>
    <w:rsid w:val="00266D30"/>
    <w:rsid w:val="0027580C"/>
    <w:rsid w:val="002837BB"/>
    <w:rsid w:val="00284087"/>
    <w:rsid w:val="002862D6"/>
    <w:rsid w:val="00287FBA"/>
    <w:rsid w:val="002952DE"/>
    <w:rsid w:val="002979B8"/>
    <w:rsid w:val="002A1F8D"/>
    <w:rsid w:val="002A4717"/>
    <w:rsid w:val="002B10B1"/>
    <w:rsid w:val="002B127C"/>
    <w:rsid w:val="002B23A6"/>
    <w:rsid w:val="002B6012"/>
    <w:rsid w:val="002B69B0"/>
    <w:rsid w:val="002C5E16"/>
    <w:rsid w:val="002C7E9C"/>
    <w:rsid w:val="002D191B"/>
    <w:rsid w:val="002E005E"/>
    <w:rsid w:val="0030119A"/>
    <w:rsid w:val="003016BE"/>
    <w:rsid w:val="00303330"/>
    <w:rsid w:val="00304CDC"/>
    <w:rsid w:val="00311AB1"/>
    <w:rsid w:val="00325D6F"/>
    <w:rsid w:val="003263B4"/>
    <w:rsid w:val="00336897"/>
    <w:rsid w:val="003515B2"/>
    <w:rsid w:val="00352F06"/>
    <w:rsid w:val="003570CC"/>
    <w:rsid w:val="003610F8"/>
    <w:rsid w:val="0036323E"/>
    <w:rsid w:val="00390D27"/>
    <w:rsid w:val="003A21BC"/>
    <w:rsid w:val="003A2660"/>
    <w:rsid w:val="003A3023"/>
    <w:rsid w:val="003A3A5A"/>
    <w:rsid w:val="003A5A2D"/>
    <w:rsid w:val="003A71F8"/>
    <w:rsid w:val="003B37E9"/>
    <w:rsid w:val="003B48C1"/>
    <w:rsid w:val="003B72AC"/>
    <w:rsid w:val="003D0949"/>
    <w:rsid w:val="003D1543"/>
    <w:rsid w:val="003F1CCB"/>
    <w:rsid w:val="003F37D0"/>
    <w:rsid w:val="00402E8B"/>
    <w:rsid w:val="004043A7"/>
    <w:rsid w:val="00404CD3"/>
    <w:rsid w:val="00405E8B"/>
    <w:rsid w:val="00410188"/>
    <w:rsid w:val="00410929"/>
    <w:rsid w:val="004117FE"/>
    <w:rsid w:val="004123DB"/>
    <w:rsid w:val="00420BAC"/>
    <w:rsid w:val="0042295A"/>
    <w:rsid w:val="00422D77"/>
    <w:rsid w:val="00443E37"/>
    <w:rsid w:val="004450AB"/>
    <w:rsid w:val="00447665"/>
    <w:rsid w:val="00450818"/>
    <w:rsid w:val="004513F5"/>
    <w:rsid w:val="004553D9"/>
    <w:rsid w:val="00455EA0"/>
    <w:rsid w:val="00467D9B"/>
    <w:rsid w:val="00472D87"/>
    <w:rsid w:val="00484C52"/>
    <w:rsid w:val="00486CBB"/>
    <w:rsid w:val="004A407F"/>
    <w:rsid w:val="004A7BA6"/>
    <w:rsid w:val="004B3308"/>
    <w:rsid w:val="004B74C3"/>
    <w:rsid w:val="004C3213"/>
    <w:rsid w:val="004C4D3E"/>
    <w:rsid w:val="004C6446"/>
    <w:rsid w:val="004D0A1E"/>
    <w:rsid w:val="004E7108"/>
    <w:rsid w:val="004F0504"/>
    <w:rsid w:val="004F2741"/>
    <w:rsid w:val="004F7104"/>
    <w:rsid w:val="00501D48"/>
    <w:rsid w:val="00502F51"/>
    <w:rsid w:val="005047F9"/>
    <w:rsid w:val="00505161"/>
    <w:rsid w:val="00505A10"/>
    <w:rsid w:val="00506140"/>
    <w:rsid w:val="00513019"/>
    <w:rsid w:val="00515086"/>
    <w:rsid w:val="00522F3B"/>
    <w:rsid w:val="0052608B"/>
    <w:rsid w:val="00541F5E"/>
    <w:rsid w:val="005424C6"/>
    <w:rsid w:val="00560013"/>
    <w:rsid w:val="00565A6E"/>
    <w:rsid w:val="00570FF8"/>
    <w:rsid w:val="00571A09"/>
    <w:rsid w:val="0057662D"/>
    <w:rsid w:val="005A08E2"/>
    <w:rsid w:val="005A22EA"/>
    <w:rsid w:val="005A3363"/>
    <w:rsid w:val="005A3C28"/>
    <w:rsid w:val="005A60C4"/>
    <w:rsid w:val="005A7488"/>
    <w:rsid w:val="005B1F77"/>
    <w:rsid w:val="005B3754"/>
    <w:rsid w:val="005B54D1"/>
    <w:rsid w:val="005B6EB1"/>
    <w:rsid w:val="005C3B60"/>
    <w:rsid w:val="005C5E6F"/>
    <w:rsid w:val="005D4CF6"/>
    <w:rsid w:val="005D731B"/>
    <w:rsid w:val="005E518D"/>
    <w:rsid w:val="005E7FBB"/>
    <w:rsid w:val="00601BCA"/>
    <w:rsid w:val="00604D2C"/>
    <w:rsid w:val="006053C0"/>
    <w:rsid w:val="00613C73"/>
    <w:rsid w:val="00615583"/>
    <w:rsid w:val="00636A12"/>
    <w:rsid w:val="0063704E"/>
    <w:rsid w:val="00652F32"/>
    <w:rsid w:val="00654098"/>
    <w:rsid w:val="00663250"/>
    <w:rsid w:val="00670889"/>
    <w:rsid w:val="00673E08"/>
    <w:rsid w:val="00675054"/>
    <w:rsid w:val="00681918"/>
    <w:rsid w:val="00692339"/>
    <w:rsid w:val="006967C4"/>
    <w:rsid w:val="006A1A56"/>
    <w:rsid w:val="006A2320"/>
    <w:rsid w:val="006A6692"/>
    <w:rsid w:val="006B115F"/>
    <w:rsid w:val="006B1C76"/>
    <w:rsid w:val="006B2DDA"/>
    <w:rsid w:val="006D2807"/>
    <w:rsid w:val="006D5DBD"/>
    <w:rsid w:val="006D6759"/>
    <w:rsid w:val="006D7A8B"/>
    <w:rsid w:val="006E1881"/>
    <w:rsid w:val="00700A63"/>
    <w:rsid w:val="00701B76"/>
    <w:rsid w:val="00702C8F"/>
    <w:rsid w:val="00703732"/>
    <w:rsid w:val="007064B6"/>
    <w:rsid w:val="00710305"/>
    <w:rsid w:val="0071369E"/>
    <w:rsid w:val="00713FB7"/>
    <w:rsid w:val="00721569"/>
    <w:rsid w:val="00721AC4"/>
    <w:rsid w:val="007440D3"/>
    <w:rsid w:val="007468AA"/>
    <w:rsid w:val="00751CEC"/>
    <w:rsid w:val="00762860"/>
    <w:rsid w:val="00776BA1"/>
    <w:rsid w:val="00777324"/>
    <w:rsid w:val="0077768F"/>
    <w:rsid w:val="007813B8"/>
    <w:rsid w:val="00784793"/>
    <w:rsid w:val="00790A52"/>
    <w:rsid w:val="0079362F"/>
    <w:rsid w:val="00795528"/>
    <w:rsid w:val="007A2D7C"/>
    <w:rsid w:val="007A3298"/>
    <w:rsid w:val="007B0E88"/>
    <w:rsid w:val="007B13BD"/>
    <w:rsid w:val="007C0F73"/>
    <w:rsid w:val="007C1BA6"/>
    <w:rsid w:val="007C1E12"/>
    <w:rsid w:val="007E5705"/>
    <w:rsid w:val="007E57D2"/>
    <w:rsid w:val="007E7B8E"/>
    <w:rsid w:val="007F017D"/>
    <w:rsid w:val="007F2089"/>
    <w:rsid w:val="007F2DF3"/>
    <w:rsid w:val="007F4C67"/>
    <w:rsid w:val="00803998"/>
    <w:rsid w:val="008061CF"/>
    <w:rsid w:val="008076CF"/>
    <w:rsid w:val="00816FDF"/>
    <w:rsid w:val="008206A7"/>
    <w:rsid w:val="00821651"/>
    <w:rsid w:val="0082456F"/>
    <w:rsid w:val="008261BC"/>
    <w:rsid w:val="00827D11"/>
    <w:rsid w:val="008344BF"/>
    <w:rsid w:val="0083653B"/>
    <w:rsid w:val="00842FAF"/>
    <w:rsid w:val="00853D83"/>
    <w:rsid w:val="00853F01"/>
    <w:rsid w:val="008549FA"/>
    <w:rsid w:val="00855918"/>
    <w:rsid w:val="008559B0"/>
    <w:rsid w:val="00860B72"/>
    <w:rsid w:val="0086602C"/>
    <w:rsid w:val="008727AD"/>
    <w:rsid w:val="00875CB1"/>
    <w:rsid w:val="0088073C"/>
    <w:rsid w:val="00880F4E"/>
    <w:rsid w:val="00881D55"/>
    <w:rsid w:val="00884D99"/>
    <w:rsid w:val="00887539"/>
    <w:rsid w:val="00891F90"/>
    <w:rsid w:val="00893259"/>
    <w:rsid w:val="008A320C"/>
    <w:rsid w:val="008A4EE3"/>
    <w:rsid w:val="008A733A"/>
    <w:rsid w:val="008C3846"/>
    <w:rsid w:val="008C4819"/>
    <w:rsid w:val="008D16B0"/>
    <w:rsid w:val="008D271F"/>
    <w:rsid w:val="008F0755"/>
    <w:rsid w:val="008F63FC"/>
    <w:rsid w:val="009019D2"/>
    <w:rsid w:val="009027B1"/>
    <w:rsid w:val="009044BD"/>
    <w:rsid w:val="00913834"/>
    <w:rsid w:val="00921793"/>
    <w:rsid w:val="00923C28"/>
    <w:rsid w:val="00931B9D"/>
    <w:rsid w:val="00934A6A"/>
    <w:rsid w:val="009360C3"/>
    <w:rsid w:val="00942081"/>
    <w:rsid w:val="009475A7"/>
    <w:rsid w:val="00954AD9"/>
    <w:rsid w:val="00955D52"/>
    <w:rsid w:val="00962DA4"/>
    <w:rsid w:val="00973F08"/>
    <w:rsid w:val="0097499A"/>
    <w:rsid w:val="00976D47"/>
    <w:rsid w:val="00977BF1"/>
    <w:rsid w:val="00994191"/>
    <w:rsid w:val="0099441C"/>
    <w:rsid w:val="00994D88"/>
    <w:rsid w:val="009B21A3"/>
    <w:rsid w:val="009C37A2"/>
    <w:rsid w:val="009C4BE5"/>
    <w:rsid w:val="009C785D"/>
    <w:rsid w:val="009C7A1E"/>
    <w:rsid w:val="009D2B8F"/>
    <w:rsid w:val="009D3390"/>
    <w:rsid w:val="009E2EEE"/>
    <w:rsid w:val="009E5505"/>
    <w:rsid w:val="009F18E0"/>
    <w:rsid w:val="009F405B"/>
    <w:rsid w:val="00A005C1"/>
    <w:rsid w:val="00A11587"/>
    <w:rsid w:val="00A12788"/>
    <w:rsid w:val="00A17123"/>
    <w:rsid w:val="00A23BD8"/>
    <w:rsid w:val="00A25342"/>
    <w:rsid w:val="00A27EE9"/>
    <w:rsid w:val="00A35C85"/>
    <w:rsid w:val="00A35EDC"/>
    <w:rsid w:val="00A36C41"/>
    <w:rsid w:val="00A404EA"/>
    <w:rsid w:val="00A45F07"/>
    <w:rsid w:val="00A47C2F"/>
    <w:rsid w:val="00A528B3"/>
    <w:rsid w:val="00A57E5E"/>
    <w:rsid w:val="00A65FFA"/>
    <w:rsid w:val="00A708D9"/>
    <w:rsid w:val="00A74455"/>
    <w:rsid w:val="00A7500E"/>
    <w:rsid w:val="00A80284"/>
    <w:rsid w:val="00A840F2"/>
    <w:rsid w:val="00A86F99"/>
    <w:rsid w:val="00A90959"/>
    <w:rsid w:val="00A91F89"/>
    <w:rsid w:val="00A948E0"/>
    <w:rsid w:val="00AA2BCD"/>
    <w:rsid w:val="00AB3143"/>
    <w:rsid w:val="00AD0E6A"/>
    <w:rsid w:val="00AD4544"/>
    <w:rsid w:val="00AD66DF"/>
    <w:rsid w:val="00AF2E74"/>
    <w:rsid w:val="00AF43D2"/>
    <w:rsid w:val="00AF52EF"/>
    <w:rsid w:val="00B01FBD"/>
    <w:rsid w:val="00B12B55"/>
    <w:rsid w:val="00B20C78"/>
    <w:rsid w:val="00B228B1"/>
    <w:rsid w:val="00B3156D"/>
    <w:rsid w:val="00B35123"/>
    <w:rsid w:val="00B52179"/>
    <w:rsid w:val="00B525A0"/>
    <w:rsid w:val="00B61525"/>
    <w:rsid w:val="00B67722"/>
    <w:rsid w:val="00B73CCE"/>
    <w:rsid w:val="00B84B46"/>
    <w:rsid w:val="00B85353"/>
    <w:rsid w:val="00B86EB3"/>
    <w:rsid w:val="00B95A51"/>
    <w:rsid w:val="00BA1397"/>
    <w:rsid w:val="00BA4720"/>
    <w:rsid w:val="00BA6D1D"/>
    <w:rsid w:val="00BA71C5"/>
    <w:rsid w:val="00BB1014"/>
    <w:rsid w:val="00BB3581"/>
    <w:rsid w:val="00BB7807"/>
    <w:rsid w:val="00BB7992"/>
    <w:rsid w:val="00BC167C"/>
    <w:rsid w:val="00BC4A45"/>
    <w:rsid w:val="00BD22BD"/>
    <w:rsid w:val="00BD2606"/>
    <w:rsid w:val="00BD451A"/>
    <w:rsid w:val="00BE50FB"/>
    <w:rsid w:val="00BE78BD"/>
    <w:rsid w:val="00BF1FB7"/>
    <w:rsid w:val="00BF2B4D"/>
    <w:rsid w:val="00C00643"/>
    <w:rsid w:val="00C013BC"/>
    <w:rsid w:val="00C10304"/>
    <w:rsid w:val="00C11A68"/>
    <w:rsid w:val="00C17A31"/>
    <w:rsid w:val="00C22890"/>
    <w:rsid w:val="00C25093"/>
    <w:rsid w:val="00C44C33"/>
    <w:rsid w:val="00C454A7"/>
    <w:rsid w:val="00C568C5"/>
    <w:rsid w:val="00C57B22"/>
    <w:rsid w:val="00C60D61"/>
    <w:rsid w:val="00C60DD0"/>
    <w:rsid w:val="00C648E1"/>
    <w:rsid w:val="00C67934"/>
    <w:rsid w:val="00C70E23"/>
    <w:rsid w:val="00C716CC"/>
    <w:rsid w:val="00C72D3C"/>
    <w:rsid w:val="00C75688"/>
    <w:rsid w:val="00C90E43"/>
    <w:rsid w:val="00C94795"/>
    <w:rsid w:val="00C94ED5"/>
    <w:rsid w:val="00CB0B81"/>
    <w:rsid w:val="00CD1F98"/>
    <w:rsid w:val="00CD27A8"/>
    <w:rsid w:val="00CD71EA"/>
    <w:rsid w:val="00CE2122"/>
    <w:rsid w:val="00CE24B0"/>
    <w:rsid w:val="00CE48B2"/>
    <w:rsid w:val="00CF5876"/>
    <w:rsid w:val="00D12D39"/>
    <w:rsid w:val="00D17C09"/>
    <w:rsid w:val="00D17F0E"/>
    <w:rsid w:val="00D2355F"/>
    <w:rsid w:val="00D249E0"/>
    <w:rsid w:val="00D25403"/>
    <w:rsid w:val="00D37F05"/>
    <w:rsid w:val="00D42194"/>
    <w:rsid w:val="00D455A8"/>
    <w:rsid w:val="00D4710E"/>
    <w:rsid w:val="00D54A80"/>
    <w:rsid w:val="00D557B7"/>
    <w:rsid w:val="00D57222"/>
    <w:rsid w:val="00D57669"/>
    <w:rsid w:val="00D576BE"/>
    <w:rsid w:val="00D73025"/>
    <w:rsid w:val="00D74C56"/>
    <w:rsid w:val="00D76D1B"/>
    <w:rsid w:val="00D77C1D"/>
    <w:rsid w:val="00D91F7F"/>
    <w:rsid w:val="00D93016"/>
    <w:rsid w:val="00D95437"/>
    <w:rsid w:val="00D963D2"/>
    <w:rsid w:val="00DB2748"/>
    <w:rsid w:val="00DB53BB"/>
    <w:rsid w:val="00DB6F16"/>
    <w:rsid w:val="00DD1D44"/>
    <w:rsid w:val="00DD5CB6"/>
    <w:rsid w:val="00DE06E1"/>
    <w:rsid w:val="00DE09D1"/>
    <w:rsid w:val="00DE439D"/>
    <w:rsid w:val="00DF64B2"/>
    <w:rsid w:val="00DF6645"/>
    <w:rsid w:val="00E00EDD"/>
    <w:rsid w:val="00E016CB"/>
    <w:rsid w:val="00E02483"/>
    <w:rsid w:val="00E16CA4"/>
    <w:rsid w:val="00E204AF"/>
    <w:rsid w:val="00E40753"/>
    <w:rsid w:val="00E50B31"/>
    <w:rsid w:val="00E54FE8"/>
    <w:rsid w:val="00E55CFC"/>
    <w:rsid w:val="00E5686D"/>
    <w:rsid w:val="00E57386"/>
    <w:rsid w:val="00E57CE9"/>
    <w:rsid w:val="00E63EE2"/>
    <w:rsid w:val="00E75E9C"/>
    <w:rsid w:val="00E80AB0"/>
    <w:rsid w:val="00E82DB1"/>
    <w:rsid w:val="00E913D0"/>
    <w:rsid w:val="00EA674C"/>
    <w:rsid w:val="00EC0F25"/>
    <w:rsid w:val="00EC593A"/>
    <w:rsid w:val="00EC61B0"/>
    <w:rsid w:val="00EC7F4B"/>
    <w:rsid w:val="00ED2B1A"/>
    <w:rsid w:val="00EE0A46"/>
    <w:rsid w:val="00EF005A"/>
    <w:rsid w:val="00EF080E"/>
    <w:rsid w:val="00EF196F"/>
    <w:rsid w:val="00EF1AD9"/>
    <w:rsid w:val="00EF6107"/>
    <w:rsid w:val="00F059A9"/>
    <w:rsid w:val="00F06A3D"/>
    <w:rsid w:val="00F06E5B"/>
    <w:rsid w:val="00F07327"/>
    <w:rsid w:val="00F1021C"/>
    <w:rsid w:val="00F10448"/>
    <w:rsid w:val="00F13C78"/>
    <w:rsid w:val="00F1682E"/>
    <w:rsid w:val="00F16B80"/>
    <w:rsid w:val="00F2273A"/>
    <w:rsid w:val="00F22DF5"/>
    <w:rsid w:val="00F249D1"/>
    <w:rsid w:val="00F264DD"/>
    <w:rsid w:val="00F35EF2"/>
    <w:rsid w:val="00F51B21"/>
    <w:rsid w:val="00F55117"/>
    <w:rsid w:val="00F62CD4"/>
    <w:rsid w:val="00F64725"/>
    <w:rsid w:val="00F726F5"/>
    <w:rsid w:val="00F74858"/>
    <w:rsid w:val="00F90411"/>
    <w:rsid w:val="00FA0C8D"/>
    <w:rsid w:val="00FA1715"/>
    <w:rsid w:val="00FA41C3"/>
    <w:rsid w:val="00FA5201"/>
    <w:rsid w:val="00FA5651"/>
    <w:rsid w:val="00FB2D80"/>
    <w:rsid w:val="00FB53C1"/>
    <w:rsid w:val="00FB64DA"/>
    <w:rsid w:val="00FC186E"/>
    <w:rsid w:val="00FC798E"/>
    <w:rsid w:val="00FD25E5"/>
    <w:rsid w:val="00FE45C8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AF5F9-515C-4574-B2F8-D935738E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AU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semiHidden/>
    <w:rsid w:val="000921DC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921DC"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220181"/>
  </w:style>
  <w:style w:type="character" w:styleId="Fett">
    <w:name w:val="Strong"/>
    <w:uiPriority w:val="22"/>
    <w:qFormat/>
    <w:rsid w:val="00220181"/>
    <w:rPr>
      <w:b/>
      <w:bCs/>
    </w:rPr>
  </w:style>
  <w:style w:type="paragraph" w:customStyle="1" w:styleId="headertext">
    <w:name w:val="header_text"/>
    <w:basedOn w:val="Standard"/>
    <w:rsid w:val="00220181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customStyle="1" w:styleId="bold">
    <w:name w:val="bold"/>
    <w:rsid w:val="00220181"/>
  </w:style>
  <w:style w:type="character" w:styleId="Kommentarzeichen">
    <w:name w:val="annotation reference"/>
    <w:rsid w:val="00713FB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13FB7"/>
    <w:rPr>
      <w:sz w:val="20"/>
      <w:szCs w:val="20"/>
    </w:rPr>
  </w:style>
  <w:style w:type="character" w:customStyle="1" w:styleId="KommentartextZchn">
    <w:name w:val="Kommentartext Zchn"/>
    <w:link w:val="Kommentartext"/>
    <w:rsid w:val="00713FB7"/>
    <w:rPr>
      <w:rFonts w:ascii="Times" w:hAnsi="Times" w:cs="Times"/>
      <w:lang w:val="en-AU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13FB7"/>
    <w:rPr>
      <w:b/>
      <w:bCs/>
    </w:rPr>
  </w:style>
  <w:style w:type="character" w:customStyle="1" w:styleId="KommentarthemaZchn">
    <w:name w:val="Kommentarthema Zchn"/>
    <w:link w:val="Kommentarthema"/>
    <w:rsid w:val="00713FB7"/>
    <w:rPr>
      <w:rFonts w:ascii="Times" w:hAnsi="Times" w:cs="Times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upac.pole-ether.fr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7535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2</cp:revision>
  <cp:lastPrinted>2016-09-06T09:14:00Z</cp:lastPrinted>
  <dcterms:created xsi:type="dcterms:W3CDTF">2020-01-16T10:18:00Z</dcterms:created>
  <dcterms:modified xsi:type="dcterms:W3CDTF">2020-01-16T10:18:00Z</dcterms:modified>
</cp:coreProperties>
</file>