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912" w:rsidRDefault="00D25403" w:rsidP="00702C8F">
      <w:pPr>
        <w:pStyle w:val="IUPACheadline"/>
      </w:pPr>
      <w:r>
        <w:t xml:space="preserve">IUPAC </w:t>
      </w:r>
      <w:r w:rsidR="001A1912" w:rsidRPr="001A1912">
        <w:rPr>
          <w:bCs/>
        </w:rPr>
        <w:t>Task Group on Atmospheric Chemical Kinetic Data Evaluation</w:t>
      </w:r>
    </w:p>
    <w:p w:rsidR="00D25403" w:rsidRDefault="001A1912" w:rsidP="00702C8F">
      <w:pPr>
        <w:pStyle w:val="IUPACheadline"/>
      </w:pPr>
      <w:r>
        <w:t xml:space="preserve"> </w:t>
      </w:r>
      <w:r w:rsidR="00D25403">
        <w:t xml:space="preserve">– Data Sheet </w:t>
      </w:r>
      <w:r w:rsidR="00DA2E76">
        <w:t>AQ_OH_64</w:t>
      </w:r>
    </w:p>
    <w:p w:rsidR="007F4C67" w:rsidRPr="007F4C67" w:rsidRDefault="008A4EE3" w:rsidP="007F4C67">
      <w:pPr>
        <w:pStyle w:val="IUPACtopparagraph"/>
      </w:pPr>
      <w:r w:rsidRPr="00702C8F">
        <w:t>Datasheets</w:t>
      </w:r>
      <w:r>
        <w:t xml:space="preserve"> can be downloaded for personal use only and must not be retransmitted or disseminated either electronically or in hardcopy without explicit written permission. </w:t>
      </w:r>
      <w:r>
        <w:br/>
      </w:r>
      <w:r w:rsidR="00E55CFC" w:rsidRPr="007F4C67">
        <w:t xml:space="preserve">The citation for this datasheet is: IUPAC Task Group on Atmospheric Chemical Kinetic Data Evaluation, </w:t>
      </w:r>
      <w:hyperlink r:id="rId5" w:history="1">
        <w:r w:rsidR="00E55CFC" w:rsidRPr="007F4C67">
          <w:rPr>
            <w:rStyle w:val="Hyperlink"/>
          </w:rPr>
          <w:t>http://iupac.pole-ethe</w:t>
        </w:r>
        <w:r w:rsidR="00E55CFC" w:rsidRPr="007F4C67">
          <w:rPr>
            <w:rStyle w:val="Hyperlink"/>
          </w:rPr>
          <w:t>r</w:t>
        </w:r>
        <w:r w:rsidR="00E55CFC" w:rsidRPr="007F4C67">
          <w:rPr>
            <w:rStyle w:val="Hyperlink"/>
          </w:rPr>
          <w:t>.fr</w:t>
        </w:r>
      </w:hyperlink>
      <w:r w:rsidR="00E55CFC" w:rsidRPr="007F4C67">
        <w:t>.</w:t>
      </w:r>
    </w:p>
    <w:p w:rsidR="007F4C67" w:rsidRPr="007F4C67" w:rsidRDefault="007F4C67" w:rsidP="007F4C67">
      <w:pPr>
        <w:pStyle w:val="IUPACtopparagraph"/>
      </w:pPr>
      <w:r w:rsidRPr="007F4C67">
        <w:t xml:space="preserve">This datasheet last evaluated: </w:t>
      </w:r>
      <w:r w:rsidR="00E01E39">
        <w:t>November</w:t>
      </w:r>
      <w:r w:rsidR="00044AE1">
        <w:t xml:space="preserve"> 2019</w:t>
      </w:r>
      <w:r w:rsidRPr="007F4C67">
        <w:t xml:space="preserve">; last change in preferred values: </w:t>
      </w:r>
      <w:r w:rsidR="00044AE1">
        <w:t>June 2019</w:t>
      </w:r>
    </w:p>
    <w:p w:rsidR="00604D2C" w:rsidRDefault="00604D2C" w:rsidP="00604D2C">
      <w:pPr>
        <w:pStyle w:val="IUPACTitlereaction"/>
        <w:spacing w:before="0" w:after="0"/>
        <w:rPr>
          <w:rFonts w:cs="Times New Roman"/>
          <w:lang w:val="pt-BR"/>
        </w:rPr>
      </w:pPr>
    </w:p>
    <w:p w:rsidR="00552206" w:rsidRDefault="00552206" w:rsidP="00932654">
      <w:pPr>
        <w:ind w:left="1440" w:hanging="22"/>
        <w:rPr>
          <w:b/>
          <w:lang w:val="pt-BR"/>
        </w:rPr>
      </w:pPr>
      <w:r>
        <w:rPr>
          <w:b/>
          <w:lang w:val="pt-BR"/>
        </w:rPr>
        <w:t>H</w:t>
      </w:r>
      <w:r w:rsidRPr="00552206">
        <w:rPr>
          <w:b/>
          <w:vertAlign w:val="subscript"/>
          <w:lang w:val="pt-BR"/>
        </w:rPr>
        <w:t>2</w:t>
      </w:r>
      <w:r>
        <w:rPr>
          <w:b/>
          <w:lang w:val="pt-BR"/>
        </w:rPr>
        <w:t xml:space="preserve">O + </w:t>
      </w:r>
      <w:r w:rsidRPr="00455EA0">
        <w:rPr>
          <w:b/>
          <w:lang w:val="pt-BR"/>
        </w:rPr>
        <w:t>(CH</w:t>
      </w:r>
      <w:r>
        <w:rPr>
          <w:b/>
          <w:vertAlign w:val="subscript"/>
          <w:lang w:val="pt-BR"/>
        </w:rPr>
        <w:t>3</w:t>
      </w:r>
      <w:r w:rsidRPr="00455EA0">
        <w:rPr>
          <w:b/>
          <w:lang w:val="pt-BR"/>
        </w:rPr>
        <w:t>)</w:t>
      </w:r>
      <w:r>
        <w:rPr>
          <w:b/>
          <w:vertAlign w:val="subscript"/>
          <w:lang w:val="pt-BR"/>
        </w:rPr>
        <w:t>2</w:t>
      </w:r>
      <w:r>
        <w:rPr>
          <w:b/>
          <w:lang w:val="pt-BR"/>
        </w:rPr>
        <w:t>CHCHO</w:t>
      </w:r>
      <w:r w:rsidR="00024B80">
        <w:rPr>
          <w:b/>
          <w:lang w:val="pt-BR"/>
        </w:rPr>
        <w:t xml:space="preserve"> </w:t>
      </w:r>
      <w:r w:rsidR="00634AE3" w:rsidRPr="00455EA0">
        <w:rPr>
          <w:b/>
          <w:lang w:val="pt-BR"/>
        </w:rPr>
        <w:t>(aq)</w:t>
      </w:r>
      <w:r w:rsidRPr="00455EA0">
        <w:rPr>
          <w:b/>
          <w:lang w:val="pt-BR"/>
        </w:rPr>
        <w:t xml:space="preserve"> </w:t>
      </w:r>
      <w:r w:rsidRPr="00455EA0">
        <w:rPr>
          <w:b/>
        </w:rPr>
        <w:sym w:font="Symbol" w:char="F0AE"/>
      </w:r>
      <w:r>
        <w:rPr>
          <w:b/>
        </w:rPr>
        <w:t xml:space="preserve"> </w:t>
      </w:r>
      <w:r w:rsidRPr="00455EA0">
        <w:rPr>
          <w:b/>
          <w:lang w:val="pt-BR"/>
        </w:rPr>
        <w:t>(CH</w:t>
      </w:r>
      <w:r>
        <w:rPr>
          <w:b/>
          <w:vertAlign w:val="subscript"/>
          <w:lang w:val="pt-BR"/>
        </w:rPr>
        <w:t>3</w:t>
      </w:r>
      <w:r w:rsidRPr="00455EA0">
        <w:rPr>
          <w:b/>
          <w:lang w:val="pt-BR"/>
        </w:rPr>
        <w:t>)</w:t>
      </w:r>
      <w:r>
        <w:rPr>
          <w:b/>
          <w:vertAlign w:val="subscript"/>
          <w:lang w:val="pt-BR"/>
        </w:rPr>
        <w:t>2</w:t>
      </w:r>
      <w:r>
        <w:rPr>
          <w:b/>
          <w:lang w:val="pt-BR"/>
        </w:rPr>
        <w:t>CHCH(OH)</w:t>
      </w:r>
      <w:r w:rsidRPr="00552206">
        <w:rPr>
          <w:b/>
          <w:vertAlign w:val="subscript"/>
          <w:lang w:val="pt-BR"/>
        </w:rPr>
        <w:t>2</w:t>
      </w:r>
      <w:r w:rsidR="00024B80" w:rsidRPr="00024B80">
        <w:rPr>
          <w:b/>
          <w:lang w:val="pt-BR"/>
        </w:rPr>
        <w:t xml:space="preserve"> </w:t>
      </w:r>
      <w:r w:rsidR="00634AE3" w:rsidRPr="00455EA0">
        <w:rPr>
          <w:b/>
          <w:lang w:val="pt-BR"/>
        </w:rPr>
        <w:t>(aq)</w:t>
      </w:r>
      <w:r>
        <w:rPr>
          <w:b/>
          <w:vertAlign w:val="subscript"/>
          <w:lang w:val="pt-BR"/>
        </w:rPr>
        <w:tab/>
      </w:r>
      <w:r>
        <w:rPr>
          <w:b/>
          <w:vertAlign w:val="subscript"/>
          <w:lang w:val="pt-BR"/>
        </w:rPr>
        <w:tab/>
      </w:r>
      <w:r w:rsidR="009B4D4E">
        <w:rPr>
          <w:b/>
          <w:vertAlign w:val="subscript"/>
          <w:lang w:val="pt-BR"/>
        </w:rPr>
        <w:tab/>
      </w:r>
      <w:r w:rsidRPr="00552206">
        <w:rPr>
          <w:b/>
          <w:lang w:val="pt-BR"/>
        </w:rPr>
        <w:t>(1)</w:t>
      </w:r>
    </w:p>
    <w:p w:rsidR="00552206" w:rsidRDefault="00552206" w:rsidP="00932654">
      <w:pPr>
        <w:ind w:left="1440" w:hanging="22"/>
        <w:rPr>
          <w:b/>
          <w:lang w:val="pt-BR"/>
        </w:rPr>
      </w:pPr>
    </w:p>
    <w:p w:rsidR="00F726F5" w:rsidRDefault="00044AE1" w:rsidP="00932654">
      <w:pPr>
        <w:ind w:left="1440" w:hanging="22"/>
        <w:rPr>
          <w:b/>
          <w:lang w:val="pt-BR"/>
        </w:rPr>
      </w:pPr>
      <w:r>
        <w:rPr>
          <w:b/>
          <w:lang w:val="pt-BR"/>
        </w:rPr>
        <w:t>HO</w:t>
      </w:r>
      <w:r w:rsidR="00024B80">
        <w:rPr>
          <w:b/>
          <w:lang w:val="pt-BR"/>
        </w:rPr>
        <w:t xml:space="preserve"> </w:t>
      </w:r>
      <w:r w:rsidR="00F726F5" w:rsidRPr="00455EA0">
        <w:rPr>
          <w:b/>
          <w:lang w:val="pt-BR"/>
        </w:rPr>
        <w:t>(aq)</w:t>
      </w:r>
      <w:r w:rsidR="00692339" w:rsidRPr="00455EA0">
        <w:rPr>
          <w:b/>
          <w:lang w:val="pt-BR"/>
        </w:rPr>
        <w:t xml:space="preserve"> </w:t>
      </w:r>
      <w:r w:rsidR="00F726F5" w:rsidRPr="00455EA0">
        <w:rPr>
          <w:b/>
          <w:lang w:val="pt-BR"/>
        </w:rPr>
        <w:t>+</w:t>
      </w:r>
      <w:r w:rsidR="00692339" w:rsidRPr="00455EA0">
        <w:rPr>
          <w:b/>
          <w:lang w:val="pt-BR"/>
        </w:rPr>
        <w:t xml:space="preserve"> </w:t>
      </w:r>
      <w:r w:rsidR="007C1BA6" w:rsidRPr="00455EA0">
        <w:rPr>
          <w:b/>
          <w:lang w:val="pt-BR"/>
        </w:rPr>
        <w:t>(</w:t>
      </w:r>
      <w:r w:rsidR="00DD1D44" w:rsidRPr="00455EA0">
        <w:rPr>
          <w:b/>
          <w:lang w:val="pt-BR"/>
        </w:rPr>
        <w:t>CH</w:t>
      </w:r>
      <w:r w:rsidR="003A1252">
        <w:rPr>
          <w:b/>
          <w:vertAlign w:val="subscript"/>
          <w:lang w:val="pt-BR"/>
        </w:rPr>
        <w:t>3</w:t>
      </w:r>
      <w:r w:rsidR="00DD1D44" w:rsidRPr="00455EA0">
        <w:rPr>
          <w:b/>
          <w:lang w:val="pt-BR"/>
        </w:rPr>
        <w:t>)</w:t>
      </w:r>
      <w:r w:rsidR="00AD4544">
        <w:rPr>
          <w:b/>
          <w:vertAlign w:val="subscript"/>
          <w:lang w:val="pt-BR"/>
        </w:rPr>
        <w:t>2</w:t>
      </w:r>
      <w:r w:rsidR="003A1252">
        <w:rPr>
          <w:b/>
          <w:lang w:val="pt-BR"/>
        </w:rPr>
        <w:t>CHCHO</w:t>
      </w:r>
      <w:r w:rsidR="00024B80">
        <w:rPr>
          <w:b/>
          <w:lang w:val="pt-BR"/>
        </w:rPr>
        <w:t xml:space="preserve"> </w:t>
      </w:r>
      <w:r w:rsidR="006A2320" w:rsidRPr="00455EA0">
        <w:rPr>
          <w:b/>
          <w:lang w:val="pt-BR"/>
        </w:rPr>
        <w:t>(</w:t>
      </w:r>
      <w:r w:rsidR="00F726F5" w:rsidRPr="00455EA0">
        <w:rPr>
          <w:b/>
          <w:lang w:val="pt-BR"/>
        </w:rPr>
        <w:t xml:space="preserve">aq) </w:t>
      </w:r>
      <w:r w:rsidR="00024B80">
        <w:rPr>
          <w:b/>
          <w:lang w:val="pt-BR"/>
        </w:rPr>
        <w:tab/>
      </w:r>
      <w:r w:rsidR="00F726F5" w:rsidRPr="00455EA0">
        <w:rPr>
          <w:b/>
        </w:rPr>
        <w:sym w:font="Symbol" w:char="F0AE"/>
      </w:r>
      <w:r w:rsidR="00DD1D44" w:rsidRPr="00455EA0">
        <w:rPr>
          <w:b/>
          <w:lang w:val="pt-BR"/>
        </w:rPr>
        <w:t xml:space="preserve"> </w:t>
      </w:r>
      <w:r w:rsidR="00024B80">
        <w:rPr>
          <w:b/>
          <w:lang w:val="pt-BR"/>
        </w:rPr>
        <w:t>products</w:t>
      </w:r>
      <w:r w:rsidR="00024B80">
        <w:rPr>
          <w:b/>
          <w:lang w:val="pt-BR"/>
        </w:rPr>
        <w:tab/>
      </w:r>
      <w:r w:rsidR="00024B80">
        <w:rPr>
          <w:b/>
          <w:lang w:val="pt-BR"/>
        </w:rPr>
        <w:tab/>
      </w:r>
      <w:r w:rsidR="00552206">
        <w:rPr>
          <w:b/>
          <w:lang w:val="pt-BR"/>
        </w:rPr>
        <w:tab/>
      </w:r>
      <w:r w:rsidR="00634AE3">
        <w:rPr>
          <w:b/>
          <w:lang w:val="pt-BR"/>
        </w:rPr>
        <w:tab/>
      </w:r>
      <w:r w:rsidR="00552206">
        <w:rPr>
          <w:b/>
          <w:lang w:val="pt-BR"/>
        </w:rPr>
        <w:t>(2)</w:t>
      </w:r>
    </w:p>
    <w:p w:rsidR="00552206" w:rsidRPr="00455EA0" w:rsidRDefault="00044AE1" w:rsidP="00932654">
      <w:pPr>
        <w:ind w:left="1440" w:hanging="22"/>
        <w:rPr>
          <w:b/>
          <w:lang w:val="pt-BR"/>
        </w:rPr>
      </w:pPr>
      <w:r>
        <w:rPr>
          <w:b/>
          <w:lang w:val="pt-BR"/>
        </w:rPr>
        <w:t>HO</w:t>
      </w:r>
      <w:r w:rsidR="00024B80">
        <w:rPr>
          <w:b/>
          <w:lang w:val="pt-BR"/>
        </w:rPr>
        <w:t xml:space="preserve"> </w:t>
      </w:r>
      <w:r w:rsidR="00552206" w:rsidRPr="00455EA0">
        <w:rPr>
          <w:b/>
          <w:lang w:val="pt-BR"/>
        </w:rPr>
        <w:t>(aq) + (CH</w:t>
      </w:r>
      <w:r w:rsidR="00552206">
        <w:rPr>
          <w:b/>
          <w:vertAlign w:val="subscript"/>
          <w:lang w:val="pt-BR"/>
        </w:rPr>
        <w:t>3</w:t>
      </w:r>
      <w:r w:rsidR="00552206" w:rsidRPr="00455EA0">
        <w:rPr>
          <w:b/>
          <w:lang w:val="pt-BR"/>
        </w:rPr>
        <w:t>)</w:t>
      </w:r>
      <w:r w:rsidR="00552206">
        <w:rPr>
          <w:b/>
          <w:vertAlign w:val="subscript"/>
          <w:lang w:val="pt-BR"/>
        </w:rPr>
        <w:t>2</w:t>
      </w:r>
      <w:r w:rsidR="00552206">
        <w:rPr>
          <w:b/>
          <w:lang w:val="pt-BR"/>
        </w:rPr>
        <w:t>CHCH(OH)</w:t>
      </w:r>
      <w:r w:rsidR="00552206" w:rsidRPr="00552206">
        <w:rPr>
          <w:b/>
          <w:vertAlign w:val="subscript"/>
          <w:lang w:val="pt-BR"/>
        </w:rPr>
        <w:t>2</w:t>
      </w:r>
      <w:r w:rsidR="00552206">
        <w:rPr>
          <w:b/>
          <w:lang w:val="pt-BR"/>
        </w:rPr>
        <w:t xml:space="preserve"> (aq)</w:t>
      </w:r>
      <w:r w:rsidR="00024B80">
        <w:rPr>
          <w:b/>
          <w:lang w:val="pt-BR"/>
        </w:rPr>
        <w:tab/>
      </w:r>
      <w:r w:rsidR="00552206" w:rsidRPr="00455EA0">
        <w:rPr>
          <w:b/>
        </w:rPr>
        <w:sym w:font="Symbol" w:char="F0AE"/>
      </w:r>
      <w:r w:rsidR="00552206" w:rsidRPr="00455EA0">
        <w:rPr>
          <w:b/>
          <w:lang w:val="pt-BR"/>
        </w:rPr>
        <w:t xml:space="preserve"> </w:t>
      </w:r>
      <w:r w:rsidR="00552206" w:rsidRPr="00A969C4">
        <w:rPr>
          <w:b/>
          <w:lang w:val="pt-BR"/>
        </w:rPr>
        <w:t>products</w:t>
      </w:r>
      <w:r w:rsidR="00552206">
        <w:rPr>
          <w:b/>
          <w:lang w:val="pt-BR"/>
        </w:rPr>
        <w:tab/>
      </w:r>
      <w:r w:rsidR="00552206">
        <w:rPr>
          <w:b/>
          <w:lang w:val="pt-BR"/>
        </w:rPr>
        <w:tab/>
      </w:r>
      <w:r w:rsidR="009B4D4E">
        <w:rPr>
          <w:b/>
          <w:lang w:val="pt-BR"/>
        </w:rPr>
        <w:tab/>
      </w:r>
      <w:r w:rsidR="00634AE3">
        <w:rPr>
          <w:b/>
          <w:lang w:val="pt-BR"/>
        </w:rPr>
        <w:tab/>
      </w:r>
      <w:r w:rsidR="00552206">
        <w:rPr>
          <w:b/>
          <w:lang w:val="pt-BR"/>
        </w:rPr>
        <w:t>(3)</w:t>
      </w:r>
    </w:p>
    <w:p w:rsidR="00842FAF" w:rsidRDefault="00842FAF" w:rsidP="00842FAF">
      <w:pPr>
        <w:tabs>
          <w:tab w:val="left" w:pos="0"/>
          <w:tab w:val="left" w:pos="288"/>
          <w:tab w:val="left" w:pos="720"/>
        </w:tabs>
        <w:suppressAutoHyphens/>
        <w:spacing w:line="240" w:lineRule="atLeast"/>
        <w:jc w:val="both"/>
      </w:pPr>
    </w:p>
    <w:p w:rsidR="00F726F5" w:rsidRPr="00F726F5" w:rsidRDefault="00F726F5" w:rsidP="00F726F5">
      <w:pPr>
        <w:tabs>
          <w:tab w:val="center" w:pos="4680"/>
        </w:tabs>
        <w:suppressAutoHyphens/>
        <w:spacing w:line="240" w:lineRule="atLeast"/>
        <w:jc w:val="center"/>
        <w:rPr>
          <w:spacing w:val="-3"/>
          <w:lang w:val="en-US"/>
        </w:rPr>
      </w:pPr>
      <w:r>
        <w:rPr>
          <w:b/>
          <w:spacing w:val="-3"/>
          <w:lang w:val="en-US"/>
        </w:rPr>
        <w:t>Rate coefficient data</w:t>
      </w:r>
    </w:p>
    <w:p w:rsidR="00C648E1" w:rsidRDefault="00C648E1" w:rsidP="00C648E1">
      <w:pPr>
        <w:tabs>
          <w:tab w:val="left" w:pos="0"/>
          <w:tab w:val="left" w:pos="288"/>
          <w:tab w:val="left" w:pos="720"/>
        </w:tabs>
        <w:suppressAutoHyphens/>
        <w:spacing w:line="240" w:lineRule="atLeast"/>
        <w:jc w:val="both"/>
        <w:rPr>
          <w:spacing w:val="-3"/>
          <w:lang w:val="en-US"/>
        </w:rPr>
      </w:pPr>
    </w:p>
    <w:tbl>
      <w:tblPr>
        <w:tblW w:w="9303" w:type="dxa"/>
        <w:tblBorders>
          <w:top w:val="double" w:sz="4" w:space="0" w:color="auto"/>
          <w:bottom w:val="single" w:sz="4" w:space="0" w:color="auto"/>
          <w:insideH w:val="single" w:sz="4" w:space="0" w:color="auto"/>
        </w:tblBorders>
        <w:tblLayout w:type="fixed"/>
        <w:tblLook w:val="0000" w:firstRow="0" w:lastRow="0" w:firstColumn="0" w:lastColumn="0" w:noHBand="0" w:noVBand="0"/>
      </w:tblPr>
      <w:tblGrid>
        <w:gridCol w:w="2518"/>
        <w:gridCol w:w="992"/>
        <w:gridCol w:w="1134"/>
        <w:gridCol w:w="1276"/>
        <w:gridCol w:w="1701"/>
        <w:gridCol w:w="1667"/>
        <w:gridCol w:w="15"/>
      </w:tblGrid>
      <w:tr w:rsidR="00C648E1" w:rsidRPr="00CD2FA0" w:rsidTr="00CD2FA0">
        <w:tblPrEx>
          <w:tblCellMar>
            <w:top w:w="0" w:type="dxa"/>
            <w:bottom w:w="0" w:type="dxa"/>
          </w:tblCellMar>
        </w:tblPrEx>
        <w:tc>
          <w:tcPr>
            <w:tcW w:w="2518" w:type="dxa"/>
            <w:tcBorders>
              <w:top w:val="double" w:sz="4" w:space="0" w:color="auto"/>
              <w:right w:val="nil"/>
            </w:tcBorders>
            <w:vAlign w:val="center"/>
          </w:tcPr>
          <w:p w:rsidR="00C648E1" w:rsidRPr="00CD2FA0" w:rsidRDefault="00C648E1" w:rsidP="00D12D39">
            <w:pPr>
              <w:suppressAutoHyphens/>
              <w:spacing w:before="120" w:after="120" w:line="264" w:lineRule="auto"/>
              <w:jc w:val="center"/>
              <w:rPr>
                <w:rFonts w:ascii="Times New Roman" w:hAnsi="Times New Roman" w:cs="Times New Roman"/>
                <w:spacing w:val="-2"/>
                <w:lang w:val="en-US"/>
              </w:rPr>
            </w:pPr>
            <w:r w:rsidRPr="00CD2FA0">
              <w:rPr>
                <w:rFonts w:ascii="Times New Roman" w:hAnsi="Times New Roman" w:cs="Times New Roman"/>
                <w:spacing w:val="-2"/>
                <w:lang w:val="en-US"/>
              </w:rPr>
              <w:t xml:space="preserve">k/ </w:t>
            </w:r>
            <w:r w:rsidR="00D12D39" w:rsidRPr="00CD2FA0">
              <w:rPr>
                <w:rFonts w:ascii="Times New Roman" w:hAnsi="Times New Roman" w:cs="Times New Roman"/>
                <w:spacing w:val="-2"/>
                <w:lang w:val="en-US"/>
              </w:rPr>
              <w:t>L</w:t>
            </w:r>
            <w:r w:rsidRPr="00CD2FA0">
              <w:rPr>
                <w:rFonts w:ascii="Times New Roman" w:hAnsi="Times New Roman" w:cs="Times New Roman"/>
                <w:spacing w:val="-2"/>
                <w:lang w:val="en-US"/>
              </w:rPr>
              <w:t xml:space="preserve"> mol</w:t>
            </w:r>
            <w:r w:rsidRPr="00CD2FA0">
              <w:rPr>
                <w:rFonts w:ascii="Times New Roman" w:hAnsi="Times New Roman" w:cs="Times New Roman"/>
                <w:spacing w:val="-2"/>
                <w:vertAlign w:val="superscript"/>
                <w:lang w:val="en-US"/>
              </w:rPr>
              <w:t>-1</w:t>
            </w:r>
            <w:r w:rsidRPr="00CD2FA0">
              <w:rPr>
                <w:rFonts w:ascii="Times New Roman" w:hAnsi="Times New Roman" w:cs="Times New Roman"/>
                <w:spacing w:val="-2"/>
                <w:lang w:val="en-US"/>
              </w:rPr>
              <w:t xml:space="preserve"> s</w:t>
            </w:r>
            <w:r w:rsidRPr="00CD2FA0">
              <w:rPr>
                <w:rFonts w:ascii="Times New Roman" w:hAnsi="Times New Roman" w:cs="Times New Roman"/>
                <w:spacing w:val="-2"/>
                <w:vertAlign w:val="superscript"/>
                <w:lang w:val="en-US"/>
              </w:rPr>
              <w:t>-1</w:t>
            </w:r>
          </w:p>
        </w:tc>
        <w:tc>
          <w:tcPr>
            <w:tcW w:w="992" w:type="dxa"/>
            <w:tcBorders>
              <w:top w:val="double" w:sz="4" w:space="0" w:color="auto"/>
              <w:left w:val="nil"/>
              <w:right w:val="nil"/>
            </w:tcBorders>
            <w:vAlign w:val="center"/>
          </w:tcPr>
          <w:p w:rsidR="00C648E1" w:rsidRPr="00CD2FA0" w:rsidRDefault="00C648E1" w:rsidP="004E7108">
            <w:pPr>
              <w:suppressAutoHyphens/>
              <w:spacing w:before="120" w:after="120" w:line="264" w:lineRule="auto"/>
              <w:jc w:val="center"/>
              <w:rPr>
                <w:rFonts w:ascii="Times New Roman" w:hAnsi="Times New Roman" w:cs="Times New Roman"/>
                <w:spacing w:val="-2"/>
                <w:lang w:val="en-US"/>
              </w:rPr>
            </w:pPr>
            <w:r w:rsidRPr="00CD2FA0">
              <w:rPr>
                <w:rFonts w:ascii="Times New Roman" w:hAnsi="Times New Roman" w:cs="Times New Roman"/>
                <w:iCs/>
                <w:spacing w:val="-2"/>
                <w:lang w:val="en-US"/>
              </w:rPr>
              <w:t>T</w:t>
            </w:r>
            <w:r w:rsidRPr="00CD2FA0">
              <w:rPr>
                <w:rFonts w:ascii="Times New Roman" w:hAnsi="Times New Roman" w:cs="Times New Roman"/>
                <w:spacing w:val="-2"/>
                <w:lang w:val="en-US"/>
              </w:rPr>
              <w:t>/K</w:t>
            </w:r>
          </w:p>
        </w:tc>
        <w:tc>
          <w:tcPr>
            <w:tcW w:w="1134" w:type="dxa"/>
            <w:tcBorders>
              <w:top w:val="double" w:sz="4" w:space="0" w:color="auto"/>
              <w:left w:val="nil"/>
              <w:right w:val="nil"/>
            </w:tcBorders>
            <w:vAlign w:val="center"/>
          </w:tcPr>
          <w:p w:rsidR="00C648E1" w:rsidRPr="00CD2FA0" w:rsidRDefault="00C648E1" w:rsidP="004E7108">
            <w:pPr>
              <w:tabs>
                <w:tab w:val="left" w:pos="0"/>
                <w:tab w:val="left" w:pos="288"/>
                <w:tab w:val="left" w:pos="720"/>
              </w:tabs>
              <w:suppressAutoHyphens/>
              <w:spacing w:line="240" w:lineRule="atLeast"/>
              <w:jc w:val="center"/>
              <w:rPr>
                <w:spacing w:val="-3"/>
                <w:lang w:val="en-US"/>
              </w:rPr>
            </w:pPr>
            <w:r w:rsidRPr="00CD2FA0">
              <w:rPr>
                <w:spacing w:val="-3"/>
                <w:lang w:val="en-US"/>
              </w:rPr>
              <w:t>pH</w:t>
            </w:r>
          </w:p>
        </w:tc>
        <w:tc>
          <w:tcPr>
            <w:tcW w:w="1276" w:type="dxa"/>
            <w:tcBorders>
              <w:top w:val="double" w:sz="4" w:space="0" w:color="auto"/>
              <w:left w:val="nil"/>
              <w:right w:val="nil"/>
            </w:tcBorders>
            <w:vAlign w:val="center"/>
          </w:tcPr>
          <w:p w:rsidR="00C648E1" w:rsidRPr="00CD2FA0" w:rsidRDefault="00C648E1" w:rsidP="004E7108">
            <w:pPr>
              <w:tabs>
                <w:tab w:val="left" w:pos="0"/>
                <w:tab w:val="left" w:pos="288"/>
                <w:tab w:val="left" w:pos="720"/>
              </w:tabs>
              <w:suppressAutoHyphens/>
              <w:spacing w:line="240" w:lineRule="atLeast"/>
              <w:jc w:val="center"/>
              <w:rPr>
                <w:spacing w:val="-3"/>
                <w:lang w:val="en-US"/>
              </w:rPr>
            </w:pPr>
            <w:r w:rsidRPr="00CD2FA0">
              <w:rPr>
                <w:spacing w:val="-3"/>
                <w:lang w:val="en-US"/>
              </w:rPr>
              <w:t>I</w:t>
            </w:r>
            <w:r w:rsidRPr="00CD2FA0">
              <w:rPr>
                <w:rFonts w:ascii="Times New Roman" w:hAnsi="Times New Roman" w:cs="Times New Roman"/>
                <w:spacing w:val="-2"/>
                <w:lang w:val="en-US"/>
              </w:rPr>
              <w:t>/</w:t>
            </w:r>
            <w:r w:rsidR="00F64725" w:rsidRPr="00CD2FA0">
              <w:rPr>
                <w:rFonts w:ascii="Times New Roman" w:hAnsi="Times New Roman" w:cs="Times New Roman"/>
                <w:spacing w:val="-2"/>
                <w:lang w:val="en-US"/>
              </w:rPr>
              <w:t xml:space="preserve"> mol L</w:t>
            </w:r>
            <w:r w:rsidR="00F64725" w:rsidRPr="00CD2FA0">
              <w:rPr>
                <w:rFonts w:ascii="Times New Roman" w:hAnsi="Times New Roman" w:cs="Times New Roman"/>
                <w:spacing w:val="-2"/>
                <w:vertAlign w:val="superscript"/>
                <w:lang w:val="en-US"/>
              </w:rPr>
              <w:t>-1</w:t>
            </w:r>
          </w:p>
        </w:tc>
        <w:tc>
          <w:tcPr>
            <w:tcW w:w="1701" w:type="dxa"/>
            <w:tcBorders>
              <w:top w:val="double" w:sz="4" w:space="0" w:color="auto"/>
              <w:left w:val="nil"/>
              <w:right w:val="nil"/>
            </w:tcBorders>
            <w:vAlign w:val="center"/>
          </w:tcPr>
          <w:p w:rsidR="00C648E1" w:rsidRPr="00CD2FA0" w:rsidRDefault="00C648E1" w:rsidP="004E7108">
            <w:pPr>
              <w:pStyle w:val="berschrift2"/>
              <w:spacing w:before="120" w:after="120" w:line="240" w:lineRule="auto"/>
              <w:jc w:val="center"/>
              <w:rPr>
                <w:b w:val="0"/>
                <w:i w:val="0"/>
                <w:szCs w:val="24"/>
              </w:rPr>
            </w:pPr>
            <w:r w:rsidRPr="00CD2FA0">
              <w:rPr>
                <w:b w:val="0"/>
                <w:i w:val="0"/>
                <w:szCs w:val="24"/>
              </w:rPr>
              <w:t>Reference</w:t>
            </w:r>
          </w:p>
        </w:tc>
        <w:tc>
          <w:tcPr>
            <w:tcW w:w="1682" w:type="dxa"/>
            <w:gridSpan w:val="2"/>
            <w:tcBorders>
              <w:top w:val="double" w:sz="4" w:space="0" w:color="auto"/>
              <w:left w:val="nil"/>
            </w:tcBorders>
            <w:vAlign w:val="center"/>
          </w:tcPr>
          <w:p w:rsidR="00C648E1" w:rsidRPr="00CD2FA0" w:rsidRDefault="00C648E1" w:rsidP="004E7108">
            <w:pPr>
              <w:suppressAutoHyphens/>
              <w:spacing w:before="120" w:after="120" w:line="264" w:lineRule="auto"/>
              <w:jc w:val="center"/>
              <w:rPr>
                <w:rFonts w:ascii="Times New Roman" w:hAnsi="Times New Roman" w:cs="Times New Roman"/>
                <w:spacing w:val="-2"/>
                <w:lang w:val="en-US"/>
              </w:rPr>
            </w:pPr>
            <w:r w:rsidRPr="00CD2FA0">
              <w:rPr>
                <w:rFonts w:ascii="Times New Roman" w:hAnsi="Times New Roman" w:cs="Times New Roman"/>
                <w:spacing w:val="-2"/>
                <w:lang w:val="en-US"/>
              </w:rPr>
              <w:t>Technique/ Comments</w:t>
            </w:r>
          </w:p>
        </w:tc>
      </w:tr>
      <w:tr w:rsidR="00C648E1" w:rsidTr="00F55117">
        <w:tblPrEx>
          <w:tblCellMar>
            <w:top w:w="0" w:type="dxa"/>
            <w:bottom w:w="0" w:type="dxa"/>
          </w:tblCellMar>
        </w:tblPrEx>
        <w:tc>
          <w:tcPr>
            <w:tcW w:w="9303" w:type="dxa"/>
            <w:gridSpan w:val="7"/>
            <w:vAlign w:val="center"/>
          </w:tcPr>
          <w:p w:rsidR="00C648E1" w:rsidRDefault="00DE09D1" w:rsidP="004E7108">
            <w:pPr>
              <w:suppressAutoHyphens/>
              <w:spacing w:before="120" w:line="264" w:lineRule="auto"/>
              <w:jc w:val="center"/>
              <w:rPr>
                <w:spacing w:val="-2"/>
                <w:lang w:val="en-US"/>
              </w:rPr>
            </w:pPr>
            <w:r>
              <w:rPr>
                <w:i/>
                <w:spacing w:val="-2"/>
                <w:lang w:val="en-US"/>
              </w:rPr>
              <w:t>Relative</w:t>
            </w:r>
            <w:r w:rsidR="00C648E1">
              <w:rPr>
                <w:i/>
                <w:spacing w:val="-2"/>
                <w:lang w:val="en-US"/>
              </w:rPr>
              <w:t xml:space="preserve"> Rate Coefficients</w:t>
            </w:r>
          </w:p>
        </w:tc>
      </w:tr>
      <w:tr w:rsidR="00DB53BB" w:rsidTr="00CD2FA0">
        <w:tblPrEx>
          <w:tblCellMar>
            <w:top w:w="0" w:type="dxa"/>
            <w:bottom w:w="0" w:type="dxa"/>
          </w:tblCellMar>
          <w:tblLook w:val="01E0" w:firstRow="1" w:lastRow="1" w:firstColumn="1" w:lastColumn="1" w:noHBand="0" w:noVBand="0"/>
        </w:tblPrEx>
        <w:trPr>
          <w:gridAfter w:val="1"/>
          <w:wAfter w:w="15" w:type="dxa"/>
        </w:trPr>
        <w:tc>
          <w:tcPr>
            <w:tcW w:w="2518" w:type="dxa"/>
            <w:tcBorders>
              <w:top w:val="single" w:sz="4" w:space="0" w:color="auto"/>
              <w:left w:val="nil"/>
              <w:bottom w:val="nil"/>
              <w:right w:val="nil"/>
            </w:tcBorders>
            <w:vAlign w:val="center"/>
          </w:tcPr>
          <w:p w:rsidR="00DB53BB" w:rsidRDefault="00821E31" w:rsidP="00E54FE8">
            <w:pPr>
              <w:suppressAutoHyphens/>
              <w:spacing w:after="120" w:line="263" w:lineRule="atLeast"/>
              <w:jc w:val="center"/>
              <w:rPr>
                <w:spacing w:val="-2"/>
                <w:lang w:val="en-US"/>
              </w:rPr>
            </w:pPr>
            <w:r>
              <w:rPr>
                <w:spacing w:val="-2"/>
                <w:lang w:val="en-US"/>
              </w:rPr>
              <w:t>2.</w:t>
            </w:r>
            <w:r w:rsidR="00044AE1">
              <w:rPr>
                <w:spacing w:val="-2"/>
                <w:lang w:val="en-US"/>
              </w:rPr>
              <w:t>6</w:t>
            </w:r>
            <w:r w:rsidR="00044AE1" w:rsidRPr="00AB48BD">
              <w:rPr>
                <w:rFonts w:eastAsia="Symbol" w:cs="Symbol"/>
                <w:lang w:val="en-GB"/>
              </w:rPr>
              <w:t> </w:t>
            </w:r>
            <w:r w:rsidR="00912975" w:rsidRPr="00AB48BD">
              <w:rPr>
                <w:rFonts w:ascii="Symbol" w:eastAsia="Symbol" w:hAnsi="Symbol" w:cs="Symbol"/>
                <w:spacing w:val="-3"/>
                <w:lang w:val="en-GB"/>
              </w:rPr>
              <w:t></w:t>
            </w:r>
            <w:r w:rsidR="00912975">
              <w:rPr>
                <w:rFonts w:eastAsia="Symbol" w:cs="Symbol"/>
                <w:spacing w:val="-2"/>
                <w:lang w:val="en-GB"/>
              </w:rPr>
              <w:t> </w:t>
            </w:r>
            <w:r w:rsidR="00DB53BB">
              <w:rPr>
                <w:spacing w:val="-2"/>
                <w:lang w:val="en-US"/>
              </w:rPr>
              <w:t>10</w:t>
            </w:r>
            <w:r w:rsidR="00DB53BB" w:rsidRPr="002C5E16">
              <w:rPr>
                <w:spacing w:val="-2"/>
                <w:vertAlign w:val="superscript"/>
                <w:lang w:val="en-US"/>
              </w:rPr>
              <w:t>9</w:t>
            </w:r>
          </w:p>
        </w:tc>
        <w:tc>
          <w:tcPr>
            <w:tcW w:w="992" w:type="dxa"/>
            <w:tcBorders>
              <w:top w:val="single" w:sz="4" w:space="0" w:color="auto"/>
              <w:left w:val="nil"/>
              <w:bottom w:val="nil"/>
              <w:right w:val="nil"/>
            </w:tcBorders>
            <w:vAlign w:val="center"/>
          </w:tcPr>
          <w:p w:rsidR="00DB53BB" w:rsidRDefault="00044AE1" w:rsidP="00FC186E">
            <w:pPr>
              <w:suppressAutoHyphens/>
              <w:spacing w:after="120" w:line="263" w:lineRule="atLeast"/>
              <w:jc w:val="center"/>
              <w:rPr>
                <w:spacing w:val="-2"/>
                <w:lang w:val="en-US"/>
              </w:rPr>
            </w:pPr>
            <w:r>
              <w:rPr>
                <w:spacing w:val="-2"/>
                <w:lang w:val="en-US"/>
              </w:rPr>
              <w:t>294</w:t>
            </w:r>
          </w:p>
        </w:tc>
        <w:tc>
          <w:tcPr>
            <w:tcW w:w="1134" w:type="dxa"/>
            <w:tcBorders>
              <w:top w:val="single" w:sz="4" w:space="0" w:color="auto"/>
              <w:left w:val="nil"/>
              <w:bottom w:val="nil"/>
              <w:right w:val="nil"/>
            </w:tcBorders>
            <w:vAlign w:val="center"/>
          </w:tcPr>
          <w:p w:rsidR="00DB53BB" w:rsidRDefault="00987FA9" w:rsidP="00FC186E">
            <w:pPr>
              <w:suppressAutoHyphens/>
              <w:spacing w:after="120" w:line="263" w:lineRule="atLeast"/>
              <w:jc w:val="center"/>
              <w:rPr>
                <w:spacing w:val="-2"/>
                <w:lang w:val="en-US"/>
              </w:rPr>
            </w:pPr>
            <w:r>
              <w:rPr>
                <w:spacing w:val="-2"/>
                <w:lang w:val="en-US"/>
              </w:rPr>
              <w:t>7</w:t>
            </w:r>
          </w:p>
        </w:tc>
        <w:tc>
          <w:tcPr>
            <w:tcW w:w="1276" w:type="dxa"/>
            <w:tcBorders>
              <w:top w:val="single" w:sz="4" w:space="0" w:color="auto"/>
              <w:left w:val="nil"/>
              <w:bottom w:val="nil"/>
              <w:right w:val="nil"/>
            </w:tcBorders>
            <w:vAlign w:val="center"/>
          </w:tcPr>
          <w:p w:rsidR="00DB53BB" w:rsidRDefault="00044AE1" w:rsidP="00FC186E">
            <w:pPr>
              <w:suppressAutoHyphens/>
              <w:spacing w:after="120" w:line="263" w:lineRule="atLeast"/>
              <w:jc w:val="center"/>
              <w:rPr>
                <w:spacing w:val="-2"/>
                <w:lang w:val="en-US"/>
              </w:rPr>
            </w:pPr>
            <w:r>
              <w:rPr>
                <w:spacing w:val="-2"/>
                <w:lang w:val="en-US"/>
              </w:rPr>
              <w:t>-</w:t>
            </w:r>
          </w:p>
        </w:tc>
        <w:tc>
          <w:tcPr>
            <w:tcW w:w="1701" w:type="dxa"/>
            <w:tcBorders>
              <w:top w:val="single" w:sz="4" w:space="0" w:color="auto"/>
              <w:left w:val="nil"/>
              <w:bottom w:val="nil"/>
              <w:right w:val="nil"/>
            </w:tcBorders>
            <w:vAlign w:val="center"/>
          </w:tcPr>
          <w:p w:rsidR="00DB53BB" w:rsidRDefault="006E564F" w:rsidP="00932654">
            <w:pPr>
              <w:suppressAutoHyphens/>
              <w:spacing w:line="263" w:lineRule="atLeast"/>
              <w:jc w:val="center"/>
              <w:rPr>
                <w:spacing w:val="-2"/>
                <w:lang w:val="en-CA"/>
              </w:rPr>
            </w:pPr>
            <w:r>
              <w:rPr>
                <w:spacing w:val="-2"/>
                <w:lang w:val="en-CA"/>
              </w:rPr>
              <w:t>Acero et al., 2001</w:t>
            </w:r>
          </w:p>
        </w:tc>
        <w:tc>
          <w:tcPr>
            <w:tcW w:w="1667" w:type="dxa"/>
            <w:tcBorders>
              <w:top w:val="single" w:sz="4" w:space="0" w:color="auto"/>
              <w:left w:val="nil"/>
              <w:bottom w:val="nil"/>
              <w:right w:val="nil"/>
            </w:tcBorders>
            <w:vAlign w:val="center"/>
          </w:tcPr>
          <w:p w:rsidR="00DB53BB" w:rsidRPr="00197003" w:rsidRDefault="007C2FF4" w:rsidP="00B307C0">
            <w:pPr>
              <w:suppressAutoHyphens/>
              <w:spacing w:after="120" w:line="263" w:lineRule="atLeast"/>
              <w:jc w:val="center"/>
              <w:rPr>
                <w:spacing w:val="-2"/>
                <w:lang w:val="en-US"/>
              </w:rPr>
            </w:pPr>
            <w:r>
              <w:rPr>
                <w:spacing w:val="-2"/>
                <w:lang w:val="en-US"/>
              </w:rPr>
              <w:t xml:space="preserve">Competition </w:t>
            </w:r>
            <w:r w:rsidR="00DA2E76">
              <w:rPr>
                <w:spacing w:val="-2"/>
                <w:lang w:val="en-US"/>
              </w:rPr>
              <w:t>kinetics</w:t>
            </w:r>
            <w:r>
              <w:rPr>
                <w:spacing w:val="-2"/>
                <w:lang w:val="en-US"/>
              </w:rPr>
              <w:t xml:space="preserve"> </w:t>
            </w:r>
            <w:r w:rsidR="0035529F" w:rsidRPr="00170263">
              <w:t>/</w:t>
            </w:r>
            <w:r w:rsidR="0035529F">
              <w:t xml:space="preserve"> </w:t>
            </w:r>
            <w:r w:rsidR="00B307C0">
              <w:t>HPLC</w:t>
            </w:r>
            <w:r w:rsidR="0035529F">
              <w:rPr>
                <w:spacing w:val="-2"/>
                <w:lang w:val="en-US"/>
              </w:rPr>
              <w:t xml:space="preserve"> </w:t>
            </w:r>
            <w:r w:rsidR="00DB53BB">
              <w:rPr>
                <w:spacing w:val="-2"/>
                <w:lang w:val="en-US"/>
              </w:rPr>
              <w:t>(a)</w:t>
            </w:r>
          </w:p>
        </w:tc>
      </w:tr>
      <w:tr w:rsidR="00044AE1" w:rsidTr="00CD2FA0">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vAlign w:val="center"/>
          </w:tcPr>
          <w:p w:rsidR="00044AE1" w:rsidRDefault="00044AE1" w:rsidP="006D6759">
            <w:pPr>
              <w:suppressAutoHyphens/>
              <w:spacing w:after="120" w:line="263" w:lineRule="atLeast"/>
              <w:jc w:val="center"/>
              <w:rPr>
                <w:spacing w:val="-2"/>
                <w:lang w:val="en-US"/>
              </w:rPr>
            </w:pPr>
            <w:r>
              <w:rPr>
                <w:spacing w:val="-2"/>
                <w:lang w:val="en-US"/>
              </w:rPr>
              <w:t>(2.8 ±1.0)</w:t>
            </w:r>
            <w:r w:rsidRPr="00AB48BD">
              <w:rPr>
                <w:rFonts w:eastAsia="Symbol" w:cs="Symbol"/>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sidRPr="002C5E16">
              <w:rPr>
                <w:spacing w:val="-2"/>
                <w:vertAlign w:val="superscript"/>
                <w:lang w:val="en-US"/>
              </w:rPr>
              <w:t>9</w:t>
            </w:r>
          </w:p>
        </w:tc>
        <w:tc>
          <w:tcPr>
            <w:tcW w:w="992" w:type="dxa"/>
            <w:tcBorders>
              <w:top w:val="nil"/>
              <w:left w:val="nil"/>
              <w:bottom w:val="nil"/>
              <w:right w:val="nil"/>
            </w:tcBorders>
            <w:vAlign w:val="center"/>
          </w:tcPr>
          <w:p w:rsidR="00044AE1" w:rsidRDefault="00044AE1" w:rsidP="00FC186E">
            <w:pPr>
              <w:suppressAutoHyphens/>
              <w:spacing w:after="120" w:line="263" w:lineRule="atLeast"/>
              <w:jc w:val="center"/>
              <w:rPr>
                <w:spacing w:val="-2"/>
                <w:lang w:val="en-US"/>
              </w:rPr>
            </w:pPr>
            <w:r>
              <w:rPr>
                <w:spacing w:val="-2"/>
                <w:lang w:val="en-US"/>
              </w:rPr>
              <w:t>298</w:t>
            </w:r>
          </w:p>
        </w:tc>
        <w:tc>
          <w:tcPr>
            <w:tcW w:w="1134" w:type="dxa"/>
            <w:tcBorders>
              <w:top w:val="nil"/>
              <w:left w:val="nil"/>
              <w:bottom w:val="nil"/>
              <w:right w:val="nil"/>
            </w:tcBorders>
            <w:vAlign w:val="center"/>
          </w:tcPr>
          <w:p w:rsidR="00044AE1" w:rsidRDefault="00D20B56" w:rsidP="00FC186E">
            <w:pPr>
              <w:suppressAutoHyphens/>
              <w:spacing w:after="120" w:line="263" w:lineRule="atLeast"/>
              <w:jc w:val="center"/>
              <w:rPr>
                <w:spacing w:val="-2"/>
                <w:lang w:val="en-US"/>
              </w:rPr>
            </w:pPr>
            <w:r>
              <w:rPr>
                <w:spacing w:val="-2"/>
                <w:lang w:val="en-US"/>
              </w:rPr>
              <w:t>-</w:t>
            </w:r>
          </w:p>
        </w:tc>
        <w:tc>
          <w:tcPr>
            <w:tcW w:w="1276" w:type="dxa"/>
            <w:tcBorders>
              <w:top w:val="nil"/>
              <w:left w:val="nil"/>
              <w:bottom w:val="nil"/>
              <w:right w:val="nil"/>
            </w:tcBorders>
            <w:vAlign w:val="center"/>
          </w:tcPr>
          <w:p w:rsidR="00044AE1" w:rsidRDefault="00D20B56" w:rsidP="00FC186E">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vAlign w:val="center"/>
          </w:tcPr>
          <w:p w:rsidR="00044AE1" w:rsidRDefault="00044AE1" w:rsidP="00932654">
            <w:pPr>
              <w:suppressAutoHyphens/>
              <w:spacing w:line="263" w:lineRule="atLeast"/>
              <w:jc w:val="center"/>
              <w:rPr>
                <w:spacing w:val="-2"/>
                <w:lang w:val="en-CA"/>
              </w:rPr>
            </w:pPr>
            <w:r>
              <w:rPr>
                <w:spacing w:val="-2"/>
                <w:lang w:val="en-CA"/>
              </w:rPr>
              <w:t>Gligorovski and Herrmann, 2004</w:t>
            </w:r>
          </w:p>
        </w:tc>
        <w:tc>
          <w:tcPr>
            <w:tcW w:w="1667" w:type="dxa"/>
            <w:tcBorders>
              <w:top w:val="nil"/>
              <w:left w:val="nil"/>
              <w:bottom w:val="nil"/>
              <w:right w:val="nil"/>
            </w:tcBorders>
            <w:vAlign w:val="center"/>
          </w:tcPr>
          <w:p w:rsidR="00044AE1" w:rsidRPr="00197003" w:rsidRDefault="00044AE1" w:rsidP="00825044">
            <w:pPr>
              <w:suppressAutoHyphens/>
              <w:spacing w:after="120" w:line="263" w:lineRule="atLeast"/>
              <w:jc w:val="center"/>
              <w:rPr>
                <w:spacing w:val="-2"/>
                <w:lang w:val="en-US"/>
              </w:rPr>
            </w:pPr>
            <w:r>
              <w:rPr>
                <w:rFonts w:cs="Times New Roman"/>
                <w:lang w:val="pt-BR"/>
              </w:rPr>
              <w:t>LP-LPA</w:t>
            </w:r>
            <w:r>
              <w:t xml:space="preserve"> </w:t>
            </w:r>
            <w:r>
              <w:rPr>
                <w:spacing w:val="-2"/>
                <w:lang w:val="en-US"/>
              </w:rPr>
              <w:t>(b)</w:t>
            </w:r>
          </w:p>
        </w:tc>
      </w:tr>
      <w:tr w:rsidR="00CD2FA0" w:rsidTr="00CD2FA0">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vAlign w:val="center"/>
          </w:tcPr>
          <w:p w:rsidR="00CD2FA0" w:rsidRPr="0035529F" w:rsidRDefault="00CD2FA0" w:rsidP="00CD2FA0">
            <w:pPr>
              <w:suppressAutoHyphens/>
              <w:spacing w:after="120" w:line="263" w:lineRule="atLeast"/>
              <w:jc w:val="center"/>
              <w:rPr>
                <w:spacing w:val="-2"/>
                <w:vertAlign w:val="superscript"/>
                <w:lang w:val="en-US"/>
              </w:rPr>
            </w:pPr>
            <w:r>
              <w:rPr>
                <w:spacing w:val="-2"/>
                <w:lang w:val="en-US"/>
              </w:rPr>
              <w:t>1.4</w:t>
            </w:r>
            <w:r w:rsidRPr="00AB48BD">
              <w:rPr>
                <w:rFonts w:eastAsia="Symbol" w:cs="Symbol"/>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10</w:t>
            </w:r>
            <w:r>
              <w:rPr>
                <w:spacing w:val="-2"/>
                <w:lang w:val="en-US"/>
              </w:rPr>
              <w:t xml:space="preserve"> exp[</w:t>
            </w:r>
            <w:r w:rsidRPr="0035529F">
              <w:rPr>
                <w:spacing w:val="-2"/>
                <w:lang w:val="en-US"/>
              </w:rPr>
              <w:t>(-</w:t>
            </w:r>
            <w:r>
              <w:rPr>
                <w:spacing w:val="-2"/>
                <w:lang w:val="en-US"/>
              </w:rPr>
              <w:t>500±100)/T]</w:t>
            </w:r>
          </w:p>
        </w:tc>
        <w:tc>
          <w:tcPr>
            <w:tcW w:w="992" w:type="dxa"/>
            <w:tcBorders>
              <w:top w:val="nil"/>
              <w:left w:val="nil"/>
              <w:bottom w:val="nil"/>
              <w:right w:val="nil"/>
            </w:tcBorders>
            <w:vAlign w:val="center"/>
          </w:tcPr>
          <w:p w:rsidR="00CD2FA0" w:rsidRPr="00912975" w:rsidRDefault="00CD2FA0" w:rsidP="00CD2FA0">
            <w:pPr>
              <w:suppressAutoHyphens/>
              <w:spacing w:after="120" w:line="263" w:lineRule="atLeast"/>
              <w:jc w:val="center"/>
              <w:rPr>
                <w:spacing w:val="-2"/>
                <w:lang w:val="en-US"/>
              </w:rPr>
            </w:pPr>
            <w:r w:rsidRPr="00912975">
              <w:rPr>
                <w:spacing w:val="-2"/>
                <w:lang w:val="en-US"/>
              </w:rPr>
              <w:t>288 - 328</w:t>
            </w:r>
          </w:p>
        </w:tc>
        <w:tc>
          <w:tcPr>
            <w:tcW w:w="1134" w:type="dxa"/>
            <w:tcBorders>
              <w:top w:val="nil"/>
              <w:left w:val="nil"/>
              <w:bottom w:val="nil"/>
              <w:right w:val="nil"/>
            </w:tcBorders>
            <w:vAlign w:val="center"/>
          </w:tcPr>
          <w:p w:rsidR="00CD2FA0" w:rsidRPr="00CD2FA0" w:rsidRDefault="00CD2FA0" w:rsidP="00CD2FA0">
            <w:pPr>
              <w:suppressAutoHyphens/>
              <w:spacing w:after="120" w:line="263" w:lineRule="atLeast"/>
              <w:jc w:val="center"/>
              <w:rPr>
                <w:spacing w:val="-2"/>
                <w:lang w:val="en-US"/>
              </w:rPr>
            </w:pPr>
            <w:r w:rsidRPr="00CD2FA0">
              <w:rPr>
                <w:spacing w:val="-2"/>
                <w:lang w:val="en-US"/>
              </w:rPr>
              <w:t>-</w:t>
            </w:r>
          </w:p>
        </w:tc>
        <w:tc>
          <w:tcPr>
            <w:tcW w:w="1276" w:type="dxa"/>
            <w:tcBorders>
              <w:top w:val="nil"/>
              <w:left w:val="nil"/>
              <w:bottom w:val="nil"/>
              <w:right w:val="nil"/>
            </w:tcBorders>
            <w:vAlign w:val="center"/>
          </w:tcPr>
          <w:p w:rsidR="00CD2FA0" w:rsidRPr="00CD2FA0" w:rsidRDefault="00CD2FA0" w:rsidP="00CD2FA0">
            <w:pPr>
              <w:suppressAutoHyphens/>
              <w:spacing w:after="120" w:line="263" w:lineRule="atLeast"/>
              <w:jc w:val="center"/>
              <w:rPr>
                <w:spacing w:val="-2"/>
                <w:lang w:val="en-US"/>
              </w:rPr>
            </w:pPr>
            <w:r w:rsidRPr="00CD2FA0">
              <w:rPr>
                <w:spacing w:val="-2"/>
                <w:lang w:val="en-US"/>
              </w:rPr>
              <w:t>-</w:t>
            </w:r>
          </w:p>
        </w:tc>
        <w:tc>
          <w:tcPr>
            <w:tcW w:w="1701" w:type="dxa"/>
            <w:tcBorders>
              <w:top w:val="nil"/>
              <w:left w:val="nil"/>
              <w:bottom w:val="nil"/>
              <w:right w:val="nil"/>
            </w:tcBorders>
            <w:vAlign w:val="center"/>
          </w:tcPr>
          <w:p w:rsidR="00CD2FA0" w:rsidRDefault="00CD2FA0" w:rsidP="00CD2FA0">
            <w:pPr>
              <w:suppressAutoHyphens/>
              <w:spacing w:line="263" w:lineRule="atLeast"/>
              <w:jc w:val="center"/>
              <w:rPr>
                <w:spacing w:val="-2"/>
                <w:lang w:val="en-CA"/>
              </w:rPr>
            </w:pPr>
          </w:p>
        </w:tc>
        <w:tc>
          <w:tcPr>
            <w:tcW w:w="1667" w:type="dxa"/>
            <w:tcBorders>
              <w:top w:val="nil"/>
              <w:left w:val="nil"/>
              <w:bottom w:val="nil"/>
              <w:right w:val="nil"/>
            </w:tcBorders>
            <w:vAlign w:val="center"/>
          </w:tcPr>
          <w:p w:rsidR="00CD2FA0" w:rsidRPr="00197003" w:rsidRDefault="00CD2FA0" w:rsidP="00CD2FA0">
            <w:pPr>
              <w:suppressAutoHyphens/>
              <w:spacing w:after="120" w:line="263" w:lineRule="atLeast"/>
              <w:jc w:val="center"/>
              <w:rPr>
                <w:spacing w:val="-2"/>
                <w:lang w:val="en-US"/>
              </w:rPr>
            </w:pPr>
            <w:r>
              <w:rPr>
                <w:rFonts w:cs="Times New Roman"/>
                <w:lang w:val="pt-BR"/>
              </w:rPr>
              <w:t>LP-LPA</w:t>
            </w:r>
            <w:r>
              <w:t xml:space="preserve"> </w:t>
            </w:r>
            <w:r>
              <w:rPr>
                <w:spacing w:val="-2"/>
                <w:lang w:val="en-US"/>
              </w:rPr>
              <w:t>(b)</w:t>
            </w:r>
          </w:p>
        </w:tc>
      </w:tr>
      <w:tr w:rsidR="00CD2FA0" w:rsidTr="00CD2FA0">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nil"/>
              <w:right w:val="nil"/>
            </w:tcBorders>
            <w:vAlign w:val="center"/>
          </w:tcPr>
          <w:p w:rsidR="00CD2FA0" w:rsidRDefault="00CD2FA0" w:rsidP="00CD2FA0">
            <w:pPr>
              <w:suppressAutoHyphens/>
              <w:spacing w:after="120" w:line="263" w:lineRule="atLeast"/>
              <w:jc w:val="center"/>
              <w:rPr>
                <w:spacing w:val="-2"/>
                <w:lang w:val="en-US"/>
              </w:rPr>
            </w:pPr>
            <w:r>
              <w:rPr>
                <w:spacing w:val="-2"/>
                <w:lang w:val="en-US"/>
              </w:rPr>
              <w:t>(2.8 ±1.5)</w:t>
            </w:r>
            <w:r w:rsidRPr="00AB48BD">
              <w:rPr>
                <w:rFonts w:eastAsia="Symbol" w:cs="Symbol"/>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sidRPr="002C5E16">
              <w:rPr>
                <w:spacing w:val="-2"/>
                <w:vertAlign w:val="superscript"/>
                <w:lang w:val="en-US"/>
              </w:rPr>
              <w:t>9</w:t>
            </w:r>
          </w:p>
        </w:tc>
        <w:tc>
          <w:tcPr>
            <w:tcW w:w="992" w:type="dxa"/>
            <w:tcBorders>
              <w:top w:val="nil"/>
              <w:left w:val="nil"/>
              <w:bottom w:val="nil"/>
              <w:right w:val="nil"/>
            </w:tcBorders>
            <w:vAlign w:val="center"/>
          </w:tcPr>
          <w:p w:rsidR="00CD2FA0" w:rsidRDefault="00CD2FA0" w:rsidP="00CD2FA0">
            <w:pPr>
              <w:suppressAutoHyphens/>
              <w:spacing w:after="120" w:line="263" w:lineRule="atLeast"/>
              <w:jc w:val="center"/>
              <w:rPr>
                <w:spacing w:val="-2"/>
                <w:lang w:val="en-US"/>
              </w:rPr>
            </w:pPr>
            <w:r>
              <w:rPr>
                <w:spacing w:val="-2"/>
                <w:lang w:val="en-US"/>
              </w:rPr>
              <w:t>298</w:t>
            </w:r>
          </w:p>
        </w:tc>
        <w:tc>
          <w:tcPr>
            <w:tcW w:w="1134" w:type="dxa"/>
            <w:tcBorders>
              <w:top w:val="nil"/>
              <w:left w:val="nil"/>
              <w:bottom w:val="nil"/>
              <w:right w:val="nil"/>
            </w:tcBorders>
            <w:vAlign w:val="center"/>
          </w:tcPr>
          <w:p w:rsidR="00CD2FA0" w:rsidRDefault="00CD2FA0" w:rsidP="00CD2FA0">
            <w:pPr>
              <w:suppressAutoHyphens/>
              <w:spacing w:after="120" w:line="263" w:lineRule="atLeast"/>
              <w:jc w:val="center"/>
              <w:rPr>
                <w:spacing w:val="-2"/>
                <w:lang w:val="en-US"/>
              </w:rPr>
            </w:pPr>
            <w:r>
              <w:rPr>
                <w:spacing w:val="-2"/>
                <w:lang w:val="en-US"/>
              </w:rPr>
              <w:t>-</w:t>
            </w:r>
          </w:p>
        </w:tc>
        <w:tc>
          <w:tcPr>
            <w:tcW w:w="1276" w:type="dxa"/>
            <w:tcBorders>
              <w:top w:val="nil"/>
              <w:left w:val="nil"/>
              <w:bottom w:val="nil"/>
              <w:right w:val="nil"/>
            </w:tcBorders>
            <w:vAlign w:val="center"/>
          </w:tcPr>
          <w:p w:rsidR="00CD2FA0" w:rsidRDefault="00CD2FA0" w:rsidP="00CD2FA0">
            <w:pPr>
              <w:suppressAutoHyphens/>
              <w:spacing w:after="120" w:line="263" w:lineRule="atLeast"/>
              <w:jc w:val="center"/>
              <w:rPr>
                <w:spacing w:val="-2"/>
                <w:lang w:val="en-US"/>
              </w:rPr>
            </w:pPr>
            <w:r>
              <w:rPr>
                <w:spacing w:val="-2"/>
                <w:lang w:val="en-US"/>
              </w:rPr>
              <w:t>-</w:t>
            </w:r>
          </w:p>
        </w:tc>
        <w:tc>
          <w:tcPr>
            <w:tcW w:w="1701" w:type="dxa"/>
            <w:tcBorders>
              <w:top w:val="nil"/>
              <w:left w:val="nil"/>
              <w:bottom w:val="nil"/>
              <w:right w:val="nil"/>
            </w:tcBorders>
            <w:vAlign w:val="center"/>
          </w:tcPr>
          <w:p w:rsidR="00CD2FA0" w:rsidRDefault="00CD2FA0" w:rsidP="00CD2FA0">
            <w:pPr>
              <w:suppressAutoHyphens/>
              <w:spacing w:line="263" w:lineRule="atLeast"/>
              <w:jc w:val="center"/>
              <w:rPr>
                <w:spacing w:val="-2"/>
                <w:lang w:val="en-CA"/>
              </w:rPr>
            </w:pPr>
            <w:r>
              <w:rPr>
                <w:spacing w:val="-2"/>
                <w:lang w:val="en-CA"/>
              </w:rPr>
              <w:t>Moise et al., 2005</w:t>
            </w:r>
          </w:p>
        </w:tc>
        <w:tc>
          <w:tcPr>
            <w:tcW w:w="1667" w:type="dxa"/>
            <w:tcBorders>
              <w:top w:val="nil"/>
              <w:left w:val="nil"/>
              <w:bottom w:val="nil"/>
              <w:right w:val="nil"/>
            </w:tcBorders>
            <w:vAlign w:val="center"/>
          </w:tcPr>
          <w:p w:rsidR="00CD2FA0" w:rsidRPr="00197003" w:rsidRDefault="00CD2FA0" w:rsidP="00CD2FA0">
            <w:pPr>
              <w:suppressAutoHyphens/>
              <w:spacing w:after="120" w:line="263" w:lineRule="atLeast"/>
              <w:jc w:val="center"/>
              <w:rPr>
                <w:spacing w:val="-2"/>
                <w:lang w:val="en-US"/>
              </w:rPr>
            </w:pPr>
            <w:r>
              <w:rPr>
                <w:spacing w:val="-2"/>
                <w:lang w:val="en-US"/>
              </w:rPr>
              <w:t>LCW / photolysis (c)</w:t>
            </w:r>
          </w:p>
        </w:tc>
      </w:tr>
      <w:tr w:rsidR="00CD2FA0" w:rsidTr="00CD2FA0">
        <w:tblPrEx>
          <w:tblCellMar>
            <w:top w:w="0" w:type="dxa"/>
            <w:bottom w:w="0" w:type="dxa"/>
          </w:tblCellMar>
          <w:tblLook w:val="01E0" w:firstRow="1" w:lastRow="1" w:firstColumn="1" w:lastColumn="1" w:noHBand="0" w:noVBand="0"/>
        </w:tblPrEx>
        <w:trPr>
          <w:gridAfter w:val="1"/>
          <w:wAfter w:w="15" w:type="dxa"/>
        </w:trPr>
        <w:tc>
          <w:tcPr>
            <w:tcW w:w="2518" w:type="dxa"/>
            <w:tcBorders>
              <w:top w:val="nil"/>
              <w:left w:val="nil"/>
              <w:bottom w:val="single" w:sz="4" w:space="0" w:color="auto"/>
              <w:right w:val="nil"/>
            </w:tcBorders>
            <w:vAlign w:val="center"/>
          </w:tcPr>
          <w:p w:rsidR="00CD2FA0" w:rsidRPr="00452A31" w:rsidRDefault="00CD2FA0" w:rsidP="00CD2FA0">
            <w:pPr>
              <w:suppressAutoHyphens/>
              <w:spacing w:after="120" w:line="263" w:lineRule="atLeast"/>
              <w:jc w:val="center"/>
              <w:rPr>
                <w:spacing w:val="-2"/>
                <w:vertAlign w:val="superscript"/>
                <w:lang w:val="en-US"/>
              </w:rPr>
            </w:pPr>
            <w:r>
              <w:rPr>
                <w:spacing w:val="-2"/>
                <w:lang w:val="en-US"/>
              </w:rPr>
              <w:t>2.3</w:t>
            </w:r>
            <w:r w:rsidRPr="00AB48BD">
              <w:rPr>
                <w:rFonts w:eastAsia="Symbol" w:cs="Symbol"/>
                <w:lang w:val="en-GB"/>
              </w:rPr>
              <w:t> </w:t>
            </w:r>
            <w:r w:rsidRPr="00AB48BD">
              <w:rPr>
                <w:rFonts w:ascii="Symbol" w:eastAsia="Symbol" w:hAnsi="Symbol" w:cs="Symbol"/>
                <w:spacing w:val="-3"/>
                <w:lang w:val="en-GB"/>
              </w:rPr>
              <w:t></w:t>
            </w:r>
            <w:r>
              <w:rPr>
                <w:rFonts w:eastAsia="Symbol" w:cs="Symbol"/>
                <w:spacing w:val="-2"/>
                <w:lang w:val="en-GB"/>
              </w:rPr>
              <w:t> </w:t>
            </w:r>
            <w:r>
              <w:rPr>
                <w:spacing w:val="-2"/>
                <w:lang w:val="en-US"/>
              </w:rPr>
              <w:t>10</w:t>
            </w:r>
            <w:r>
              <w:rPr>
                <w:spacing w:val="-2"/>
                <w:vertAlign w:val="superscript"/>
                <w:lang w:val="en-US"/>
              </w:rPr>
              <w:t>9</w:t>
            </w:r>
          </w:p>
        </w:tc>
        <w:tc>
          <w:tcPr>
            <w:tcW w:w="992" w:type="dxa"/>
            <w:tcBorders>
              <w:top w:val="nil"/>
              <w:left w:val="nil"/>
              <w:bottom w:val="single" w:sz="4" w:space="0" w:color="auto"/>
              <w:right w:val="nil"/>
            </w:tcBorders>
            <w:vAlign w:val="center"/>
          </w:tcPr>
          <w:p w:rsidR="00CD2FA0" w:rsidRDefault="00CD2FA0" w:rsidP="00CD2FA0">
            <w:pPr>
              <w:suppressAutoHyphens/>
              <w:spacing w:after="120" w:line="263" w:lineRule="atLeast"/>
              <w:jc w:val="center"/>
              <w:rPr>
                <w:spacing w:val="-2"/>
                <w:lang w:val="en-US"/>
              </w:rPr>
            </w:pPr>
            <w:r>
              <w:rPr>
                <w:spacing w:val="-2"/>
                <w:lang w:val="en-US"/>
              </w:rPr>
              <w:t>298</w:t>
            </w:r>
          </w:p>
        </w:tc>
        <w:tc>
          <w:tcPr>
            <w:tcW w:w="1134" w:type="dxa"/>
            <w:tcBorders>
              <w:top w:val="nil"/>
              <w:left w:val="nil"/>
              <w:bottom w:val="single" w:sz="4" w:space="0" w:color="auto"/>
              <w:right w:val="nil"/>
            </w:tcBorders>
            <w:vAlign w:val="center"/>
          </w:tcPr>
          <w:p w:rsidR="00CD2FA0" w:rsidRDefault="00CD2FA0" w:rsidP="00CD2FA0">
            <w:pPr>
              <w:suppressAutoHyphens/>
              <w:spacing w:after="120" w:line="263" w:lineRule="atLeast"/>
              <w:jc w:val="center"/>
              <w:rPr>
                <w:spacing w:val="-2"/>
                <w:lang w:val="en-US"/>
              </w:rPr>
            </w:pPr>
            <w:r>
              <w:rPr>
                <w:spacing w:val="-2"/>
                <w:lang w:val="en-US"/>
              </w:rPr>
              <w:t>-</w:t>
            </w:r>
          </w:p>
        </w:tc>
        <w:tc>
          <w:tcPr>
            <w:tcW w:w="1276" w:type="dxa"/>
            <w:tcBorders>
              <w:top w:val="nil"/>
              <w:left w:val="nil"/>
              <w:bottom w:val="single" w:sz="4" w:space="0" w:color="auto"/>
              <w:right w:val="nil"/>
            </w:tcBorders>
            <w:vAlign w:val="center"/>
          </w:tcPr>
          <w:p w:rsidR="00CD2FA0" w:rsidRDefault="00CD2FA0" w:rsidP="00CD2FA0">
            <w:pPr>
              <w:suppressAutoHyphens/>
              <w:spacing w:after="120" w:line="263" w:lineRule="atLeast"/>
              <w:jc w:val="center"/>
              <w:rPr>
                <w:spacing w:val="-2"/>
                <w:lang w:val="en-US"/>
              </w:rPr>
            </w:pPr>
            <w:r>
              <w:rPr>
                <w:spacing w:val="-2"/>
                <w:lang w:val="en-US"/>
              </w:rPr>
              <w:t>-</w:t>
            </w:r>
          </w:p>
        </w:tc>
        <w:tc>
          <w:tcPr>
            <w:tcW w:w="1701" w:type="dxa"/>
            <w:tcBorders>
              <w:top w:val="nil"/>
              <w:left w:val="nil"/>
              <w:right w:val="nil"/>
            </w:tcBorders>
            <w:vAlign w:val="center"/>
          </w:tcPr>
          <w:p w:rsidR="00CD2FA0" w:rsidRDefault="00CD2FA0" w:rsidP="00CD2FA0">
            <w:pPr>
              <w:suppressAutoHyphens/>
              <w:spacing w:line="263" w:lineRule="atLeast"/>
              <w:jc w:val="center"/>
              <w:rPr>
                <w:spacing w:val="-2"/>
                <w:lang w:val="en-CA"/>
              </w:rPr>
            </w:pPr>
            <w:r>
              <w:rPr>
                <w:spacing w:val="-2"/>
                <w:lang w:val="en-CA"/>
              </w:rPr>
              <w:t>Jürgens et al., 2007</w:t>
            </w:r>
          </w:p>
        </w:tc>
        <w:tc>
          <w:tcPr>
            <w:tcW w:w="1667" w:type="dxa"/>
            <w:tcBorders>
              <w:top w:val="nil"/>
              <w:left w:val="nil"/>
              <w:bottom w:val="single" w:sz="4" w:space="0" w:color="auto"/>
              <w:right w:val="nil"/>
            </w:tcBorders>
            <w:vAlign w:val="center"/>
          </w:tcPr>
          <w:p w:rsidR="00CD2FA0" w:rsidRDefault="00CD2FA0" w:rsidP="00CD2FA0">
            <w:pPr>
              <w:suppressAutoHyphens/>
              <w:spacing w:after="120" w:line="263" w:lineRule="atLeast"/>
              <w:jc w:val="center"/>
              <w:rPr>
                <w:spacing w:val="-2"/>
                <w:lang w:val="en-US"/>
              </w:rPr>
            </w:pPr>
            <w:r>
              <w:rPr>
                <w:spacing w:val="-2"/>
                <w:lang w:val="en-US"/>
              </w:rPr>
              <w:t>CFSR / HRGC (d)</w:t>
            </w:r>
          </w:p>
        </w:tc>
      </w:tr>
    </w:tbl>
    <w:p w:rsidR="00BA2CAF" w:rsidRDefault="00BA2CAF" w:rsidP="00BA2CAF">
      <w:pPr>
        <w:tabs>
          <w:tab w:val="left" w:pos="0"/>
          <w:tab w:val="left" w:pos="288"/>
          <w:tab w:val="left" w:pos="720"/>
        </w:tabs>
        <w:suppressAutoHyphens/>
        <w:spacing w:line="240" w:lineRule="atLeast"/>
        <w:jc w:val="both"/>
        <w:rPr>
          <w:rFonts w:ascii="Symbol" w:hAnsi="Symbol"/>
          <w:spacing w:val="-3"/>
          <w:lang w:val="en-US"/>
        </w:rPr>
      </w:pPr>
      <w:bookmarkStart w:id="0" w:name="_GoBack"/>
      <w:bookmarkEnd w:id="0"/>
    </w:p>
    <w:p w:rsidR="00BA2CAF" w:rsidRDefault="00BA2CAF" w:rsidP="00BA2CAF">
      <w:pPr>
        <w:tabs>
          <w:tab w:val="left" w:pos="0"/>
          <w:tab w:val="left" w:pos="288"/>
          <w:tab w:val="left" w:pos="720"/>
        </w:tabs>
        <w:suppressAutoHyphens/>
        <w:spacing w:line="240" w:lineRule="atLeast"/>
        <w:jc w:val="both"/>
        <w:rPr>
          <w:rFonts w:ascii="Times New Roman" w:hAnsi="Times New Roman" w:cs="Times New Roman"/>
          <w:spacing w:val="-3"/>
          <w:lang w:val="en-US"/>
        </w:rPr>
      </w:pPr>
      <w:r>
        <w:rPr>
          <w:rFonts w:ascii="Times New Roman" w:hAnsi="Times New Roman" w:cs="Times New Roman"/>
          <w:spacing w:val="-3"/>
          <w:lang w:val="en-US"/>
        </w:rPr>
        <w:t>The equilibrium constant for the hydration (1) is recommended as K</w:t>
      </w:r>
      <w:r>
        <w:rPr>
          <w:rFonts w:ascii="Times New Roman" w:hAnsi="Times New Roman" w:cs="Times New Roman"/>
          <w:spacing w:val="-3"/>
          <w:vertAlign w:val="subscript"/>
          <w:lang w:val="en-US"/>
        </w:rPr>
        <w:t>298 K</w:t>
      </w:r>
      <w:r>
        <w:rPr>
          <w:rFonts w:ascii="Times New Roman" w:hAnsi="Times New Roman" w:cs="Times New Roman"/>
          <w:spacing w:val="-3"/>
          <w:lang w:val="en-US"/>
        </w:rPr>
        <w:t> = 0.50 by Doussin and Monod (2013).</w:t>
      </w:r>
    </w:p>
    <w:p w:rsidR="00BA2CAF" w:rsidRDefault="00BA2CAF" w:rsidP="00BA2CAF">
      <w:pPr>
        <w:tabs>
          <w:tab w:val="left" w:pos="0"/>
          <w:tab w:val="left" w:pos="288"/>
          <w:tab w:val="left" w:pos="720"/>
        </w:tabs>
        <w:suppressAutoHyphens/>
        <w:spacing w:line="240" w:lineRule="atLeast"/>
        <w:jc w:val="both"/>
        <w:rPr>
          <w:rFonts w:ascii="Symbol" w:hAnsi="Symbol"/>
          <w:spacing w:val="-3"/>
          <w:lang w:val="en-US"/>
        </w:rPr>
      </w:pPr>
    </w:p>
    <w:p w:rsidR="00BA2CAF" w:rsidRDefault="00BA2CAF" w:rsidP="00BA2CAF">
      <w:pPr>
        <w:tabs>
          <w:tab w:val="left" w:pos="0"/>
          <w:tab w:val="left" w:pos="288"/>
          <w:tab w:val="left" w:pos="720"/>
        </w:tabs>
        <w:suppressAutoHyphens/>
        <w:spacing w:line="240" w:lineRule="atLeast"/>
        <w:jc w:val="both"/>
      </w:pPr>
      <w:r>
        <w:rPr>
          <w:rFonts w:ascii="Symbol" w:eastAsia="Symbol" w:hAnsi="Symbol" w:cs="Symbol"/>
          <w:spacing w:val="-3"/>
        </w:rPr>
        <w:t></w:t>
      </w:r>
      <w:r>
        <w:rPr>
          <w:rFonts w:eastAsia="Symbol"/>
          <w:i/>
          <w:spacing w:val="-3"/>
        </w:rPr>
        <w:t>G</w:t>
      </w:r>
      <w:r>
        <w:rPr>
          <w:rFonts w:eastAsia="Symbol"/>
          <w:i/>
          <w:spacing w:val="-3"/>
          <w:vertAlign w:val="subscript"/>
        </w:rPr>
        <w:t>R</w:t>
      </w:r>
      <w:r>
        <w:rPr>
          <w:rFonts w:ascii="Symbol" w:eastAsia="Symbol" w:hAnsi="Symbol" w:cs="Symbol"/>
          <w:iCs/>
          <w:spacing w:val="-3"/>
        </w:rPr>
        <w:t></w:t>
      </w:r>
      <w:r>
        <w:rPr>
          <w:rFonts w:eastAsia="Symbol" w:cs="Symbol"/>
          <w:iCs/>
          <w:spacing w:val="-3"/>
        </w:rPr>
        <w:t xml:space="preserve"> (aq)</w:t>
      </w:r>
      <w:r>
        <w:rPr>
          <w:rFonts w:eastAsia="Symbol" w:cs="Symbol"/>
        </w:rPr>
        <w:t xml:space="preserve">: Aqueous phase thermochemical data not available. As well, gas phase thermochemical data </w:t>
      </w:r>
      <w:r>
        <w:rPr>
          <w:rFonts w:ascii="Symbol" w:eastAsia="Symbol" w:hAnsi="Symbol" w:cs="Symbol"/>
          <w:i/>
          <w:spacing w:val="-3"/>
        </w:rPr>
        <w:t></w:t>
      </w:r>
      <w:r>
        <w:rPr>
          <w:rFonts w:eastAsia="Symbol"/>
          <w:i/>
          <w:spacing w:val="-3"/>
          <w:vertAlign w:val="subscript"/>
        </w:rPr>
        <w:t>R</w:t>
      </w:r>
      <w:r>
        <w:rPr>
          <w:rFonts w:ascii="Symbol" w:eastAsia="Symbol" w:hAnsi="Symbol" w:cs="Symbol"/>
          <w:iCs/>
          <w:spacing w:val="-3"/>
        </w:rPr>
        <w:t></w:t>
      </w:r>
      <w:r>
        <w:rPr>
          <w:rFonts w:eastAsia="Symbol" w:cs="Symbol"/>
          <w:spacing w:val="-3"/>
        </w:rPr>
        <w:t xml:space="preserve"> (g) are not available.</w:t>
      </w:r>
    </w:p>
    <w:p w:rsidR="00BA2CAF" w:rsidRDefault="00BA2CAF" w:rsidP="00821651">
      <w:pPr>
        <w:tabs>
          <w:tab w:val="center" w:pos="4680"/>
        </w:tabs>
        <w:suppressAutoHyphens/>
        <w:spacing w:line="240" w:lineRule="atLeast"/>
        <w:jc w:val="center"/>
        <w:rPr>
          <w:b/>
          <w:spacing w:val="-3"/>
          <w:lang w:val="en-CA"/>
        </w:rPr>
      </w:pPr>
    </w:p>
    <w:p w:rsidR="00821651" w:rsidRPr="00893259" w:rsidRDefault="00821651" w:rsidP="00821651">
      <w:pPr>
        <w:tabs>
          <w:tab w:val="center" w:pos="4680"/>
        </w:tabs>
        <w:suppressAutoHyphens/>
        <w:spacing w:line="240" w:lineRule="atLeast"/>
        <w:jc w:val="center"/>
        <w:rPr>
          <w:spacing w:val="-3"/>
          <w:lang w:val="en-CA"/>
        </w:rPr>
      </w:pPr>
      <w:r w:rsidRPr="00893259">
        <w:rPr>
          <w:b/>
          <w:spacing w:val="-3"/>
          <w:lang w:val="en-CA"/>
        </w:rPr>
        <w:t>Comments</w:t>
      </w:r>
    </w:p>
    <w:p w:rsidR="00FC186E" w:rsidRDefault="00FC186E" w:rsidP="00FC186E">
      <w:pPr>
        <w:tabs>
          <w:tab w:val="left" w:pos="426"/>
          <w:tab w:val="left" w:pos="720"/>
        </w:tabs>
        <w:suppressAutoHyphens/>
        <w:spacing w:line="240" w:lineRule="atLeast"/>
        <w:ind w:left="426" w:hanging="426"/>
        <w:jc w:val="both"/>
        <w:rPr>
          <w:lang w:val="en-CA"/>
        </w:rPr>
      </w:pPr>
    </w:p>
    <w:p w:rsidR="00FC186E" w:rsidRPr="002B2004" w:rsidRDefault="00FC186E" w:rsidP="00DD1D44">
      <w:pPr>
        <w:tabs>
          <w:tab w:val="left" w:pos="426"/>
          <w:tab w:val="left" w:pos="720"/>
        </w:tabs>
        <w:suppressAutoHyphens/>
        <w:spacing w:line="240" w:lineRule="atLeast"/>
        <w:ind w:left="426" w:hanging="426"/>
        <w:jc w:val="both"/>
        <w:rPr>
          <w:rFonts w:cs="Times New Roman"/>
          <w:lang w:val="pt-BR"/>
        </w:rPr>
      </w:pPr>
      <w:r>
        <w:rPr>
          <w:lang w:val="en-CA"/>
        </w:rPr>
        <w:t>(a)</w:t>
      </w:r>
      <w:r>
        <w:rPr>
          <w:lang w:val="en-CA"/>
        </w:rPr>
        <w:tab/>
      </w:r>
      <w:r w:rsidR="00044AE1">
        <w:rPr>
          <w:lang w:val="en-CA"/>
        </w:rPr>
        <w:t>HO</w:t>
      </w:r>
      <w:r w:rsidR="00F2353C">
        <w:rPr>
          <w:lang w:val="en-CA"/>
        </w:rPr>
        <w:t xml:space="preserve"> radicals were generated by addition of O</w:t>
      </w:r>
      <w:r w:rsidR="00F2353C">
        <w:rPr>
          <w:vertAlign w:val="subscript"/>
          <w:lang w:val="en-CA"/>
        </w:rPr>
        <w:t>3</w:t>
      </w:r>
      <w:r w:rsidR="00F2353C">
        <w:rPr>
          <w:lang w:val="en-CA"/>
        </w:rPr>
        <w:t xml:space="preserve"> (0.25 – 5 mg/L) to the aqueous solution; products analyzed by HPLC. Reference reaction: </w:t>
      </w:r>
      <w:r w:rsidR="00044AE1">
        <w:rPr>
          <w:lang w:val="pt-BR"/>
        </w:rPr>
        <w:t>HO</w:t>
      </w:r>
      <w:r w:rsidR="00F2353C">
        <w:rPr>
          <w:lang w:val="pt-BR"/>
        </w:rPr>
        <w:t xml:space="preserve"> + </w:t>
      </w:r>
      <w:r w:rsidR="00F2353C">
        <w:rPr>
          <w:lang w:val="en-CA"/>
        </w:rPr>
        <w:t xml:space="preserve">pCBA with </w:t>
      </w:r>
      <w:r w:rsidR="00F2353C" w:rsidRPr="00912975">
        <w:rPr>
          <w:i/>
          <w:lang w:val="en-CA"/>
        </w:rPr>
        <w:t>k</w:t>
      </w:r>
      <w:r w:rsidR="00F2353C">
        <w:rPr>
          <w:lang w:val="en-CA"/>
        </w:rPr>
        <w:t>(</w:t>
      </w:r>
      <w:r w:rsidR="00044AE1">
        <w:rPr>
          <w:lang w:val="en-CA"/>
        </w:rPr>
        <w:t>HO</w:t>
      </w:r>
      <w:r w:rsidR="00F2353C">
        <w:rPr>
          <w:lang w:val="en-CA"/>
        </w:rPr>
        <w:t xml:space="preserve"> + pCBA) = 5</w:t>
      </w:r>
      <w:r w:rsidR="00F2353C" w:rsidRPr="00AB48BD">
        <w:rPr>
          <w:rFonts w:eastAsia="Symbol" w:cs="Symbol"/>
          <w:lang w:val="en-GB"/>
        </w:rPr>
        <w:t> </w:t>
      </w:r>
      <w:r w:rsidR="00F2353C" w:rsidRPr="00AB48BD">
        <w:rPr>
          <w:rFonts w:ascii="Symbol" w:eastAsia="Symbol" w:hAnsi="Symbol" w:cs="Symbol"/>
          <w:spacing w:val="-3"/>
          <w:lang w:val="en-GB"/>
        </w:rPr>
        <w:t></w:t>
      </w:r>
      <w:r w:rsidR="00F2353C">
        <w:rPr>
          <w:rFonts w:eastAsia="Symbol" w:cs="Symbol"/>
          <w:spacing w:val="-2"/>
          <w:lang w:val="en-GB"/>
        </w:rPr>
        <w:t> </w:t>
      </w:r>
      <w:r w:rsidR="00F2353C">
        <w:rPr>
          <w:lang w:val="en-CA"/>
        </w:rPr>
        <w:t>10</w:t>
      </w:r>
      <w:r w:rsidR="00F2353C">
        <w:rPr>
          <w:vertAlign w:val="superscript"/>
          <w:lang w:val="en-CA"/>
        </w:rPr>
        <w:t>9</w:t>
      </w:r>
      <w:r w:rsidR="00F2353C">
        <w:rPr>
          <w:rFonts w:eastAsia="Symbol" w:cs="Symbol"/>
          <w:spacing w:val="-2"/>
          <w:vertAlign w:val="superscript"/>
          <w:lang w:val="en-GB"/>
        </w:rPr>
        <w:t> </w:t>
      </w:r>
      <w:r w:rsidR="00F2353C" w:rsidRPr="00AB48BD">
        <w:rPr>
          <w:rFonts w:eastAsia="Symbol" w:cs="Symbol"/>
          <w:spacing w:val="-2"/>
          <w:lang w:val="en-GB"/>
        </w:rPr>
        <w:t>M</w:t>
      </w:r>
      <w:r w:rsidR="00F2353C">
        <w:rPr>
          <w:rFonts w:eastAsia="Symbol" w:cs="Symbol"/>
          <w:spacing w:val="-2"/>
          <w:vertAlign w:val="superscript"/>
          <w:lang w:val="en-GB"/>
        </w:rPr>
        <w:noBreakHyphen/>
      </w:r>
      <w:r w:rsidR="00F2353C" w:rsidRPr="00AB48BD">
        <w:rPr>
          <w:rFonts w:eastAsia="Symbol" w:cs="Symbol"/>
          <w:spacing w:val="-2"/>
          <w:vertAlign w:val="superscript"/>
          <w:lang w:val="en-GB"/>
        </w:rPr>
        <w:t>1</w:t>
      </w:r>
      <w:r w:rsidR="00F2353C" w:rsidRPr="00AB48BD">
        <w:rPr>
          <w:rFonts w:eastAsia="Symbol" w:cs="Symbol"/>
          <w:spacing w:val="-2"/>
          <w:lang w:val="en-GB"/>
        </w:rPr>
        <w:t>s</w:t>
      </w:r>
      <w:r w:rsidR="00F2353C">
        <w:rPr>
          <w:rFonts w:eastAsia="Symbol" w:cs="Symbol"/>
          <w:spacing w:val="-2"/>
          <w:vertAlign w:val="superscript"/>
          <w:lang w:val="en-GB"/>
        </w:rPr>
        <w:noBreakHyphen/>
      </w:r>
      <w:r w:rsidR="00F2353C" w:rsidRPr="00AB48BD">
        <w:rPr>
          <w:rFonts w:eastAsia="Symbol" w:cs="Symbol"/>
          <w:spacing w:val="-2"/>
          <w:vertAlign w:val="superscript"/>
          <w:lang w:val="en-GB"/>
        </w:rPr>
        <w:t>1</w:t>
      </w:r>
      <w:r w:rsidR="00F2353C">
        <w:rPr>
          <w:rFonts w:eastAsia="Symbol" w:cs="Symbol"/>
          <w:spacing w:val="-2"/>
          <w:lang w:val="en-GB"/>
        </w:rPr>
        <w:t xml:space="preserve"> (</w:t>
      </w:r>
      <w:r w:rsidR="00D20B56">
        <w:rPr>
          <w:rFonts w:eastAsia="Symbol" w:cs="Symbol"/>
          <w:spacing w:val="-2"/>
          <w:lang w:val="en-GB"/>
        </w:rPr>
        <w:t xml:space="preserve">recommendation by </w:t>
      </w:r>
      <w:r w:rsidR="00F2353C">
        <w:rPr>
          <w:rFonts w:eastAsia="Symbol" w:cs="Symbol"/>
          <w:spacing w:val="-2"/>
          <w:lang w:val="en-GB"/>
        </w:rPr>
        <w:t>Buxton et al., 1988)</w:t>
      </w:r>
      <w:r w:rsidR="00F2353C">
        <w:rPr>
          <w:lang w:val="en-CA"/>
        </w:rPr>
        <w:t>;</w:t>
      </w:r>
      <w:r w:rsidR="00D20B56">
        <w:rPr>
          <w:lang w:val="en-CA"/>
        </w:rPr>
        <w:t xml:space="preserve"> the rate coefficient has been recalculated using the recommended value for the reference reaction </w:t>
      </w:r>
      <w:r w:rsidR="00D20B56">
        <w:rPr>
          <w:i/>
          <w:lang w:val="en-CA"/>
        </w:rPr>
        <w:t>k</w:t>
      </w:r>
      <w:r w:rsidR="00D20B56">
        <w:rPr>
          <w:lang w:val="en-CA"/>
        </w:rPr>
        <w:t> = 4.64</w:t>
      </w:r>
      <w:r w:rsidR="00D20B56" w:rsidRPr="00AB48BD">
        <w:rPr>
          <w:rFonts w:eastAsia="Symbol" w:cs="Symbol"/>
          <w:lang w:val="en-GB"/>
        </w:rPr>
        <w:t> </w:t>
      </w:r>
      <w:r w:rsidR="00D20B56" w:rsidRPr="00AB48BD">
        <w:rPr>
          <w:rFonts w:ascii="Symbol" w:eastAsia="Symbol" w:hAnsi="Symbol" w:cs="Symbol"/>
          <w:spacing w:val="-3"/>
          <w:lang w:val="en-GB"/>
        </w:rPr>
        <w:t></w:t>
      </w:r>
      <w:r w:rsidR="00D20B56">
        <w:rPr>
          <w:rFonts w:eastAsia="Symbol" w:cs="Symbol"/>
          <w:spacing w:val="-2"/>
          <w:lang w:val="en-GB"/>
        </w:rPr>
        <w:t> </w:t>
      </w:r>
      <w:r w:rsidR="00D20B56">
        <w:rPr>
          <w:lang w:val="en-CA"/>
        </w:rPr>
        <w:t>10</w:t>
      </w:r>
      <w:r w:rsidR="00D20B56">
        <w:rPr>
          <w:vertAlign w:val="superscript"/>
          <w:lang w:val="en-CA"/>
        </w:rPr>
        <w:t>9</w:t>
      </w:r>
      <w:r w:rsidR="00D20B56">
        <w:rPr>
          <w:rFonts w:eastAsia="Symbol" w:cs="Symbol"/>
          <w:spacing w:val="-2"/>
          <w:vertAlign w:val="superscript"/>
          <w:lang w:val="en-GB"/>
        </w:rPr>
        <w:t> </w:t>
      </w:r>
      <w:r w:rsidR="00D20B56" w:rsidRPr="00AB48BD">
        <w:rPr>
          <w:rFonts w:eastAsia="Symbol" w:cs="Symbol"/>
          <w:spacing w:val="-2"/>
          <w:lang w:val="en-GB"/>
        </w:rPr>
        <w:t>M</w:t>
      </w:r>
      <w:r w:rsidR="00D20B56">
        <w:rPr>
          <w:rFonts w:eastAsia="Symbol" w:cs="Symbol"/>
          <w:spacing w:val="-2"/>
          <w:vertAlign w:val="superscript"/>
          <w:lang w:val="en-GB"/>
        </w:rPr>
        <w:noBreakHyphen/>
      </w:r>
      <w:r w:rsidR="00D20B56" w:rsidRPr="00AB48BD">
        <w:rPr>
          <w:rFonts w:eastAsia="Symbol" w:cs="Symbol"/>
          <w:spacing w:val="-2"/>
          <w:vertAlign w:val="superscript"/>
          <w:lang w:val="en-GB"/>
        </w:rPr>
        <w:t>1</w:t>
      </w:r>
      <w:r w:rsidR="00D20B56" w:rsidRPr="00AB48BD">
        <w:rPr>
          <w:rFonts w:eastAsia="Symbol" w:cs="Symbol"/>
          <w:spacing w:val="-2"/>
          <w:lang w:val="en-GB"/>
        </w:rPr>
        <w:t>s</w:t>
      </w:r>
      <w:r w:rsidR="00D20B56">
        <w:rPr>
          <w:rFonts w:eastAsia="Symbol" w:cs="Symbol"/>
          <w:spacing w:val="-2"/>
          <w:vertAlign w:val="superscript"/>
          <w:lang w:val="en-GB"/>
        </w:rPr>
        <w:noBreakHyphen/>
      </w:r>
      <w:r w:rsidR="00D20B56" w:rsidRPr="00AB48BD">
        <w:rPr>
          <w:rFonts w:eastAsia="Symbol" w:cs="Symbol"/>
          <w:spacing w:val="-2"/>
          <w:vertAlign w:val="superscript"/>
          <w:lang w:val="en-GB"/>
        </w:rPr>
        <w:t>1</w:t>
      </w:r>
      <w:r w:rsidR="00D20B56">
        <w:rPr>
          <w:rFonts w:eastAsia="Symbol" w:cs="Symbol"/>
          <w:spacing w:val="-2"/>
          <w:lang w:val="en-GB"/>
        </w:rPr>
        <w:t>;</w:t>
      </w:r>
      <w:r w:rsidR="00F2353C">
        <w:rPr>
          <w:lang w:val="en-CA"/>
        </w:rPr>
        <w:t xml:space="preserve"> Indigo method, as described by Bader and Hoign</w:t>
      </w:r>
      <w:r w:rsidR="00F2353C" w:rsidRPr="00C25D81">
        <w:rPr>
          <w:spacing w:val="-3"/>
          <w:lang w:val="en-US"/>
        </w:rPr>
        <w:t>é</w:t>
      </w:r>
      <w:r w:rsidR="00F2353C">
        <w:rPr>
          <w:lang w:val="en-CA"/>
        </w:rPr>
        <w:t xml:space="preserve"> (1981) was used for analyzing dissolved ozone</w:t>
      </w:r>
      <w:r w:rsidR="00D20B56">
        <w:rPr>
          <w:lang w:val="en-CA"/>
        </w:rPr>
        <w:t>; as no exact temperature is given, T = 294 K is assumed for room temperature</w:t>
      </w:r>
      <w:r w:rsidR="00F2353C">
        <w:rPr>
          <w:lang w:val="en-CA"/>
        </w:rPr>
        <w:t>.</w:t>
      </w:r>
    </w:p>
    <w:p w:rsidR="00FC186E" w:rsidRPr="00893259" w:rsidRDefault="00FC186E" w:rsidP="00821651">
      <w:pPr>
        <w:tabs>
          <w:tab w:val="left" w:pos="0"/>
          <w:tab w:val="left" w:pos="444"/>
          <w:tab w:val="left" w:pos="720"/>
        </w:tabs>
        <w:suppressAutoHyphens/>
        <w:spacing w:line="240" w:lineRule="atLeast"/>
        <w:jc w:val="both"/>
        <w:rPr>
          <w:spacing w:val="-3"/>
          <w:lang w:val="en-CA"/>
        </w:rPr>
      </w:pPr>
    </w:p>
    <w:p w:rsidR="007F2089" w:rsidRPr="000039AC" w:rsidRDefault="00D12D39" w:rsidP="00217B9F">
      <w:pPr>
        <w:tabs>
          <w:tab w:val="left" w:pos="426"/>
          <w:tab w:val="left" w:pos="720"/>
        </w:tabs>
        <w:suppressAutoHyphens/>
        <w:spacing w:line="240" w:lineRule="atLeast"/>
        <w:ind w:left="426" w:hanging="426"/>
        <w:jc w:val="both"/>
        <w:rPr>
          <w:rFonts w:eastAsia="Symbol" w:cs="Symbol"/>
          <w:lang w:val="en-CA"/>
        </w:rPr>
      </w:pPr>
      <w:r w:rsidRPr="00875CB1">
        <w:rPr>
          <w:lang w:val="en-CA"/>
        </w:rPr>
        <w:t>(</w:t>
      </w:r>
      <w:r w:rsidR="00FC186E">
        <w:rPr>
          <w:lang w:val="en-CA"/>
        </w:rPr>
        <w:t>b</w:t>
      </w:r>
      <w:r w:rsidRPr="00875CB1">
        <w:rPr>
          <w:lang w:val="en-CA"/>
        </w:rPr>
        <w:t>)</w:t>
      </w:r>
      <w:r w:rsidRPr="00875CB1">
        <w:rPr>
          <w:lang w:val="en-CA"/>
        </w:rPr>
        <w:tab/>
      </w:r>
      <w:r w:rsidR="00D20B56">
        <w:rPr>
          <w:spacing w:val="-2"/>
          <w:lang w:val="en-US"/>
        </w:rPr>
        <w:t xml:space="preserve">The overall </w:t>
      </w:r>
      <w:r w:rsidR="000039AC">
        <w:rPr>
          <w:spacing w:val="-2"/>
          <w:lang w:val="en-US"/>
        </w:rPr>
        <w:t>r</w:t>
      </w:r>
      <w:r w:rsidR="00217B9F">
        <w:rPr>
          <w:spacing w:val="-2"/>
          <w:lang w:val="en-US"/>
        </w:rPr>
        <w:t>eactions</w:t>
      </w:r>
      <w:r w:rsidR="000039AC">
        <w:rPr>
          <w:spacing w:val="-2"/>
          <w:lang w:val="en-US"/>
        </w:rPr>
        <w:t xml:space="preserve"> of </w:t>
      </w:r>
      <w:r w:rsidR="00D20B56">
        <w:rPr>
          <w:spacing w:val="-2"/>
          <w:lang w:val="en-US"/>
        </w:rPr>
        <w:t xml:space="preserve">the </w:t>
      </w:r>
      <w:r w:rsidR="000039AC">
        <w:rPr>
          <w:spacing w:val="-2"/>
          <w:lang w:val="en-US"/>
        </w:rPr>
        <w:t>aldehyde and its hydrate</w:t>
      </w:r>
      <w:r w:rsidR="00217B9F">
        <w:rPr>
          <w:spacing w:val="-2"/>
          <w:lang w:val="en-US"/>
        </w:rPr>
        <w:t xml:space="preserve"> were investigated</w:t>
      </w:r>
      <w:r w:rsidR="000039AC">
        <w:rPr>
          <w:spacing w:val="-2"/>
          <w:lang w:val="en-US"/>
        </w:rPr>
        <w:t xml:space="preserve">; reference reaction: </w:t>
      </w:r>
      <w:r w:rsidR="00044AE1">
        <w:rPr>
          <w:spacing w:val="-2"/>
          <w:lang w:val="en-US"/>
        </w:rPr>
        <w:t>HO</w:t>
      </w:r>
      <w:r w:rsidR="000039AC">
        <w:rPr>
          <w:spacing w:val="-2"/>
          <w:lang w:val="en-US"/>
        </w:rPr>
        <w:t xml:space="preserve"> + SCN</w:t>
      </w:r>
      <w:r w:rsidR="000039AC">
        <w:rPr>
          <w:spacing w:val="-2"/>
          <w:vertAlign w:val="superscript"/>
          <w:lang w:val="en-US"/>
        </w:rPr>
        <w:t>-</w:t>
      </w:r>
      <w:r w:rsidR="000039AC">
        <w:rPr>
          <w:spacing w:val="-2"/>
          <w:lang w:val="en-US"/>
        </w:rPr>
        <w:t xml:space="preserve"> with </w:t>
      </w:r>
      <w:r w:rsidR="00217B9F" w:rsidRPr="00912975">
        <w:rPr>
          <w:i/>
          <w:spacing w:val="-2"/>
          <w:lang w:val="en-US"/>
        </w:rPr>
        <w:t>k</w:t>
      </w:r>
      <w:r w:rsidR="00217B9F">
        <w:rPr>
          <w:spacing w:val="-2"/>
          <w:lang w:val="en-US"/>
        </w:rPr>
        <w:t>(</w:t>
      </w:r>
      <w:r w:rsidR="00044AE1">
        <w:rPr>
          <w:spacing w:val="-2"/>
          <w:lang w:val="en-US"/>
        </w:rPr>
        <w:t>HO</w:t>
      </w:r>
      <w:r w:rsidR="00217B9F">
        <w:rPr>
          <w:spacing w:val="-2"/>
          <w:lang w:val="en-US"/>
        </w:rPr>
        <w:t xml:space="preserve"> + SCN</w:t>
      </w:r>
      <w:r w:rsidR="00217B9F">
        <w:rPr>
          <w:spacing w:val="-2"/>
          <w:vertAlign w:val="superscript"/>
          <w:lang w:val="en-US"/>
        </w:rPr>
        <w:t>-</w:t>
      </w:r>
      <w:r w:rsidR="00217B9F">
        <w:rPr>
          <w:spacing w:val="-2"/>
          <w:lang w:val="en-US"/>
        </w:rPr>
        <w:t>) = 1.24</w:t>
      </w:r>
      <w:r w:rsidR="00912975" w:rsidRPr="00AB48BD">
        <w:rPr>
          <w:rFonts w:eastAsia="Symbol" w:cs="Symbol"/>
          <w:lang w:val="en-GB"/>
        </w:rPr>
        <w:t> </w:t>
      </w:r>
      <w:r w:rsidR="00912975" w:rsidRPr="00AB48BD">
        <w:rPr>
          <w:rFonts w:ascii="Symbol" w:eastAsia="Symbol" w:hAnsi="Symbol" w:cs="Symbol"/>
          <w:spacing w:val="-3"/>
          <w:lang w:val="en-GB"/>
        </w:rPr>
        <w:t></w:t>
      </w:r>
      <w:r w:rsidR="00912975">
        <w:rPr>
          <w:rFonts w:eastAsia="Symbol" w:cs="Symbol"/>
          <w:spacing w:val="-2"/>
          <w:lang w:val="en-GB"/>
        </w:rPr>
        <w:t> </w:t>
      </w:r>
      <w:r w:rsidR="00217B9F">
        <w:rPr>
          <w:spacing w:val="-2"/>
          <w:lang w:val="en-US"/>
        </w:rPr>
        <w:t>10</w:t>
      </w:r>
      <w:r w:rsidR="00217B9F">
        <w:rPr>
          <w:spacing w:val="-2"/>
          <w:vertAlign w:val="superscript"/>
          <w:lang w:val="en-US"/>
        </w:rPr>
        <w:t>10</w:t>
      </w:r>
      <w:r w:rsidR="00217B9F">
        <w:rPr>
          <w:rFonts w:eastAsia="Symbol" w:cs="Symbol"/>
          <w:spacing w:val="-2"/>
          <w:vertAlign w:val="superscript"/>
          <w:lang w:val="en-GB"/>
        </w:rPr>
        <w:t> </w:t>
      </w:r>
      <w:r w:rsidR="00217B9F" w:rsidRPr="00AB48BD">
        <w:rPr>
          <w:rFonts w:eastAsia="Symbol" w:cs="Symbol"/>
          <w:spacing w:val="-2"/>
          <w:lang w:val="en-GB"/>
        </w:rPr>
        <w:t>M</w:t>
      </w:r>
      <w:r w:rsidR="00217B9F">
        <w:rPr>
          <w:rFonts w:eastAsia="Symbol" w:cs="Symbol"/>
          <w:spacing w:val="-2"/>
          <w:vertAlign w:val="superscript"/>
          <w:lang w:val="en-GB"/>
        </w:rPr>
        <w:noBreakHyphen/>
      </w:r>
      <w:r w:rsidR="00217B9F" w:rsidRPr="00AB48BD">
        <w:rPr>
          <w:rFonts w:eastAsia="Symbol" w:cs="Symbol"/>
          <w:spacing w:val="-2"/>
          <w:vertAlign w:val="superscript"/>
          <w:lang w:val="en-GB"/>
        </w:rPr>
        <w:t>1</w:t>
      </w:r>
      <w:r w:rsidR="00217B9F" w:rsidRPr="00AB48BD">
        <w:rPr>
          <w:rFonts w:eastAsia="Symbol" w:cs="Symbol"/>
          <w:spacing w:val="-2"/>
          <w:lang w:val="en-GB"/>
        </w:rPr>
        <w:t>s</w:t>
      </w:r>
      <w:r w:rsidR="00217B9F">
        <w:rPr>
          <w:rFonts w:eastAsia="Symbol" w:cs="Symbol"/>
          <w:spacing w:val="-2"/>
          <w:vertAlign w:val="superscript"/>
          <w:lang w:val="en-GB"/>
        </w:rPr>
        <w:noBreakHyphen/>
      </w:r>
      <w:r w:rsidR="00217B9F" w:rsidRPr="00AB48BD">
        <w:rPr>
          <w:rFonts w:eastAsia="Symbol" w:cs="Symbol"/>
          <w:spacing w:val="-2"/>
          <w:vertAlign w:val="superscript"/>
          <w:lang w:val="en-GB"/>
        </w:rPr>
        <w:t>1</w:t>
      </w:r>
      <w:r w:rsidR="00217B9F">
        <w:rPr>
          <w:rFonts w:eastAsia="Symbol" w:cs="Symbol"/>
          <w:spacing w:val="-2"/>
          <w:lang w:val="en-GB"/>
        </w:rPr>
        <w:t xml:space="preserve"> as determined by Chin and Wine </w:t>
      </w:r>
      <w:r w:rsidR="00217B9F">
        <w:rPr>
          <w:rFonts w:eastAsia="Symbol" w:cs="Symbol"/>
          <w:spacing w:val="-2"/>
          <w:lang w:val="en-GB"/>
        </w:rPr>
        <w:lastRenderedPageBreak/>
        <w:t>(1992)</w:t>
      </w:r>
      <w:r w:rsidR="000039AC">
        <w:rPr>
          <w:rFonts w:eastAsia="Symbol" w:cs="Symbol"/>
          <w:spacing w:val="-2"/>
          <w:lang w:val="en-GB"/>
        </w:rPr>
        <w:t xml:space="preserve">; </w:t>
      </w:r>
      <w:r w:rsidR="00D20B56">
        <w:rPr>
          <w:lang w:val="en-CA"/>
        </w:rPr>
        <w:t>the rate coefficient has been recalculated using the recommended values for the temperature dependent reference reaction</w:t>
      </w:r>
      <w:r w:rsidR="00D20B56">
        <w:rPr>
          <w:rFonts w:eastAsia="Symbol" w:cs="Symbol"/>
          <w:spacing w:val="-2"/>
          <w:lang w:val="en-GB"/>
        </w:rPr>
        <w:t xml:space="preserve"> by Zhu et al. (2003); </w:t>
      </w:r>
      <w:r w:rsidR="000039AC">
        <w:rPr>
          <w:rFonts w:eastAsia="Symbol" w:cs="Symbol"/>
          <w:spacing w:val="-2"/>
          <w:lang w:val="en-GB"/>
        </w:rPr>
        <w:t xml:space="preserve">39% of the aldehyde is considered to be in hydrate form, with </w:t>
      </w:r>
      <w:r w:rsidR="000039AC" w:rsidRPr="000039AC">
        <w:rPr>
          <w:rFonts w:eastAsia="Symbol" w:cs="Symbol"/>
          <w:i/>
          <w:spacing w:val="-2"/>
          <w:lang w:val="en-GB"/>
        </w:rPr>
        <w:t>K</w:t>
      </w:r>
      <w:r w:rsidR="000039AC" w:rsidRPr="000039AC">
        <w:rPr>
          <w:rFonts w:eastAsia="Symbol" w:cs="Symbol"/>
          <w:i/>
          <w:spacing w:val="-2"/>
          <w:vertAlign w:val="subscript"/>
          <w:lang w:val="en-GB"/>
        </w:rPr>
        <w:t>H</w:t>
      </w:r>
      <w:r w:rsidR="000039AC" w:rsidRPr="000039AC">
        <w:rPr>
          <w:rFonts w:eastAsia="Symbol" w:cs="Symbol"/>
          <w:spacing w:val="-2"/>
          <w:lang w:val="en-GB"/>
        </w:rPr>
        <w:t>(298 K)</w:t>
      </w:r>
      <w:r w:rsidR="000039AC">
        <w:rPr>
          <w:rFonts w:eastAsia="Symbol" w:cs="Symbol"/>
          <w:spacing w:val="-2"/>
          <w:lang w:val="en-GB"/>
        </w:rPr>
        <w:t xml:space="preserve"> = 0.64, according to Pocker and Dickerson (1969)</w:t>
      </w:r>
      <w:r w:rsidR="000522E5">
        <w:rPr>
          <w:rFonts w:eastAsia="Symbol" w:cs="Symbol"/>
          <w:spacing w:val="-2"/>
          <w:lang w:val="en-GB"/>
        </w:rPr>
        <w:t>.</w:t>
      </w:r>
    </w:p>
    <w:p w:rsidR="00C94ED5" w:rsidRDefault="00C94ED5" w:rsidP="009E5505">
      <w:pPr>
        <w:tabs>
          <w:tab w:val="left" w:pos="426"/>
          <w:tab w:val="left" w:pos="720"/>
        </w:tabs>
        <w:suppressAutoHyphens/>
        <w:spacing w:line="240" w:lineRule="atLeast"/>
        <w:jc w:val="both"/>
        <w:rPr>
          <w:spacing w:val="-2"/>
          <w:lang w:val="en-US"/>
        </w:rPr>
      </w:pPr>
    </w:p>
    <w:p w:rsidR="00A40DC9" w:rsidRPr="0077659B" w:rsidRDefault="00A40DC9" w:rsidP="00A40DC9">
      <w:pPr>
        <w:tabs>
          <w:tab w:val="left" w:pos="426"/>
          <w:tab w:val="left" w:pos="720"/>
        </w:tabs>
        <w:suppressAutoHyphens/>
        <w:spacing w:line="240" w:lineRule="atLeast"/>
        <w:ind w:left="426" w:hanging="426"/>
        <w:jc w:val="both"/>
        <w:rPr>
          <w:rFonts w:eastAsia="Symbol" w:cs="Symbol"/>
          <w:spacing w:val="-2"/>
          <w:lang w:val="en-GB"/>
        </w:rPr>
      </w:pPr>
      <w:r>
        <w:rPr>
          <w:spacing w:val="-2"/>
          <w:lang w:val="en-US"/>
        </w:rPr>
        <w:t>(c)</w:t>
      </w:r>
      <w:r>
        <w:rPr>
          <w:spacing w:val="-2"/>
          <w:lang w:val="en-US"/>
        </w:rPr>
        <w:tab/>
      </w:r>
      <w:r w:rsidR="00044AE1">
        <w:rPr>
          <w:spacing w:val="-2"/>
          <w:lang w:val="en-US"/>
        </w:rPr>
        <w:t>HO</w:t>
      </w:r>
      <w:r>
        <w:rPr>
          <w:spacing w:val="-2"/>
          <w:lang w:val="en-US"/>
        </w:rPr>
        <w:t xml:space="preserve"> radicals were generated by photolysis of H</w:t>
      </w:r>
      <w:r w:rsidRPr="00A40DC9">
        <w:rPr>
          <w:spacing w:val="-2"/>
          <w:vertAlign w:val="subscript"/>
          <w:lang w:val="en-US"/>
        </w:rPr>
        <w:t>2</w:t>
      </w:r>
      <w:r>
        <w:rPr>
          <w:spacing w:val="-2"/>
          <w:lang w:val="en-US"/>
        </w:rPr>
        <w:t>O</w:t>
      </w:r>
      <w:r w:rsidRPr="00A40DC9">
        <w:rPr>
          <w:spacing w:val="-2"/>
          <w:vertAlign w:val="subscript"/>
          <w:lang w:val="en-US"/>
        </w:rPr>
        <w:t>2</w:t>
      </w:r>
      <w:r w:rsidRPr="00A40DC9">
        <w:rPr>
          <w:spacing w:val="-2"/>
          <w:lang w:val="en-US"/>
        </w:rPr>
        <w:t xml:space="preserve"> (aq)</w:t>
      </w:r>
      <w:r>
        <w:rPr>
          <w:spacing w:val="-2"/>
          <w:lang w:val="en-US"/>
        </w:rPr>
        <w:t xml:space="preserve"> within a liquid core waveguide (LCW)</w:t>
      </w:r>
      <w:r w:rsidR="0077659B">
        <w:rPr>
          <w:spacing w:val="-2"/>
          <w:lang w:val="en-US"/>
        </w:rPr>
        <w:t xml:space="preserve">; reference reaction: </w:t>
      </w:r>
      <w:r w:rsidR="00044AE1">
        <w:rPr>
          <w:spacing w:val="-2"/>
          <w:lang w:val="en-US"/>
        </w:rPr>
        <w:t>HO</w:t>
      </w:r>
      <w:r w:rsidR="0077659B">
        <w:rPr>
          <w:spacing w:val="-2"/>
          <w:lang w:val="en-US"/>
        </w:rPr>
        <w:t xml:space="preserve"> + SCN</w:t>
      </w:r>
      <w:r w:rsidR="0077659B">
        <w:rPr>
          <w:spacing w:val="-2"/>
          <w:vertAlign w:val="superscript"/>
          <w:lang w:val="en-US"/>
        </w:rPr>
        <w:t>-</w:t>
      </w:r>
      <w:r w:rsidR="0077659B">
        <w:rPr>
          <w:spacing w:val="-2"/>
          <w:lang w:val="en-US"/>
        </w:rPr>
        <w:t xml:space="preserve"> with</w:t>
      </w:r>
      <w:r w:rsidRPr="00A40DC9">
        <w:rPr>
          <w:spacing w:val="-2"/>
          <w:lang w:val="en-US"/>
        </w:rPr>
        <w:t xml:space="preserve"> </w:t>
      </w:r>
      <w:r w:rsidRPr="00912975">
        <w:rPr>
          <w:i/>
          <w:spacing w:val="-2"/>
          <w:lang w:val="en-US"/>
        </w:rPr>
        <w:t>k</w:t>
      </w:r>
      <w:r>
        <w:rPr>
          <w:spacing w:val="-2"/>
          <w:lang w:val="en-US"/>
        </w:rPr>
        <w:t>(</w:t>
      </w:r>
      <w:r w:rsidR="00044AE1">
        <w:rPr>
          <w:spacing w:val="-2"/>
          <w:lang w:val="en-US"/>
        </w:rPr>
        <w:t>HO</w:t>
      </w:r>
      <w:r>
        <w:rPr>
          <w:spacing w:val="-2"/>
          <w:lang w:val="en-US"/>
        </w:rPr>
        <w:t xml:space="preserve"> + SCN</w:t>
      </w:r>
      <w:r>
        <w:rPr>
          <w:spacing w:val="-2"/>
          <w:vertAlign w:val="superscript"/>
          <w:lang w:val="en-US"/>
        </w:rPr>
        <w:t>-</w:t>
      </w:r>
      <w:r>
        <w:rPr>
          <w:spacing w:val="-2"/>
          <w:lang w:val="en-US"/>
        </w:rPr>
        <w:t>) = 1.24</w:t>
      </w:r>
      <w:r w:rsidR="00912975" w:rsidRPr="00AB48BD">
        <w:rPr>
          <w:rFonts w:eastAsia="Symbol" w:cs="Symbol"/>
          <w:lang w:val="en-GB"/>
        </w:rPr>
        <w:t> </w:t>
      </w:r>
      <w:r w:rsidR="00912975" w:rsidRPr="00AB48BD">
        <w:rPr>
          <w:rFonts w:ascii="Symbol" w:eastAsia="Symbol" w:hAnsi="Symbol" w:cs="Symbol"/>
          <w:spacing w:val="-3"/>
          <w:lang w:val="en-GB"/>
        </w:rPr>
        <w:t></w:t>
      </w:r>
      <w:r w:rsidR="00912975">
        <w:rPr>
          <w:rFonts w:eastAsia="Symbol" w:cs="Symbol"/>
          <w:spacing w:val="-2"/>
          <w:lang w:val="en-GB"/>
        </w:rPr>
        <w:t> </w:t>
      </w:r>
      <w:r w:rsidR="00912975">
        <w:rPr>
          <w:spacing w:val="-2"/>
          <w:lang w:val="en-US"/>
        </w:rPr>
        <w:t>10</w:t>
      </w:r>
      <w:r w:rsidR="00912975">
        <w:rPr>
          <w:spacing w:val="-2"/>
          <w:vertAlign w:val="superscript"/>
          <w:lang w:val="en-US"/>
        </w:rPr>
        <w:t>10</w:t>
      </w:r>
      <w:r w:rsidR="00912975">
        <w:rPr>
          <w:rFonts w:eastAsia="Symbol" w:cs="Symbol"/>
          <w:spacing w:val="-2"/>
          <w:vertAlign w:val="superscript"/>
          <w:lang w:val="en-GB"/>
        </w:rPr>
        <w:t> </w:t>
      </w:r>
      <w:r w:rsidR="00912975" w:rsidRPr="00AB48BD">
        <w:rPr>
          <w:rFonts w:eastAsia="Symbol" w:cs="Symbol"/>
          <w:spacing w:val="-2"/>
          <w:lang w:val="en-GB"/>
        </w:rPr>
        <w:t>M</w:t>
      </w:r>
      <w:r w:rsidR="00912975">
        <w:rPr>
          <w:rFonts w:eastAsia="Symbol" w:cs="Symbol"/>
          <w:spacing w:val="-2"/>
          <w:vertAlign w:val="superscript"/>
          <w:lang w:val="en-GB"/>
        </w:rPr>
        <w:noBreakHyphen/>
      </w:r>
      <w:r w:rsidR="00912975" w:rsidRPr="00AB48BD">
        <w:rPr>
          <w:rFonts w:eastAsia="Symbol" w:cs="Symbol"/>
          <w:spacing w:val="-2"/>
          <w:vertAlign w:val="superscript"/>
          <w:lang w:val="en-GB"/>
        </w:rPr>
        <w:t>1</w:t>
      </w:r>
      <w:r w:rsidR="00912975" w:rsidRPr="00AB48BD">
        <w:rPr>
          <w:rFonts w:eastAsia="Symbol" w:cs="Symbol"/>
          <w:spacing w:val="-2"/>
          <w:lang w:val="en-GB"/>
        </w:rPr>
        <w:t>s</w:t>
      </w:r>
      <w:r w:rsidR="00912975">
        <w:rPr>
          <w:rFonts w:eastAsia="Symbol" w:cs="Symbol"/>
          <w:spacing w:val="-2"/>
          <w:vertAlign w:val="superscript"/>
          <w:lang w:val="en-GB"/>
        </w:rPr>
        <w:noBreakHyphen/>
      </w:r>
      <w:r w:rsidR="00912975" w:rsidRPr="00AB48BD">
        <w:rPr>
          <w:rFonts w:eastAsia="Symbol" w:cs="Symbol"/>
          <w:spacing w:val="-2"/>
          <w:vertAlign w:val="superscript"/>
          <w:lang w:val="en-GB"/>
        </w:rPr>
        <w:t>1</w:t>
      </w:r>
      <w:r w:rsidR="00912975">
        <w:rPr>
          <w:rFonts w:eastAsia="Symbol" w:cs="Symbol"/>
          <w:spacing w:val="-2"/>
          <w:lang w:val="en-GB"/>
        </w:rPr>
        <w:t xml:space="preserve"> </w:t>
      </w:r>
      <w:r>
        <w:rPr>
          <w:rFonts w:eastAsia="Symbol" w:cs="Symbol"/>
          <w:spacing w:val="-2"/>
          <w:lang w:val="en-GB"/>
        </w:rPr>
        <w:t>as det</w:t>
      </w:r>
      <w:r w:rsidR="0077659B">
        <w:rPr>
          <w:rFonts w:eastAsia="Symbol" w:cs="Symbol"/>
          <w:spacing w:val="-2"/>
          <w:lang w:val="en-GB"/>
        </w:rPr>
        <w:t>ermined by Chin and Wine (1992);</w:t>
      </w:r>
      <w:r w:rsidR="000522E5">
        <w:rPr>
          <w:rFonts w:eastAsia="Symbol" w:cs="Symbol"/>
          <w:spacing w:val="-2"/>
          <w:lang w:val="en-GB"/>
        </w:rPr>
        <w:t xml:space="preserve"> </w:t>
      </w:r>
      <w:r w:rsidR="000522E5">
        <w:rPr>
          <w:lang w:val="en-CA"/>
        </w:rPr>
        <w:t xml:space="preserve">the rate coefficient has been recalculated using the recommended value for the reference reaction </w:t>
      </w:r>
      <w:r w:rsidR="000522E5">
        <w:rPr>
          <w:i/>
          <w:lang w:val="en-CA"/>
        </w:rPr>
        <w:t>k</w:t>
      </w:r>
      <w:r w:rsidR="000522E5">
        <w:rPr>
          <w:lang w:val="en-CA"/>
        </w:rPr>
        <w:t> = 1.19</w:t>
      </w:r>
      <w:r w:rsidR="000522E5" w:rsidRPr="00AB48BD">
        <w:rPr>
          <w:rFonts w:eastAsia="Symbol" w:cs="Symbol"/>
          <w:lang w:val="en-GB"/>
        </w:rPr>
        <w:t> </w:t>
      </w:r>
      <w:r w:rsidR="000522E5" w:rsidRPr="00AB48BD">
        <w:rPr>
          <w:rFonts w:ascii="Symbol" w:eastAsia="Symbol" w:hAnsi="Symbol" w:cs="Symbol"/>
          <w:spacing w:val="-3"/>
          <w:lang w:val="en-GB"/>
        </w:rPr>
        <w:t></w:t>
      </w:r>
      <w:r w:rsidR="000522E5">
        <w:rPr>
          <w:rFonts w:eastAsia="Symbol" w:cs="Symbol"/>
          <w:spacing w:val="-2"/>
          <w:lang w:val="en-GB"/>
        </w:rPr>
        <w:t> </w:t>
      </w:r>
      <w:r w:rsidR="000522E5">
        <w:rPr>
          <w:lang w:val="en-CA"/>
        </w:rPr>
        <w:t>10</w:t>
      </w:r>
      <w:r w:rsidR="000522E5">
        <w:rPr>
          <w:vertAlign w:val="superscript"/>
          <w:lang w:val="en-CA"/>
        </w:rPr>
        <w:t>10</w:t>
      </w:r>
      <w:r w:rsidR="000522E5">
        <w:rPr>
          <w:rFonts w:eastAsia="Symbol" w:cs="Symbol"/>
          <w:spacing w:val="-2"/>
          <w:vertAlign w:val="superscript"/>
          <w:lang w:val="en-GB"/>
        </w:rPr>
        <w:t> </w:t>
      </w:r>
      <w:r w:rsidR="000522E5" w:rsidRPr="00AB48BD">
        <w:rPr>
          <w:rFonts w:eastAsia="Symbol" w:cs="Symbol"/>
          <w:spacing w:val="-2"/>
          <w:lang w:val="en-GB"/>
        </w:rPr>
        <w:t>M</w:t>
      </w:r>
      <w:r w:rsidR="000522E5">
        <w:rPr>
          <w:rFonts w:eastAsia="Symbol" w:cs="Symbol"/>
          <w:spacing w:val="-2"/>
          <w:vertAlign w:val="superscript"/>
          <w:lang w:val="en-GB"/>
        </w:rPr>
        <w:noBreakHyphen/>
      </w:r>
      <w:r w:rsidR="000522E5" w:rsidRPr="00AB48BD">
        <w:rPr>
          <w:rFonts w:eastAsia="Symbol" w:cs="Symbol"/>
          <w:spacing w:val="-2"/>
          <w:vertAlign w:val="superscript"/>
          <w:lang w:val="en-GB"/>
        </w:rPr>
        <w:t>1</w:t>
      </w:r>
      <w:r w:rsidR="000522E5" w:rsidRPr="00AB48BD">
        <w:rPr>
          <w:rFonts w:eastAsia="Symbol" w:cs="Symbol"/>
          <w:spacing w:val="-2"/>
          <w:lang w:val="en-GB"/>
        </w:rPr>
        <w:t>s</w:t>
      </w:r>
      <w:r w:rsidR="000522E5">
        <w:rPr>
          <w:rFonts w:eastAsia="Symbol" w:cs="Symbol"/>
          <w:spacing w:val="-2"/>
          <w:vertAlign w:val="superscript"/>
          <w:lang w:val="en-GB"/>
        </w:rPr>
        <w:noBreakHyphen/>
      </w:r>
      <w:r w:rsidR="000522E5" w:rsidRPr="00AB48BD">
        <w:rPr>
          <w:rFonts w:eastAsia="Symbol" w:cs="Symbol"/>
          <w:spacing w:val="-2"/>
          <w:vertAlign w:val="superscript"/>
          <w:lang w:val="en-GB"/>
        </w:rPr>
        <w:t>1</w:t>
      </w:r>
      <w:r w:rsidR="000522E5">
        <w:rPr>
          <w:rFonts w:eastAsia="Symbol" w:cs="Symbol"/>
          <w:spacing w:val="-2"/>
          <w:lang w:val="en-GB"/>
        </w:rPr>
        <w:t>;</w:t>
      </w:r>
      <w:r w:rsidR="0077659B">
        <w:rPr>
          <w:rFonts w:eastAsia="Symbol" w:cs="Symbol"/>
          <w:spacing w:val="-2"/>
          <w:lang w:val="en-GB"/>
        </w:rPr>
        <w:t xml:space="preserve"> </w:t>
      </w:r>
      <w:r w:rsidR="0077659B" w:rsidRPr="00F74017">
        <w:rPr>
          <w:rFonts w:eastAsia="Symbol" w:cs="Symbol"/>
          <w:i/>
          <w:spacing w:val="-2"/>
          <w:lang w:val="en-GB"/>
        </w:rPr>
        <w:t>c</w:t>
      </w:r>
      <w:r w:rsidR="0077659B">
        <w:rPr>
          <w:rFonts w:eastAsia="Symbol" w:cs="Symbol"/>
          <w:spacing w:val="-2"/>
          <w:lang w:val="en-GB"/>
        </w:rPr>
        <w:t>(isobutyraldehyd) = 1</w:t>
      </w:r>
      <w:r w:rsidR="0077659B" w:rsidRPr="00AB48BD">
        <w:rPr>
          <w:rFonts w:eastAsia="Symbol" w:cs="Symbol"/>
          <w:lang w:val="en-GB"/>
        </w:rPr>
        <w:t> </w:t>
      </w:r>
      <w:r w:rsidR="0077659B" w:rsidRPr="00AB48BD">
        <w:rPr>
          <w:rFonts w:ascii="Symbol" w:eastAsia="Symbol" w:hAnsi="Symbol" w:cs="Symbol"/>
          <w:spacing w:val="-3"/>
          <w:lang w:val="en-GB"/>
        </w:rPr>
        <w:t></w:t>
      </w:r>
      <w:r w:rsidR="0077659B">
        <w:rPr>
          <w:rFonts w:eastAsia="Symbol" w:cs="Symbol"/>
          <w:spacing w:val="-2"/>
          <w:lang w:val="en-GB"/>
        </w:rPr>
        <w:t> </w:t>
      </w:r>
      <w:r w:rsidR="0077659B">
        <w:rPr>
          <w:spacing w:val="-2"/>
          <w:lang w:val="en-US"/>
        </w:rPr>
        <w:t>10</w:t>
      </w:r>
      <w:r w:rsidR="0077659B">
        <w:rPr>
          <w:spacing w:val="-2"/>
          <w:vertAlign w:val="superscript"/>
          <w:lang w:val="en-US"/>
        </w:rPr>
        <w:t>-4</w:t>
      </w:r>
      <w:r w:rsidR="0077659B">
        <w:rPr>
          <w:spacing w:val="-2"/>
          <w:lang w:val="en-US"/>
        </w:rPr>
        <w:t xml:space="preserve"> - 5</w:t>
      </w:r>
      <w:r w:rsidR="0077659B" w:rsidRPr="00AB48BD">
        <w:rPr>
          <w:rFonts w:eastAsia="Symbol" w:cs="Symbol"/>
          <w:lang w:val="en-GB"/>
        </w:rPr>
        <w:t> </w:t>
      </w:r>
      <w:r w:rsidR="0077659B" w:rsidRPr="00AB48BD">
        <w:rPr>
          <w:rFonts w:ascii="Symbol" w:eastAsia="Symbol" w:hAnsi="Symbol" w:cs="Symbol"/>
          <w:spacing w:val="-3"/>
          <w:lang w:val="en-GB"/>
        </w:rPr>
        <w:t></w:t>
      </w:r>
      <w:r w:rsidR="0077659B">
        <w:rPr>
          <w:rFonts w:eastAsia="Symbol" w:cs="Symbol"/>
          <w:spacing w:val="-2"/>
          <w:lang w:val="en-GB"/>
        </w:rPr>
        <w:t> </w:t>
      </w:r>
      <w:r w:rsidR="0077659B">
        <w:rPr>
          <w:spacing w:val="-2"/>
          <w:lang w:val="en-US"/>
        </w:rPr>
        <w:t>10</w:t>
      </w:r>
      <w:r w:rsidR="0077659B">
        <w:rPr>
          <w:spacing w:val="-2"/>
          <w:vertAlign w:val="superscript"/>
          <w:lang w:val="en-US"/>
        </w:rPr>
        <w:t>-4</w:t>
      </w:r>
      <w:r w:rsidR="0077659B">
        <w:rPr>
          <w:spacing w:val="-2"/>
          <w:lang w:val="en-US"/>
        </w:rPr>
        <w:t xml:space="preserve"> M; </w:t>
      </w:r>
      <w:r w:rsidR="0077659B" w:rsidRPr="00F74017">
        <w:rPr>
          <w:i/>
          <w:spacing w:val="-2"/>
          <w:lang w:val="en-US"/>
        </w:rPr>
        <w:t>c</w:t>
      </w:r>
      <w:r w:rsidR="0077659B">
        <w:rPr>
          <w:spacing w:val="-2"/>
          <w:lang w:val="en-US"/>
        </w:rPr>
        <w:t>(SCN</w:t>
      </w:r>
      <w:r w:rsidR="0077659B">
        <w:rPr>
          <w:spacing w:val="-2"/>
          <w:vertAlign w:val="superscript"/>
          <w:lang w:val="en-US"/>
        </w:rPr>
        <w:noBreakHyphen/>
      </w:r>
      <w:r w:rsidR="0077659B">
        <w:rPr>
          <w:spacing w:val="-2"/>
          <w:lang w:val="en-US"/>
        </w:rPr>
        <w:t>) = 4</w:t>
      </w:r>
      <w:r w:rsidR="0077659B" w:rsidRPr="00AB48BD">
        <w:rPr>
          <w:rFonts w:eastAsia="Symbol" w:cs="Symbol"/>
          <w:lang w:val="en-GB"/>
        </w:rPr>
        <w:t> </w:t>
      </w:r>
      <w:r w:rsidR="0077659B" w:rsidRPr="00AB48BD">
        <w:rPr>
          <w:rFonts w:ascii="Symbol" w:eastAsia="Symbol" w:hAnsi="Symbol" w:cs="Symbol"/>
          <w:spacing w:val="-3"/>
          <w:lang w:val="en-GB"/>
        </w:rPr>
        <w:t></w:t>
      </w:r>
      <w:r w:rsidR="0077659B">
        <w:rPr>
          <w:rFonts w:eastAsia="Symbol" w:cs="Symbol"/>
          <w:spacing w:val="-2"/>
          <w:lang w:val="en-GB"/>
        </w:rPr>
        <w:t> </w:t>
      </w:r>
      <w:r w:rsidR="0077659B">
        <w:rPr>
          <w:spacing w:val="-2"/>
          <w:lang w:val="en-US"/>
        </w:rPr>
        <w:t>10</w:t>
      </w:r>
      <w:r w:rsidR="0077659B">
        <w:rPr>
          <w:spacing w:val="-2"/>
          <w:vertAlign w:val="superscript"/>
          <w:lang w:val="en-US"/>
        </w:rPr>
        <w:t>-4</w:t>
      </w:r>
      <w:r w:rsidR="0077659B">
        <w:rPr>
          <w:spacing w:val="-2"/>
          <w:lang w:val="en-US"/>
        </w:rPr>
        <w:t> M.</w:t>
      </w:r>
    </w:p>
    <w:p w:rsidR="00541E4E" w:rsidRDefault="00541E4E" w:rsidP="00A40DC9">
      <w:pPr>
        <w:tabs>
          <w:tab w:val="left" w:pos="426"/>
          <w:tab w:val="left" w:pos="720"/>
        </w:tabs>
        <w:suppressAutoHyphens/>
        <w:spacing w:line="240" w:lineRule="atLeast"/>
        <w:ind w:left="426" w:hanging="426"/>
        <w:jc w:val="both"/>
        <w:rPr>
          <w:spacing w:val="-2"/>
          <w:lang w:val="en-US"/>
        </w:rPr>
      </w:pPr>
    </w:p>
    <w:p w:rsidR="006E462D" w:rsidRPr="00E12CB0" w:rsidRDefault="00541E4E" w:rsidP="006E462D">
      <w:pPr>
        <w:tabs>
          <w:tab w:val="left" w:pos="426"/>
          <w:tab w:val="left" w:pos="720"/>
        </w:tabs>
        <w:suppressAutoHyphens/>
        <w:spacing w:line="240" w:lineRule="atLeast"/>
        <w:ind w:left="426" w:hanging="426"/>
        <w:jc w:val="both"/>
        <w:rPr>
          <w:rFonts w:eastAsia="Symbol" w:cs="Symbol"/>
          <w:lang w:val="en-CA"/>
        </w:rPr>
      </w:pPr>
      <w:r>
        <w:rPr>
          <w:spacing w:val="-2"/>
          <w:lang w:val="en-US"/>
        </w:rPr>
        <w:t>(d)</w:t>
      </w:r>
      <w:r>
        <w:rPr>
          <w:spacing w:val="-2"/>
          <w:lang w:val="en-US"/>
        </w:rPr>
        <w:tab/>
      </w:r>
      <w:r w:rsidR="00044AE1">
        <w:rPr>
          <w:spacing w:val="-2"/>
          <w:lang w:val="en-US"/>
        </w:rPr>
        <w:t>HO</w:t>
      </w:r>
      <w:r w:rsidR="006E462D">
        <w:rPr>
          <w:spacing w:val="-2"/>
          <w:lang w:val="en-US"/>
        </w:rPr>
        <w:t xml:space="preserve"> radicals were generated by UV irradiation of H</w:t>
      </w:r>
      <w:r w:rsidR="006E462D" w:rsidRPr="00A40DC9">
        <w:rPr>
          <w:spacing w:val="-2"/>
          <w:vertAlign w:val="subscript"/>
          <w:lang w:val="en-US"/>
        </w:rPr>
        <w:t>2</w:t>
      </w:r>
      <w:r w:rsidR="006E462D">
        <w:rPr>
          <w:spacing w:val="-2"/>
          <w:lang w:val="en-US"/>
        </w:rPr>
        <w:t>O</w:t>
      </w:r>
      <w:r w:rsidR="006E462D" w:rsidRPr="00A40DC9">
        <w:rPr>
          <w:spacing w:val="-2"/>
          <w:vertAlign w:val="subscript"/>
          <w:lang w:val="en-US"/>
        </w:rPr>
        <w:t>2</w:t>
      </w:r>
      <w:r w:rsidR="006E462D" w:rsidRPr="00A40DC9">
        <w:rPr>
          <w:spacing w:val="-2"/>
          <w:lang w:val="en-US"/>
        </w:rPr>
        <w:t>(aq)</w:t>
      </w:r>
      <w:r w:rsidR="006E462D">
        <w:rPr>
          <w:spacing w:val="-2"/>
          <w:lang w:val="en-US"/>
        </w:rPr>
        <w:t xml:space="preserve"> at 254 nm, reactions were performed in a continuous flow-stirred reactor (CFSR) with flow rate of 250 mL min</w:t>
      </w:r>
      <w:r w:rsidR="006E462D">
        <w:rPr>
          <w:spacing w:val="-2"/>
          <w:vertAlign w:val="superscript"/>
          <w:lang w:val="en-US"/>
        </w:rPr>
        <w:noBreakHyphen/>
        <w:t>1</w:t>
      </w:r>
      <w:r w:rsidR="006E462D">
        <w:rPr>
          <w:spacing w:val="-2"/>
          <w:lang w:val="en-US"/>
        </w:rPr>
        <w:t xml:space="preserve">; </w:t>
      </w:r>
      <w:r w:rsidR="006E462D" w:rsidRPr="002A7F7E">
        <w:rPr>
          <w:i/>
          <w:spacing w:val="-2"/>
          <w:lang w:val="en-US"/>
        </w:rPr>
        <w:t>c</w:t>
      </w:r>
      <w:r w:rsidR="006E462D">
        <w:rPr>
          <w:spacing w:val="-2"/>
          <w:lang w:val="en-US"/>
        </w:rPr>
        <w:t>(sample) = 2 – 10 mg L</w:t>
      </w:r>
      <w:r w:rsidR="006E462D">
        <w:rPr>
          <w:spacing w:val="-2"/>
          <w:vertAlign w:val="superscript"/>
          <w:lang w:val="en-US"/>
        </w:rPr>
        <w:noBreakHyphen/>
        <w:t>1</w:t>
      </w:r>
      <w:r w:rsidR="006E462D">
        <w:rPr>
          <w:spacing w:val="-2"/>
          <w:lang w:val="en-US"/>
        </w:rPr>
        <w:t xml:space="preserve">, </w:t>
      </w:r>
      <w:r w:rsidR="006E462D">
        <w:rPr>
          <w:i/>
          <w:spacing w:val="-2"/>
          <w:lang w:val="en-US"/>
        </w:rPr>
        <w:t>c</w:t>
      </w:r>
      <w:r w:rsidR="006E462D">
        <w:rPr>
          <w:spacing w:val="-2"/>
          <w:lang w:val="en-US"/>
        </w:rPr>
        <w:t>(H</w:t>
      </w:r>
      <w:r w:rsidR="006E462D" w:rsidRPr="002A7F7E">
        <w:rPr>
          <w:spacing w:val="-2"/>
          <w:vertAlign w:val="subscript"/>
          <w:lang w:val="en-US"/>
        </w:rPr>
        <w:t>2</w:t>
      </w:r>
      <w:r w:rsidR="006E462D">
        <w:rPr>
          <w:spacing w:val="-2"/>
          <w:lang w:val="en-US"/>
        </w:rPr>
        <w:t>O</w:t>
      </w:r>
      <w:r w:rsidR="006E462D" w:rsidRPr="002A7F7E">
        <w:rPr>
          <w:spacing w:val="-2"/>
          <w:vertAlign w:val="subscript"/>
          <w:lang w:val="en-US"/>
        </w:rPr>
        <w:t>2</w:t>
      </w:r>
      <w:r w:rsidR="006E462D">
        <w:rPr>
          <w:spacing w:val="-2"/>
          <w:lang w:val="en-US"/>
        </w:rPr>
        <w:t>) = 70 – 10</w:t>
      </w:r>
      <w:r w:rsidR="006E462D" w:rsidRPr="00732813">
        <w:rPr>
          <w:spacing w:val="-2"/>
          <w:lang w:val="en-US"/>
        </w:rPr>
        <w:t>7</w:t>
      </w:r>
      <w:r w:rsidR="006E462D">
        <w:rPr>
          <w:spacing w:val="-2"/>
          <w:lang w:val="en-US"/>
        </w:rPr>
        <w:t> mg L</w:t>
      </w:r>
      <w:r w:rsidR="006E462D">
        <w:rPr>
          <w:spacing w:val="-2"/>
          <w:vertAlign w:val="superscript"/>
          <w:lang w:val="en-US"/>
        </w:rPr>
        <w:noBreakHyphen/>
        <w:t>1</w:t>
      </w:r>
      <w:r w:rsidR="006E462D">
        <w:rPr>
          <w:spacing w:val="-2"/>
          <w:lang w:val="en-US"/>
        </w:rPr>
        <w:t>, products were analyzed by high resolution gas chromatography (HRGC) MS and HRGC-FID</w:t>
      </w:r>
      <w:r w:rsidR="000522E5">
        <w:rPr>
          <w:spacing w:val="-2"/>
          <w:lang w:val="en-US"/>
        </w:rPr>
        <w:t xml:space="preserve">; the rate coefficients represent the mean of two determinations referring to two different reference reactions (tert-butanol + HO and n-Octanol + HO) without stating the individually determined rate coefficients; no recalculation of the </w:t>
      </w:r>
      <w:r w:rsidR="00857E58">
        <w:rPr>
          <w:spacing w:val="-2"/>
          <w:lang w:val="en-US"/>
        </w:rPr>
        <w:t>rate coefficient could be performed.</w:t>
      </w:r>
    </w:p>
    <w:p w:rsidR="00541E4E" w:rsidRDefault="00541E4E" w:rsidP="00A40DC9">
      <w:pPr>
        <w:tabs>
          <w:tab w:val="left" w:pos="426"/>
          <w:tab w:val="left" w:pos="720"/>
        </w:tabs>
        <w:suppressAutoHyphens/>
        <w:spacing w:line="240" w:lineRule="atLeast"/>
        <w:ind w:left="426" w:hanging="426"/>
        <w:jc w:val="both"/>
        <w:rPr>
          <w:spacing w:val="-2"/>
          <w:lang w:val="en-US"/>
        </w:rPr>
      </w:pPr>
    </w:p>
    <w:p w:rsidR="00932654" w:rsidRDefault="00932654" w:rsidP="00821651">
      <w:pPr>
        <w:tabs>
          <w:tab w:val="left" w:pos="0"/>
          <w:tab w:val="left" w:pos="444"/>
          <w:tab w:val="left" w:pos="720"/>
        </w:tabs>
        <w:suppressAutoHyphens/>
        <w:spacing w:line="240" w:lineRule="atLeast"/>
        <w:jc w:val="center"/>
        <w:rPr>
          <w:b/>
          <w:spacing w:val="-3"/>
          <w:lang w:val="en-CA"/>
        </w:rPr>
      </w:pPr>
    </w:p>
    <w:p w:rsidR="007F4C67" w:rsidRPr="00CD2FA0" w:rsidRDefault="007F4C67" w:rsidP="007F4C67">
      <w:pPr>
        <w:keepNext/>
        <w:keepLines/>
        <w:widowControl w:val="0"/>
        <w:tabs>
          <w:tab w:val="center" w:pos="4680"/>
        </w:tabs>
        <w:jc w:val="center"/>
        <w:outlineLvl w:val="0"/>
        <w:rPr>
          <w:rFonts w:ascii="Times New Roman" w:hAnsi="Times New Roman" w:cs="Times New Roman"/>
          <w:b/>
          <w:color w:val="000000"/>
          <w:lang w:val="en-US" w:eastAsia="de-DE"/>
        </w:rPr>
      </w:pPr>
      <w:r w:rsidRPr="00CD2FA0">
        <w:rPr>
          <w:rFonts w:ascii="Times New Roman" w:hAnsi="Times New Roman" w:cs="Times New Roman"/>
          <w:b/>
          <w:color w:val="000000"/>
          <w:lang w:val="en-US" w:eastAsia="de-DE"/>
        </w:rPr>
        <w:t>Preferred Values</w:t>
      </w:r>
    </w:p>
    <w:p w:rsidR="007F4C67" w:rsidRPr="00CD2FA0" w:rsidRDefault="007F4C67" w:rsidP="007F4C67">
      <w:pPr>
        <w:widowControl w:val="0"/>
        <w:rPr>
          <w:rFonts w:ascii="Times New Roman" w:hAnsi="Times New Roman" w:cs="Times New Roman"/>
          <w:color w:val="000000"/>
          <w:sz w:val="20"/>
          <w:szCs w:val="20"/>
          <w:lang w:val="en-US" w:eastAsia="de-DE"/>
        </w:rPr>
      </w:pPr>
    </w:p>
    <w:tbl>
      <w:tblPr>
        <w:tblW w:w="9303" w:type="dxa"/>
        <w:tblInd w:w="-108" w:type="dxa"/>
        <w:tblLayout w:type="fixed"/>
        <w:tblLook w:val="0000" w:firstRow="0" w:lastRow="0" w:firstColumn="0" w:lastColumn="0" w:noHBand="0" w:noVBand="0"/>
      </w:tblPr>
      <w:tblGrid>
        <w:gridCol w:w="2059"/>
        <w:gridCol w:w="5069"/>
        <w:gridCol w:w="2175"/>
      </w:tblGrid>
      <w:tr w:rsidR="007F4C67" w:rsidRPr="00F16250" w:rsidTr="00604D2C">
        <w:tc>
          <w:tcPr>
            <w:tcW w:w="2059"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color w:val="000000"/>
                <w:lang w:val="de-DE" w:eastAsia="de-DE"/>
              </w:rPr>
              <w:t>Parameter</w:t>
            </w:r>
          </w:p>
        </w:tc>
        <w:tc>
          <w:tcPr>
            <w:tcW w:w="5069"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color w:val="000000"/>
                <w:lang w:val="de-DE" w:eastAsia="de-DE"/>
              </w:rPr>
              <w:t>Value</w:t>
            </w:r>
          </w:p>
        </w:tc>
        <w:tc>
          <w:tcPr>
            <w:tcW w:w="2175" w:type="dxa"/>
            <w:tcBorders>
              <w:top w:val="single" w:sz="4" w:space="0" w:color="000000"/>
              <w:bottom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F16250">
              <w:rPr>
                <w:rFonts w:ascii="Times New Roman" w:hAnsi="Times New Roman" w:cs="Times New Roman"/>
                <w:b/>
                <w:i/>
                <w:color w:val="000000"/>
                <w:lang w:val="de-DE" w:eastAsia="de-DE"/>
              </w:rPr>
              <w:t>T</w:t>
            </w:r>
            <w:r w:rsidRPr="00F16250">
              <w:rPr>
                <w:rFonts w:ascii="Times New Roman" w:hAnsi="Times New Roman" w:cs="Times New Roman"/>
                <w:b/>
                <w:color w:val="000000"/>
                <w:lang w:val="de-DE" w:eastAsia="de-DE"/>
              </w:rPr>
              <w:t>/K</w:t>
            </w:r>
          </w:p>
        </w:tc>
      </w:tr>
      <w:tr w:rsidR="007F4C67" w:rsidRPr="00F16250" w:rsidTr="00604D2C">
        <w:tc>
          <w:tcPr>
            <w:tcW w:w="2059" w:type="dxa"/>
            <w:tcBorders>
              <w:top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p>
        </w:tc>
        <w:tc>
          <w:tcPr>
            <w:tcW w:w="5069" w:type="dxa"/>
            <w:tcBorders>
              <w:top w:val="single" w:sz="4" w:space="0" w:color="000000"/>
            </w:tcBorders>
          </w:tcPr>
          <w:p w:rsidR="007F4C67" w:rsidRPr="00F16250" w:rsidRDefault="007F4C67" w:rsidP="00604D2C">
            <w:pPr>
              <w:widowControl w:val="0"/>
              <w:tabs>
                <w:tab w:val="left" w:pos="0"/>
                <w:tab w:val="left" w:pos="444"/>
                <w:tab w:val="left" w:pos="720"/>
              </w:tabs>
              <w:rPr>
                <w:rFonts w:ascii="Times New Roman" w:hAnsi="Times New Roman" w:cs="Times New Roman"/>
                <w:color w:val="000000"/>
                <w:sz w:val="20"/>
                <w:szCs w:val="20"/>
                <w:lang w:val="de-DE" w:eastAsia="de-DE"/>
              </w:rPr>
            </w:pPr>
          </w:p>
        </w:tc>
        <w:tc>
          <w:tcPr>
            <w:tcW w:w="2175" w:type="dxa"/>
            <w:tcBorders>
              <w:top w:val="single" w:sz="4" w:space="0" w:color="000000"/>
            </w:tcBorders>
          </w:tcPr>
          <w:p w:rsidR="007F4C67" w:rsidRPr="00F1625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de-DE" w:eastAsia="de-DE"/>
              </w:rPr>
            </w:pPr>
          </w:p>
        </w:tc>
      </w:tr>
      <w:tr w:rsidR="007F4C67" w:rsidRPr="002B69B0" w:rsidTr="00604D2C">
        <w:tc>
          <w:tcPr>
            <w:tcW w:w="2059" w:type="dxa"/>
          </w:tcPr>
          <w:p w:rsidR="007F4C67" w:rsidRPr="004901BF" w:rsidRDefault="007F4C67" w:rsidP="00455EA0">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4901BF">
              <w:rPr>
                <w:rFonts w:ascii="Times New Roman" w:hAnsi="Times New Roman" w:cs="Times New Roman"/>
                <w:i/>
                <w:color w:val="000000"/>
                <w:lang w:val="de-DE" w:eastAsia="de-DE"/>
              </w:rPr>
              <w:t>k</w:t>
            </w:r>
            <w:r w:rsidRPr="004901BF">
              <w:rPr>
                <w:rFonts w:ascii="Times New Roman" w:hAnsi="Times New Roman" w:cs="Times New Roman"/>
                <w:color w:val="000000"/>
                <w:lang w:val="de-DE" w:eastAsia="de-DE"/>
              </w:rPr>
              <w:t xml:space="preserve"> / </w:t>
            </w:r>
            <w:r w:rsidR="00486CBB">
              <w:rPr>
                <w:rFonts w:ascii="Times New Roman" w:hAnsi="Times New Roman" w:cs="Times New Roman"/>
                <w:color w:val="000000"/>
                <w:lang w:val="de-DE" w:eastAsia="de-DE"/>
              </w:rPr>
              <w:t>L</w:t>
            </w:r>
            <w:r w:rsidRPr="004901BF">
              <w:rPr>
                <w:rFonts w:ascii="Times New Roman" w:hAnsi="Times New Roman" w:cs="Times New Roman"/>
                <w:color w:val="000000"/>
                <w:lang w:val="de-DE" w:eastAsia="de-DE"/>
              </w:rPr>
              <w:t xml:space="preserve"> mol</w:t>
            </w:r>
            <w:r w:rsidRPr="004901BF">
              <w:rPr>
                <w:rFonts w:ascii="Times New Roman" w:hAnsi="Times New Roman" w:cs="Times New Roman"/>
                <w:color w:val="000000"/>
                <w:vertAlign w:val="superscript"/>
                <w:lang w:val="de-DE" w:eastAsia="de-DE"/>
              </w:rPr>
              <w:t>-1</w:t>
            </w:r>
            <w:r w:rsidRPr="004901BF">
              <w:rPr>
                <w:rFonts w:ascii="Times New Roman" w:hAnsi="Times New Roman" w:cs="Times New Roman"/>
                <w:color w:val="000000"/>
                <w:lang w:val="de-DE" w:eastAsia="de-DE"/>
              </w:rPr>
              <w:t xml:space="preserve"> s</w:t>
            </w:r>
            <w:r w:rsidRPr="004901BF">
              <w:rPr>
                <w:rFonts w:ascii="Times New Roman" w:hAnsi="Times New Roman" w:cs="Times New Roman"/>
                <w:color w:val="000000"/>
                <w:vertAlign w:val="superscript"/>
                <w:lang w:val="de-DE" w:eastAsia="de-DE"/>
              </w:rPr>
              <w:t>-1</w:t>
            </w:r>
          </w:p>
        </w:tc>
        <w:tc>
          <w:tcPr>
            <w:tcW w:w="5069" w:type="dxa"/>
          </w:tcPr>
          <w:p w:rsidR="007F4C67" w:rsidRPr="00AD4813" w:rsidRDefault="00F74017" w:rsidP="00732813">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w:t>
            </w:r>
            <w:r w:rsidR="00CD2FA0">
              <w:rPr>
                <w:rFonts w:ascii="Times New Roman" w:hAnsi="Times New Roman" w:cs="Times New Roman"/>
                <w:color w:val="000000"/>
                <w:lang w:val="en-US" w:eastAsia="de-DE"/>
              </w:rPr>
              <w:t xml:space="preserve">75 </w:t>
            </w:r>
            <w:r w:rsidR="00AD4813">
              <w:rPr>
                <w:rFonts w:ascii="Times New Roman" w:hAnsi="Times New Roman" w:cs="Times New Roman"/>
                <w:color w:val="000000"/>
                <w:lang w:val="en-US" w:eastAsia="de-DE"/>
              </w:rPr>
              <w:t>× 10</w:t>
            </w:r>
            <w:r w:rsidR="00AD4813">
              <w:rPr>
                <w:rFonts w:ascii="Times New Roman" w:hAnsi="Times New Roman" w:cs="Times New Roman"/>
                <w:color w:val="000000"/>
                <w:vertAlign w:val="superscript"/>
                <w:lang w:val="en-US" w:eastAsia="de-DE"/>
              </w:rPr>
              <w:t>9</w:t>
            </w:r>
          </w:p>
        </w:tc>
        <w:tc>
          <w:tcPr>
            <w:tcW w:w="2175" w:type="dxa"/>
          </w:tcPr>
          <w:p w:rsidR="007F4C67" w:rsidRPr="00AD4813" w:rsidRDefault="00AD4813" w:rsidP="00604D2C">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298</w:t>
            </w:r>
          </w:p>
        </w:tc>
      </w:tr>
      <w:tr w:rsidR="0027580C" w:rsidRPr="002B69B0" w:rsidTr="00604D2C">
        <w:tc>
          <w:tcPr>
            <w:tcW w:w="2059" w:type="dxa"/>
          </w:tcPr>
          <w:p w:rsidR="0027580C" w:rsidRPr="002B69B0" w:rsidRDefault="0027580C" w:rsidP="00604D2C">
            <w:pPr>
              <w:widowControl w:val="0"/>
              <w:tabs>
                <w:tab w:val="left" w:pos="0"/>
                <w:tab w:val="left" w:pos="444"/>
                <w:tab w:val="left" w:pos="720"/>
              </w:tabs>
              <w:jc w:val="center"/>
              <w:rPr>
                <w:rFonts w:ascii="Times New Roman" w:hAnsi="Times New Roman" w:cs="Times New Roman"/>
                <w:color w:val="000000"/>
                <w:sz w:val="20"/>
                <w:szCs w:val="20"/>
                <w:highlight w:val="yellow"/>
                <w:lang w:val="en-US" w:eastAsia="de-DE"/>
              </w:rPr>
            </w:pPr>
          </w:p>
        </w:tc>
        <w:tc>
          <w:tcPr>
            <w:tcW w:w="5069" w:type="dxa"/>
          </w:tcPr>
          <w:p w:rsidR="0027580C" w:rsidRPr="00AD4813" w:rsidRDefault="0027580C" w:rsidP="00AD4813">
            <w:pPr>
              <w:widowControl w:val="0"/>
              <w:tabs>
                <w:tab w:val="left" w:pos="0"/>
                <w:tab w:val="left" w:pos="444"/>
                <w:tab w:val="left" w:pos="720"/>
              </w:tabs>
              <w:jc w:val="center"/>
              <w:rPr>
                <w:rFonts w:ascii="Times New Roman" w:hAnsi="Times New Roman" w:cs="Times New Roman"/>
                <w:color w:val="000000"/>
                <w:highlight w:val="yellow"/>
                <w:lang w:val="en-US" w:eastAsia="de-DE"/>
              </w:rPr>
            </w:pPr>
          </w:p>
        </w:tc>
        <w:tc>
          <w:tcPr>
            <w:tcW w:w="2175" w:type="dxa"/>
          </w:tcPr>
          <w:p w:rsidR="0027580C" w:rsidRPr="00AD4813" w:rsidRDefault="0027580C" w:rsidP="00604D2C">
            <w:pPr>
              <w:widowControl w:val="0"/>
              <w:tabs>
                <w:tab w:val="left" w:pos="0"/>
                <w:tab w:val="left" w:pos="444"/>
                <w:tab w:val="left" w:pos="720"/>
              </w:tabs>
              <w:jc w:val="center"/>
              <w:rPr>
                <w:rFonts w:ascii="Times New Roman" w:hAnsi="Times New Roman" w:cs="Times New Roman"/>
                <w:color w:val="000000"/>
                <w:highlight w:val="yellow"/>
                <w:lang w:val="en-US" w:eastAsia="de-DE"/>
              </w:rPr>
            </w:pPr>
          </w:p>
        </w:tc>
      </w:tr>
      <w:tr w:rsidR="00A57504" w:rsidRPr="002B69B0" w:rsidTr="00AD4813">
        <w:tc>
          <w:tcPr>
            <w:tcW w:w="2059" w:type="dxa"/>
          </w:tcPr>
          <w:p w:rsidR="00A57504" w:rsidRPr="004901BF" w:rsidRDefault="00A57504" w:rsidP="00AD4813">
            <w:pPr>
              <w:widowControl w:val="0"/>
              <w:tabs>
                <w:tab w:val="left" w:pos="0"/>
                <w:tab w:val="left" w:pos="444"/>
                <w:tab w:val="left" w:pos="720"/>
              </w:tabs>
              <w:jc w:val="center"/>
              <w:rPr>
                <w:rFonts w:ascii="Times New Roman" w:hAnsi="Times New Roman" w:cs="Times New Roman"/>
                <w:color w:val="000000"/>
                <w:sz w:val="20"/>
                <w:szCs w:val="20"/>
                <w:lang w:val="de-DE" w:eastAsia="de-DE"/>
              </w:rPr>
            </w:pPr>
            <w:r w:rsidRPr="004901BF">
              <w:rPr>
                <w:rFonts w:ascii="Times New Roman" w:hAnsi="Times New Roman" w:cs="Times New Roman"/>
                <w:i/>
                <w:color w:val="000000"/>
                <w:lang w:val="de-DE" w:eastAsia="de-DE"/>
              </w:rPr>
              <w:t>k</w:t>
            </w:r>
            <w:r w:rsidRPr="004901BF">
              <w:rPr>
                <w:rFonts w:ascii="Times New Roman" w:hAnsi="Times New Roman" w:cs="Times New Roman"/>
                <w:color w:val="000000"/>
                <w:lang w:val="de-DE" w:eastAsia="de-DE"/>
              </w:rPr>
              <w:t xml:space="preserve"> / </w:t>
            </w:r>
            <w:r>
              <w:rPr>
                <w:rFonts w:ascii="Times New Roman" w:hAnsi="Times New Roman" w:cs="Times New Roman"/>
                <w:color w:val="000000"/>
                <w:lang w:val="de-DE" w:eastAsia="de-DE"/>
              </w:rPr>
              <w:t>L</w:t>
            </w:r>
            <w:r w:rsidRPr="004901BF">
              <w:rPr>
                <w:rFonts w:ascii="Times New Roman" w:hAnsi="Times New Roman" w:cs="Times New Roman"/>
                <w:color w:val="000000"/>
                <w:lang w:val="de-DE" w:eastAsia="de-DE"/>
              </w:rPr>
              <w:t xml:space="preserve"> mol</w:t>
            </w:r>
            <w:r w:rsidRPr="004901BF">
              <w:rPr>
                <w:rFonts w:ascii="Times New Roman" w:hAnsi="Times New Roman" w:cs="Times New Roman"/>
                <w:color w:val="000000"/>
                <w:vertAlign w:val="superscript"/>
                <w:lang w:val="de-DE" w:eastAsia="de-DE"/>
              </w:rPr>
              <w:t>-1</w:t>
            </w:r>
            <w:r w:rsidRPr="004901BF">
              <w:rPr>
                <w:rFonts w:ascii="Times New Roman" w:hAnsi="Times New Roman" w:cs="Times New Roman"/>
                <w:color w:val="000000"/>
                <w:lang w:val="de-DE" w:eastAsia="de-DE"/>
              </w:rPr>
              <w:t xml:space="preserve"> s</w:t>
            </w:r>
            <w:r w:rsidRPr="004901BF">
              <w:rPr>
                <w:rFonts w:ascii="Times New Roman" w:hAnsi="Times New Roman" w:cs="Times New Roman"/>
                <w:color w:val="000000"/>
                <w:vertAlign w:val="superscript"/>
                <w:lang w:val="de-DE" w:eastAsia="de-DE"/>
              </w:rPr>
              <w:t>-1</w:t>
            </w:r>
          </w:p>
        </w:tc>
        <w:tc>
          <w:tcPr>
            <w:tcW w:w="5069" w:type="dxa"/>
          </w:tcPr>
          <w:p w:rsidR="00A57504" w:rsidRPr="00AD4813" w:rsidRDefault="00CD2FA0" w:rsidP="00527488">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1.58</w:t>
            </w:r>
            <w:r w:rsidR="00527488">
              <w:rPr>
                <w:rFonts w:ascii="Times New Roman" w:hAnsi="Times New Roman" w:cs="Times New Roman"/>
                <w:color w:val="000000"/>
                <w:lang w:val="en-US" w:eastAsia="de-DE"/>
              </w:rPr>
              <w:t xml:space="preserve"> </w:t>
            </w:r>
            <w:r w:rsidR="00AD4813">
              <w:rPr>
                <w:rFonts w:ascii="Times New Roman" w:hAnsi="Times New Roman" w:cs="Times New Roman"/>
                <w:color w:val="000000"/>
                <w:lang w:val="en-US" w:eastAsia="de-DE"/>
              </w:rPr>
              <w:t>× 10</w:t>
            </w:r>
            <w:r w:rsidR="00AD4813">
              <w:rPr>
                <w:rFonts w:ascii="Times New Roman" w:hAnsi="Times New Roman" w:cs="Times New Roman"/>
                <w:color w:val="000000"/>
                <w:vertAlign w:val="superscript"/>
                <w:lang w:val="en-US" w:eastAsia="de-DE"/>
              </w:rPr>
              <w:t>10</w:t>
            </w:r>
            <w:r w:rsidR="00AD4813">
              <w:rPr>
                <w:rFonts w:ascii="Times New Roman" w:hAnsi="Times New Roman" w:cs="Times New Roman"/>
                <w:color w:val="000000"/>
                <w:lang w:val="en-US" w:eastAsia="de-DE"/>
              </w:rPr>
              <w:t xml:space="preserve"> exp[-(</w:t>
            </w:r>
            <w:r>
              <w:rPr>
                <w:rFonts w:ascii="Times New Roman" w:hAnsi="Times New Roman" w:cs="Times New Roman"/>
                <w:color w:val="000000"/>
                <w:lang w:val="en-US" w:eastAsia="de-DE"/>
              </w:rPr>
              <w:t>520</w:t>
            </w:r>
            <w:r w:rsidR="00AD4813">
              <w:rPr>
                <w:rFonts w:ascii="Times New Roman" w:hAnsi="Times New Roman" w:cs="Times New Roman"/>
                <w:color w:val="000000"/>
                <w:lang w:val="en-US" w:eastAsia="de-DE"/>
              </w:rPr>
              <w:t>)/T]</w:t>
            </w:r>
          </w:p>
        </w:tc>
        <w:tc>
          <w:tcPr>
            <w:tcW w:w="2175" w:type="dxa"/>
          </w:tcPr>
          <w:p w:rsidR="00A57504" w:rsidRPr="00AD4813" w:rsidRDefault="00AD4813" w:rsidP="00AD4813">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288 - 328</w:t>
            </w:r>
          </w:p>
        </w:tc>
      </w:tr>
      <w:tr w:rsidR="00A57504" w:rsidRPr="002B69B0" w:rsidTr="00604D2C">
        <w:tc>
          <w:tcPr>
            <w:tcW w:w="2059" w:type="dxa"/>
          </w:tcPr>
          <w:p w:rsidR="00A57504" w:rsidRPr="002B69B0" w:rsidRDefault="00A57504" w:rsidP="00604D2C">
            <w:pPr>
              <w:widowControl w:val="0"/>
              <w:tabs>
                <w:tab w:val="left" w:pos="0"/>
                <w:tab w:val="left" w:pos="444"/>
                <w:tab w:val="left" w:pos="720"/>
              </w:tabs>
              <w:jc w:val="center"/>
              <w:rPr>
                <w:rFonts w:ascii="Times New Roman" w:hAnsi="Times New Roman" w:cs="Times New Roman"/>
                <w:color w:val="000000"/>
                <w:sz w:val="20"/>
                <w:szCs w:val="20"/>
                <w:highlight w:val="yellow"/>
                <w:lang w:val="en-US" w:eastAsia="de-DE"/>
              </w:rPr>
            </w:pPr>
          </w:p>
        </w:tc>
        <w:tc>
          <w:tcPr>
            <w:tcW w:w="5069" w:type="dxa"/>
          </w:tcPr>
          <w:p w:rsidR="00A57504" w:rsidRPr="00AD4813" w:rsidRDefault="00A57504" w:rsidP="00604D2C">
            <w:pPr>
              <w:widowControl w:val="0"/>
              <w:tabs>
                <w:tab w:val="left" w:pos="0"/>
                <w:tab w:val="left" w:pos="444"/>
                <w:tab w:val="left" w:pos="720"/>
              </w:tabs>
              <w:rPr>
                <w:rFonts w:ascii="Times New Roman" w:hAnsi="Times New Roman" w:cs="Times New Roman"/>
                <w:color w:val="000000"/>
                <w:highlight w:val="yellow"/>
                <w:lang w:val="en-US" w:eastAsia="de-DE"/>
              </w:rPr>
            </w:pPr>
          </w:p>
        </w:tc>
        <w:tc>
          <w:tcPr>
            <w:tcW w:w="2175" w:type="dxa"/>
          </w:tcPr>
          <w:p w:rsidR="00A57504" w:rsidRPr="00AD4813" w:rsidRDefault="00A57504" w:rsidP="00604D2C">
            <w:pPr>
              <w:widowControl w:val="0"/>
              <w:tabs>
                <w:tab w:val="left" w:pos="0"/>
                <w:tab w:val="left" w:pos="444"/>
                <w:tab w:val="left" w:pos="720"/>
              </w:tabs>
              <w:jc w:val="center"/>
              <w:rPr>
                <w:rFonts w:ascii="Times New Roman" w:hAnsi="Times New Roman" w:cs="Times New Roman"/>
                <w:color w:val="000000"/>
                <w:highlight w:val="yellow"/>
                <w:lang w:val="en-US" w:eastAsia="de-DE"/>
              </w:rPr>
            </w:pPr>
          </w:p>
        </w:tc>
      </w:tr>
    </w:tbl>
    <w:p w:rsidR="007F4C67" w:rsidRPr="00E01E39" w:rsidRDefault="007F4C67" w:rsidP="007F4C67">
      <w:pPr>
        <w:widowControl w:val="0"/>
        <w:tabs>
          <w:tab w:val="left" w:pos="0"/>
          <w:tab w:val="left" w:pos="444"/>
          <w:tab w:val="left" w:pos="720"/>
        </w:tabs>
        <w:jc w:val="both"/>
        <w:rPr>
          <w:rFonts w:ascii="Times New Roman" w:hAnsi="Times New Roman" w:cs="Times New Roman"/>
          <w:color w:val="000000"/>
          <w:szCs w:val="20"/>
          <w:highlight w:val="yellow"/>
          <w:lang w:val="en-US" w:eastAsia="de-DE"/>
        </w:rPr>
      </w:pPr>
    </w:p>
    <w:p w:rsidR="007F4C67" w:rsidRPr="002B69B0" w:rsidRDefault="007F4C67" w:rsidP="007F4C67">
      <w:pPr>
        <w:widowControl w:val="0"/>
        <w:tabs>
          <w:tab w:val="left" w:pos="0"/>
          <w:tab w:val="left" w:pos="444"/>
          <w:tab w:val="left" w:pos="720"/>
        </w:tabs>
        <w:jc w:val="both"/>
        <w:rPr>
          <w:rFonts w:ascii="Times New Roman" w:hAnsi="Times New Roman" w:cs="Times New Roman"/>
          <w:color w:val="000000"/>
          <w:sz w:val="20"/>
          <w:szCs w:val="20"/>
          <w:lang w:val="en-US" w:eastAsia="de-DE"/>
        </w:rPr>
      </w:pPr>
      <w:r w:rsidRPr="002B69B0">
        <w:rPr>
          <w:rFonts w:ascii="Times New Roman" w:hAnsi="Times New Roman" w:cs="Times New Roman"/>
          <w:i/>
          <w:color w:val="000000"/>
          <w:lang w:val="en-US" w:eastAsia="de-DE"/>
        </w:rPr>
        <w:t>Reliability</w:t>
      </w:r>
    </w:p>
    <w:tbl>
      <w:tblPr>
        <w:tblW w:w="93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5040"/>
        <w:gridCol w:w="2175"/>
      </w:tblGrid>
      <w:tr w:rsidR="007F4C67" w:rsidRPr="002B69B0" w:rsidTr="00604D2C">
        <w:tc>
          <w:tcPr>
            <w:tcW w:w="2088" w:type="dxa"/>
            <w:tcBorders>
              <w:top w:val="nil"/>
              <w:left w:val="nil"/>
              <w:bottom w:val="nil"/>
              <w:right w:val="nil"/>
            </w:tcBorders>
          </w:tcPr>
          <w:p w:rsidR="007F4C67" w:rsidRPr="002B69B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en-US" w:eastAsia="de-DE"/>
              </w:rPr>
            </w:pPr>
            <w:r w:rsidRPr="008F5A1A">
              <w:rPr>
                <w:rFonts w:ascii="Times New Roman" w:hAnsi="Times New Roman" w:cs="Times New Roman"/>
                <w:color w:val="000000"/>
                <w:lang w:val="de-DE" w:eastAsia="de-DE"/>
              </w:rPr>
              <w:t>Δ</w:t>
            </w:r>
            <w:r w:rsidRPr="002B69B0">
              <w:rPr>
                <w:rFonts w:ascii="Times New Roman" w:hAnsi="Times New Roman" w:cs="Times New Roman"/>
                <w:color w:val="000000"/>
                <w:lang w:val="en-US" w:eastAsia="de-DE"/>
              </w:rPr>
              <w:t xml:space="preserve"> log</w:t>
            </w:r>
            <w:r w:rsidRPr="002B69B0">
              <w:rPr>
                <w:rFonts w:ascii="Times New Roman" w:hAnsi="Times New Roman" w:cs="Times New Roman"/>
                <w:i/>
                <w:color w:val="000000"/>
                <w:lang w:val="en-US" w:eastAsia="de-DE"/>
              </w:rPr>
              <w:t xml:space="preserve"> k</w:t>
            </w:r>
          </w:p>
        </w:tc>
        <w:tc>
          <w:tcPr>
            <w:tcW w:w="5040" w:type="dxa"/>
            <w:tcBorders>
              <w:top w:val="nil"/>
              <w:left w:val="nil"/>
              <w:bottom w:val="nil"/>
              <w:right w:val="nil"/>
            </w:tcBorders>
          </w:tcPr>
          <w:p w:rsidR="007F4C67" w:rsidRPr="00AD4813" w:rsidRDefault="00AD4813" w:rsidP="00E30925">
            <w:pPr>
              <w:widowControl w:val="0"/>
              <w:tabs>
                <w:tab w:val="left" w:pos="0"/>
                <w:tab w:val="left" w:pos="444"/>
                <w:tab w:val="left" w:pos="720"/>
              </w:tabs>
              <w:rPr>
                <w:rFonts w:ascii="Times New Roman" w:hAnsi="Times New Roman" w:cs="Times New Roman"/>
                <w:color w:val="000000"/>
                <w:lang w:val="en-US" w:eastAsia="de-DE"/>
              </w:rPr>
            </w:pPr>
            <w:r>
              <w:rPr>
                <w:rFonts w:ascii="Times New Roman" w:hAnsi="Times New Roman" w:cs="Times New Roman"/>
                <w:color w:val="000000"/>
                <w:lang w:val="en-US" w:eastAsia="de-DE"/>
              </w:rPr>
              <w:t>±0.</w:t>
            </w:r>
            <w:r w:rsidR="00E30925">
              <w:rPr>
                <w:rFonts w:ascii="Times New Roman" w:hAnsi="Times New Roman" w:cs="Times New Roman"/>
                <w:color w:val="000000"/>
                <w:lang w:val="en-US" w:eastAsia="de-DE"/>
              </w:rPr>
              <w:t>09</w:t>
            </w:r>
          </w:p>
        </w:tc>
        <w:tc>
          <w:tcPr>
            <w:tcW w:w="2175" w:type="dxa"/>
            <w:tcBorders>
              <w:top w:val="nil"/>
              <w:left w:val="nil"/>
              <w:bottom w:val="nil"/>
              <w:right w:val="nil"/>
            </w:tcBorders>
          </w:tcPr>
          <w:p w:rsidR="007F4C67" w:rsidRPr="00AD4813" w:rsidRDefault="00AD4813" w:rsidP="00604D2C">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298</w:t>
            </w:r>
          </w:p>
        </w:tc>
      </w:tr>
      <w:tr w:rsidR="007F4C67" w:rsidRPr="002B69B0" w:rsidTr="00604D2C">
        <w:tc>
          <w:tcPr>
            <w:tcW w:w="2088" w:type="dxa"/>
            <w:tcBorders>
              <w:top w:val="nil"/>
              <w:left w:val="nil"/>
              <w:bottom w:val="nil"/>
              <w:right w:val="nil"/>
            </w:tcBorders>
          </w:tcPr>
          <w:p w:rsidR="007F4C67" w:rsidRPr="002B69B0" w:rsidRDefault="007F4C67" w:rsidP="00604D2C">
            <w:pPr>
              <w:widowControl w:val="0"/>
              <w:tabs>
                <w:tab w:val="left" w:pos="0"/>
                <w:tab w:val="left" w:pos="444"/>
                <w:tab w:val="left" w:pos="720"/>
              </w:tabs>
              <w:jc w:val="center"/>
              <w:rPr>
                <w:rFonts w:ascii="Times New Roman" w:hAnsi="Times New Roman" w:cs="Times New Roman"/>
                <w:color w:val="000000"/>
                <w:sz w:val="20"/>
                <w:szCs w:val="20"/>
                <w:lang w:val="en-US" w:eastAsia="de-DE"/>
              </w:rPr>
            </w:pPr>
            <w:r w:rsidRPr="008F5A1A">
              <w:rPr>
                <w:rFonts w:ascii="Times New Roman" w:hAnsi="Times New Roman" w:cs="Times New Roman"/>
                <w:color w:val="000000"/>
                <w:lang w:val="de-DE" w:eastAsia="de-DE"/>
              </w:rPr>
              <w:t>Δ</w:t>
            </w:r>
            <w:r w:rsidRPr="002B69B0">
              <w:rPr>
                <w:rFonts w:ascii="Times New Roman" w:hAnsi="Times New Roman" w:cs="Times New Roman"/>
                <w:color w:val="000000"/>
                <w:lang w:val="en-US" w:eastAsia="de-DE"/>
              </w:rPr>
              <w:t xml:space="preserve"> E</w:t>
            </w:r>
            <w:r w:rsidRPr="002B69B0">
              <w:rPr>
                <w:rFonts w:ascii="Times New Roman" w:hAnsi="Times New Roman" w:cs="Times New Roman"/>
                <w:color w:val="000000"/>
                <w:vertAlign w:val="subscript"/>
                <w:lang w:val="en-US" w:eastAsia="de-DE"/>
              </w:rPr>
              <w:t>A</w:t>
            </w:r>
            <w:r w:rsidRPr="002B69B0">
              <w:rPr>
                <w:rFonts w:ascii="Times New Roman" w:hAnsi="Times New Roman" w:cs="Times New Roman"/>
                <w:color w:val="000000"/>
                <w:lang w:val="en-US" w:eastAsia="de-DE"/>
              </w:rPr>
              <w:t>/R</w:t>
            </w:r>
          </w:p>
        </w:tc>
        <w:tc>
          <w:tcPr>
            <w:tcW w:w="5040" w:type="dxa"/>
            <w:tcBorders>
              <w:top w:val="nil"/>
              <w:left w:val="nil"/>
              <w:bottom w:val="nil"/>
              <w:right w:val="nil"/>
            </w:tcBorders>
          </w:tcPr>
          <w:p w:rsidR="007F4C67" w:rsidRPr="00AD4813" w:rsidRDefault="00AD4813" w:rsidP="00527488">
            <w:pPr>
              <w:widowControl w:val="0"/>
              <w:tabs>
                <w:tab w:val="left" w:pos="0"/>
                <w:tab w:val="left" w:pos="444"/>
                <w:tab w:val="left" w:pos="720"/>
              </w:tabs>
              <w:rPr>
                <w:rFonts w:ascii="Times New Roman" w:hAnsi="Times New Roman" w:cs="Times New Roman"/>
                <w:color w:val="000000"/>
                <w:lang w:val="en-US" w:eastAsia="de-DE"/>
              </w:rPr>
            </w:pPr>
            <w:r>
              <w:rPr>
                <w:rFonts w:ascii="Times New Roman" w:hAnsi="Times New Roman" w:cs="Times New Roman"/>
                <w:color w:val="000000"/>
                <w:lang w:val="en-US" w:eastAsia="de-DE"/>
              </w:rPr>
              <w:t>±</w:t>
            </w:r>
            <w:r w:rsidR="00CD2FA0">
              <w:rPr>
                <w:rFonts w:ascii="Times New Roman" w:hAnsi="Times New Roman" w:cs="Times New Roman"/>
                <w:color w:val="000000"/>
                <w:lang w:val="en-US" w:eastAsia="de-DE"/>
              </w:rPr>
              <w:t>80</w:t>
            </w:r>
          </w:p>
        </w:tc>
        <w:tc>
          <w:tcPr>
            <w:tcW w:w="2175" w:type="dxa"/>
            <w:tcBorders>
              <w:top w:val="nil"/>
              <w:left w:val="nil"/>
              <w:bottom w:val="nil"/>
              <w:right w:val="nil"/>
            </w:tcBorders>
          </w:tcPr>
          <w:p w:rsidR="007F4C67" w:rsidRPr="00AD4813" w:rsidRDefault="00AD4813" w:rsidP="00604D2C">
            <w:pPr>
              <w:widowControl w:val="0"/>
              <w:tabs>
                <w:tab w:val="left" w:pos="0"/>
                <w:tab w:val="left" w:pos="444"/>
                <w:tab w:val="left" w:pos="720"/>
              </w:tabs>
              <w:jc w:val="center"/>
              <w:rPr>
                <w:rFonts w:ascii="Times New Roman" w:hAnsi="Times New Roman" w:cs="Times New Roman"/>
                <w:color w:val="000000"/>
                <w:lang w:val="en-US" w:eastAsia="de-DE"/>
              </w:rPr>
            </w:pPr>
            <w:r>
              <w:rPr>
                <w:rFonts w:ascii="Times New Roman" w:hAnsi="Times New Roman" w:cs="Times New Roman"/>
                <w:color w:val="000000"/>
                <w:lang w:val="en-US" w:eastAsia="de-DE"/>
              </w:rPr>
              <w:t>288 - 328</w:t>
            </w:r>
          </w:p>
        </w:tc>
      </w:tr>
      <w:tr w:rsidR="002B69B0" w:rsidRPr="002B69B0" w:rsidTr="00604D2C">
        <w:tc>
          <w:tcPr>
            <w:tcW w:w="2088" w:type="dxa"/>
            <w:tcBorders>
              <w:top w:val="nil"/>
              <w:left w:val="nil"/>
              <w:bottom w:val="nil"/>
              <w:right w:val="nil"/>
            </w:tcBorders>
          </w:tcPr>
          <w:p w:rsidR="002B69B0" w:rsidRPr="008F5A1A" w:rsidRDefault="002B69B0" w:rsidP="00604D2C">
            <w:pPr>
              <w:widowControl w:val="0"/>
              <w:tabs>
                <w:tab w:val="left" w:pos="0"/>
                <w:tab w:val="left" w:pos="444"/>
                <w:tab w:val="left" w:pos="720"/>
              </w:tabs>
              <w:jc w:val="center"/>
              <w:rPr>
                <w:rFonts w:ascii="Times New Roman" w:hAnsi="Times New Roman" w:cs="Times New Roman"/>
                <w:color w:val="000000"/>
                <w:lang w:val="de-DE" w:eastAsia="de-DE"/>
              </w:rPr>
            </w:pPr>
          </w:p>
        </w:tc>
        <w:tc>
          <w:tcPr>
            <w:tcW w:w="5040" w:type="dxa"/>
            <w:tcBorders>
              <w:top w:val="nil"/>
              <w:left w:val="nil"/>
              <w:bottom w:val="nil"/>
              <w:right w:val="nil"/>
            </w:tcBorders>
          </w:tcPr>
          <w:p w:rsidR="002B69B0" w:rsidRPr="00AD4813" w:rsidRDefault="002B69B0" w:rsidP="00604D2C">
            <w:pPr>
              <w:widowControl w:val="0"/>
              <w:tabs>
                <w:tab w:val="left" w:pos="0"/>
                <w:tab w:val="left" w:pos="444"/>
                <w:tab w:val="left" w:pos="720"/>
              </w:tabs>
              <w:rPr>
                <w:rFonts w:ascii="Times New Roman" w:hAnsi="Times New Roman" w:cs="Times New Roman"/>
                <w:color w:val="000000"/>
                <w:lang w:val="en-US" w:eastAsia="de-DE"/>
              </w:rPr>
            </w:pPr>
          </w:p>
        </w:tc>
        <w:tc>
          <w:tcPr>
            <w:tcW w:w="2175" w:type="dxa"/>
            <w:tcBorders>
              <w:top w:val="nil"/>
              <w:left w:val="nil"/>
              <w:bottom w:val="nil"/>
              <w:right w:val="nil"/>
            </w:tcBorders>
          </w:tcPr>
          <w:p w:rsidR="002B69B0" w:rsidRPr="00AD4813" w:rsidRDefault="002B69B0" w:rsidP="00604D2C">
            <w:pPr>
              <w:widowControl w:val="0"/>
              <w:tabs>
                <w:tab w:val="left" w:pos="0"/>
                <w:tab w:val="left" w:pos="444"/>
                <w:tab w:val="left" w:pos="720"/>
              </w:tabs>
              <w:jc w:val="center"/>
              <w:rPr>
                <w:rFonts w:ascii="Times New Roman" w:hAnsi="Times New Roman" w:cs="Times New Roman"/>
                <w:color w:val="000000"/>
                <w:lang w:val="en-US" w:eastAsia="de-DE"/>
              </w:rPr>
            </w:pPr>
          </w:p>
        </w:tc>
      </w:tr>
    </w:tbl>
    <w:p w:rsidR="007F4C67" w:rsidRPr="00E01E39" w:rsidRDefault="007F4C67" w:rsidP="007F4C67">
      <w:pPr>
        <w:widowControl w:val="0"/>
        <w:tabs>
          <w:tab w:val="left" w:pos="0"/>
          <w:tab w:val="left" w:pos="444"/>
          <w:tab w:val="left" w:pos="720"/>
        </w:tabs>
        <w:jc w:val="both"/>
        <w:rPr>
          <w:rFonts w:ascii="Times New Roman" w:hAnsi="Times New Roman" w:cs="Times New Roman"/>
          <w:color w:val="000000"/>
          <w:szCs w:val="20"/>
          <w:lang w:val="en-US" w:eastAsia="de-DE"/>
        </w:rPr>
      </w:pPr>
    </w:p>
    <w:p w:rsidR="00AD4813" w:rsidRPr="00E01E39" w:rsidRDefault="00AD4813" w:rsidP="007F4C67">
      <w:pPr>
        <w:widowControl w:val="0"/>
        <w:tabs>
          <w:tab w:val="left" w:pos="0"/>
          <w:tab w:val="left" w:pos="444"/>
          <w:tab w:val="left" w:pos="720"/>
        </w:tabs>
        <w:jc w:val="both"/>
        <w:rPr>
          <w:rFonts w:ascii="Times New Roman" w:hAnsi="Times New Roman" w:cs="Times New Roman"/>
          <w:color w:val="000000"/>
          <w:szCs w:val="20"/>
          <w:lang w:val="en-US" w:eastAsia="de-DE"/>
        </w:rPr>
      </w:pPr>
    </w:p>
    <w:p w:rsidR="007F4C67" w:rsidRPr="00F16250" w:rsidRDefault="007F4C67" w:rsidP="007F4C67">
      <w:pPr>
        <w:widowControl w:val="0"/>
        <w:tabs>
          <w:tab w:val="left" w:pos="0"/>
          <w:tab w:val="left" w:pos="444"/>
          <w:tab w:val="left" w:pos="720"/>
        </w:tabs>
        <w:jc w:val="both"/>
        <w:rPr>
          <w:rFonts w:ascii="Times New Roman" w:hAnsi="Times New Roman" w:cs="Times New Roman"/>
          <w:color w:val="000000"/>
          <w:sz w:val="20"/>
          <w:szCs w:val="20"/>
          <w:lang w:val="en-US" w:eastAsia="de-DE"/>
        </w:rPr>
      </w:pPr>
      <w:r w:rsidRPr="00F16250">
        <w:rPr>
          <w:rFonts w:ascii="Times New Roman" w:hAnsi="Times New Roman" w:cs="Times New Roman"/>
          <w:i/>
          <w:color w:val="000000"/>
          <w:lang w:val="en-US" w:eastAsia="de-DE"/>
        </w:rPr>
        <w:t>Comments on Preferred Values</w:t>
      </w:r>
    </w:p>
    <w:p w:rsidR="00450818" w:rsidRDefault="00450818" w:rsidP="00404CD3">
      <w:pPr>
        <w:tabs>
          <w:tab w:val="left" w:pos="0"/>
          <w:tab w:val="left" w:pos="444"/>
          <w:tab w:val="left" w:pos="720"/>
        </w:tabs>
        <w:suppressAutoHyphens/>
        <w:spacing w:line="240" w:lineRule="atLeast"/>
        <w:rPr>
          <w:spacing w:val="-3"/>
          <w:lang w:val="en-US"/>
        </w:rPr>
      </w:pPr>
    </w:p>
    <w:p w:rsidR="00DB2748" w:rsidRPr="00857E58" w:rsidRDefault="00857E58" w:rsidP="00B71079">
      <w:pPr>
        <w:tabs>
          <w:tab w:val="left" w:pos="0"/>
          <w:tab w:val="left" w:pos="444"/>
          <w:tab w:val="left" w:pos="720"/>
        </w:tabs>
        <w:suppressAutoHyphens/>
        <w:spacing w:line="240" w:lineRule="atLeast"/>
        <w:jc w:val="both"/>
        <w:rPr>
          <w:rFonts w:ascii="Times New Roman" w:eastAsia="Symbol" w:hAnsi="Times New Roman" w:cs="Times New Roman"/>
          <w:color w:val="000000"/>
          <w:lang w:val="en-GB" w:eastAsia="de-DE"/>
        </w:rPr>
      </w:pPr>
      <w:r>
        <w:rPr>
          <w:rFonts w:ascii="Times New Roman" w:eastAsia="Symbol" w:hAnsi="Times New Roman" w:cs="Times New Roman"/>
          <w:color w:val="000000"/>
          <w:lang w:val="en-GB" w:eastAsia="de-DE"/>
        </w:rPr>
        <w:t xml:space="preserve">For the recommendation, the determinations by Acero et al. (2001), Gligorovski and Herrmann (2004) and Moise et al. (2005) have been used for the regression of the Arrhenius expression. The rate coefficient by Jürgens et al. (2007) is given as the mean value of two individual determinations. As the single determinations are not given in their work, the data could not be used for the evaluation and therefore has not been considered for the regression, even though the rate coefficient is in agreement with all other determinations within error limits. The estimated uncertainty is given as </w:t>
      </w:r>
      <w:r w:rsidRPr="008F5A1A">
        <w:rPr>
          <w:rFonts w:ascii="Times New Roman" w:hAnsi="Times New Roman" w:cs="Times New Roman"/>
          <w:color w:val="000000"/>
          <w:lang w:val="de-DE" w:eastAsia="de-DE"/>
        </w:rPr>
        <w:t>Δ</w:t>
      </w:r>
      <w:r w:rsidRPr="002B69B0">
        <w:rPr>
          <w:rFonts w:ascii="Times New Roman" w:hAnsi="Times New Roman" w:cs="Times New Roman"/>
          <w:color w:val="000000"/>
          <w:lang w:val="en-US" w:eastAsia="de-DE"/>
        </w:rPr>
        <w:t xml:space="preserve"> log</w:t>
      </w:r>
      <w:r w:rsidRPr="002B69B0">
        <w:rPr>
          <w:rFonts w:ascii="Times New Roman" w:hAnsi="Times New Roman" w:cs="Times New Roman"/>
          <w:i/>
          <w:color w:val="000000"/>
          <w:lang w:val="en-US" w:eastAsia="de-DE"/>
        </w:rPr>
        <w:t xml:space="preserve"> k</w:t>
      </w:r>
      <w:r>
        <w:rPr>
          <w:rFonts w:ascii="Times New Roman" w:hAnsi="Times New Roman" w:cs="Times New Roman"/>
          <w:color w:val="000000"/>
          <w:lang w:val="en-US" w:eastAsia="de-DE"/>
        </w:rPr>
        <w:t> = ±0.09 or ±20%.</w:t>
      </w:r>
    </w:p>
    <w:p w:rsidR="00AD4813" w:rsidRPr="00404CD3" w:rsidRDefault="00AD4813" w:rsidP="00404CD3">
      <w:pPr>
        <w:tabs>
          <w:tab w:val="left" w:pos="0"/>
          <w:tab w:val="left" w:pos="444"/>
          <w:tab w:val="left" w:pos="720"/>
        </w:tabs>
        <w:suppressAutoHyphens/>
        <w:spacing w:line="240" w:lineRule="atLeast"/>
        <w:rPr>
          <w:spacing w:val="-3"/>
          <w:sz w:val="22"/>
          <w:szCs w:val="22"/>
          <w:lang w:val="en-CA"/>
        </w:rPr>
      </w:pPr>
    </w:p>
    <w:p w:rsidR="00821651" w:rsidRPr="007C1BA6" w:rsidRDefault="00821651" w:rsidP="00821651">
      <w:pPr>
        <w:tabs>
          <w:tab w:val="left" w:pos="0"/>
          <w:tab w:val="left" w:pos="444"/>
          <w:tab w:val="left" w:pos="720"/>
        </w:tabs>
        <w:suppressAutoHyphens/>
        <w:spacing w:line="240" w:lineRule="atLeast"/>
        <w:jc w:val="center"/>
        <w:rPr>
          <w:spacing w:val="-3"/>
          <w:lang w:val="en-CA"/>
        </w:rPr>
      </w:pPr>
      <w:r w:rsidRPr="007C1BA6">
        <w:rPr>
          <w:b/>
          <w:spacing w:val="-3"/>
          <w:lang w:val="en-CA"/>
        </w:rPr>
        <w:t>References</w:t>
      </w:r>
    </w:p>
    <w:p w:rsidR="00217B9F" w:rsidRDefault="00217B9F" w:rsidP="007813B8">
      <w:pPr>
        <w:tabs>
          <w:tab w:val="left" w:pos="288"/>
          <w:tab w:val="left" w:pos="426"/>
          <w:tab w:val="left" w:pos="720"/>
        </w:tabs>
        <w:suppressAutoHyphens/>
        <w:ind w:left="420" w:hanging="420"/>
        <w:jc w:val="both"/>
        <w:rPr>
          <w:spacing w:val="-3"/>
          <w:lang w:val="en-US"/>
        </w:rPr>
      </w:pPr>
    </w:p>
    <w:p w:rsidR="00217B9F" w:rsidRDefault="00A57504" w:rsidP="00B71079">
      <w:pPr>
        <w:tabs>
          <w:tab w:val="left" w:pos="288"/>
          <w:tab w:val="left" w:pos="426"/>
          <w:tab w:val="left" w:pos="720"/>
        </w:tabs>
        <w:suppressAutoHyphens/>
        <w:jc w:val="both"/>
        <w:rPr>
          <w:spacing w:val="-3"/>
          <w:lang w:val="en-US"/>
        </w:rPr>
      </w:pPr>
      <w:r w:rsidRPr="00A57504">
        <w:rPr>
          <w:spacing w:val="-3"/>
          <w:lang w:val="en-US"/>
        </w:rPr>
        <w:t>Acero, J. L., Haderlein, S. B., Schmidt, T. C., Suter, M. J. F. and von Gunten, U.: Environ. Sci. Technol., 35(21), 4252-4259, 2001.</w:t>
      </w:r>
    </w:p>
    <w:p w:rsidR="00A57504" w:rsidRDefault="00A57504" w:rsidP="00B71079">
      <w:pPr>
        <w:tabs>
          <w:tab w:val="left" w:pos="288"/>
          <w:tab w:val="left" w:pos="426"/>
          <w:tab w:val="left" w:pos="720"/>
        </w:tabs>
        <w:suppressAutoHyphens/>
        <w:jc w:val="both"/>
        <w:rPr>
          <w:spacing w:val="-3"/>
          <w:lang w:val="en-US"/>
        </w:rPr>
      </w:pPr>
    </w:p>
    <w:p w:rsidR="00C25D81" w:rsidRDefault="00A57504" w:rsidP="00B71079">
      <w:pPr>
        <w:tabs>
          <w:tab w:val="left" w:pos="288"/>
          <w:tab w:val="left" w:pos="426"/>
          <w:tab w:val="left" w:pos="720"/>
        </w:tabs>
        <w:suppressAutoHyphens/>
        <w:jc w:val="both"/>
        <w:rPr>
          <w:spacing w:val="-3"/>
          <w:lang w:val="en-US"/>
        </w:rPr>
      </w:pPr>
      <w:r w:rsidRPr="00A57504">
        <w:rPr>
          <w:spacing w:val="-3"/>
          <w:lang w:val="en-US"/>
        </w:rPr>
        <w:t>Bader, H. and Hoigné, J.: Water Res., 15(4), 449-456, 1981.</w:t>
      </w:r>
    </w:p>
    <w:p w:rsidR="00A57504" w:rsidRDefault="00A57504" w:rsidP="00B71079">
      <w:pPr>
        <w:tabs>
          <w:tab w:val="left" w:pos="288"/>
          <w:tab w:val="left" w:pos="426"/>
          <w:tab w:val="left" w:pos="720"/>
        </w:tabs>
        <w:suppressAutoHyphens/>
        <w:jc w:val="both"/>
        <w:rPr>
          <w:spacing w:val="-3"/>
          <w:lang w:val="en-US"/>
        </w:rPr>
      </w:pPr>
    </w:p>
    <w:p w:rsidR="00F2353C" w:rsidRDefault="00A57504" w:rsidP="00B71079">
      <w:pPr>
        <w:tabs>
          <w:tab w:val="left" w:pos="288"/>
          <w:tab w:val="left" w:pos="426"/>
          <w:tab w:val="left" w:pos="720"/>
        </w:tabs>
        <w:suppressAutoHyphens/>
        <w:jc w:val="both"/>
        <w:rPr>
          <w:spacing w:val="-3"/>
          <w:lang w:val="en-US"/>
        </w:rPr>
      </w:pPr>
      <w:r w:rsidRPr="00A57504">
        <w:rPr>
          <w:spacing w:val="-3"/>
          <w:lang w:val="en-US"/>
        </w:rPr>
        <w:t>Buxton, G. V., Greenstock, C. L., Helman, W. P. and Ross, A. B.: J. Phys. Chem. Ref. Data, 12(2), 513 – 886, 1988.</w:t>
      </w:r>
    </w:p>
    <w:p w:rsidR="00857E58" w:rsidRDefault="00857E58" w:rsidP="00B71079">
      <w:pPr>
        <w:tabs>
          <w:tab w:val="left" w:pos="288"/>
          <w:tab w:val="left" w:pos="426"/>
          <w:tab w:val="left" w:pos="720"/>
        </w:tabs>
        <w:suppressAutoHyphens/>
        <w:jc w:val="both"/>
        <w:rPr>
          <w:spacing w:val="-3"/>
          <w:lang w:val="en-US"/>
        </w:rPr>
      </w:pPr>
    </w:p>
    <w:p w:rsidR="00014066" w:rsidRDefault="00A57504" w:rsidP="00B71079">
      <w:pPr>
        <w:autoSpaceDE w:val="0"/>
        <w:autoSpaceDN w:val="0"/>
        <w:adjustRightInd w:val="0"/>
        <w:rPr>
          <w:spacing w:val="-3"/>
          <w:lang w:val="en-US"/>
        </w:rPr>
      </w:pPr>
      <w:r w:rsidRPr="00A57504">
        <w:rPr>
          <w:spacing w:val="-3"/>
          <w:lang w:val="en-US"/>
        </w:rPr>
        <w:t>Chin, M., and Wine, P. H: J. Photochem. Photobiol., A, 69(1), 17-25, 1992.</w:t>
      </w:r>
    </w:p>
    <w:p w:rsidR="00A57504" w:rsidRDefault="00A57504" w:rsidP="00B71079">
      <w:pPr>
        <w:autoSpaceDE w:val="0"/>
        <w:autoSpaceDN w:val="0"/>
        <w:adjustRightInd w:val="0"/>
        <w:rPr>
          <w:spacing w:val="-3"/>
          <w:lang w:val="en-US"/>
        </w:rPr>
      </w:pPr>
    </w:p>
    <w:p w:rsidR="00921FA0" w:rsidRDefault="00A57504" w:rsidP="00B71079">
      <w:pPr>
        <w:autoSpaceDE w:val="0"/>
        <w:autoSpaceDN w:val="0"/>
        <w:adjustRightInd w:val="0"/>
        <w:rPr>
          <w:spacing w:val="-3"/>
          <w:lang w:val="en-US"/>
        </w:rPr>
      </w:pPr>
      <w:r w:rsidRPr="00A57504">
        <w:rPr>
          <w:spacing w:val="-3"/>
          <w:lang w:val="en-US"/>
        </w:rPr>
        <w:t>Doussin, J. F., and Monod, A.: Atmos. Chem. Phys., 13(23), 11625-11641, 2013.</w:t>
      </w:r>
    </w:p>
    <w:p w:rsidR="00A57504" w:rsidRDefault="00A57504" w:rsidP="00B71079">
      <w:pPr>
        <w:autoSpaceDE w:val="0"/>
        <w:autoSpaceDN w:val="0"/>
        <w:adjustRightInd w:val="0"/>
        <w:rPr>
          <w:spacing w:val="-3"/>
          <w:lang w:val="en-US"/>
        </w:rPr>
      </w:pPr>
    </w:p>
    <w:p w:rsidR="00452A31" w:rsidRDefault="00A57504" w:rsidP="00B71079">
      <w:pPr>
        <w:tabs>
          <w:tab w:val="left" w:pos="288"/>
          <w:tab w:val="left" w:pos="426"/>
          <w:tab w:val="left" w:pos="720"/>
        </w:tabs>
        <w:suppressAutoHyphens/>
        <w:jc w:val="both"/>
        <w:rPr>
          <w:spacing w:val="-3"/>
          <w:lang w:val="en-US"/>
        </w:rPr>
      </w:pPr>
      <w:r w:rsidRPr="00A57504">
        <w:rPr>
          <w:spacing w:val="-3"/>
          <w:lang w:val="en-US"/>
        </w:rPr>
        <w:t>Gligorovski, S. and Herrmann, H.: Phys. Chem. Chem. Phys., 6(16), 4118-4126, 2004.</w:t>
      </w:r>
    </w:p>
    <w:p w:rsidR="00A57504" w:rsidRDefault="00A57504" w:rsidP="00B71079">
      <w:pPr>
        <w:tabs>
          <w:tab w:val="left" w:pos="288"/>
          <w:tab w:val="left" w:pos="426"/>
          <w:tab w:val="left" w:pos="720"/>
        </w:tabs>
        <w:suppressAutoHyphens/>
        <w:jc w:val="both"/>
        <w:rPr>
          <w:spacing w:val="-3"/>
          <w:lang w:val="en-US"/>
        </w:rPr>
      </w:pPr>
    </w:p>
    <w:p w:rsidR="00452A31" w:rsidRDefault="00A57504" w:rsidP="00B71079">
      <w:pPr>
        <w:tabs>
          <w:tab w:val="left" w:pos="288"/>
          <w:tab w:val="left" w:pos="426"/>
          <w:tab w:val="left" w:pos="720"/>
        </w:tabs>
        <w:suppressAutoHyphens/>
        <w:jc w:val="both"/>
        <w:rPr>
          <w:spacing w:val="-3"/>
          <w:lang w:val="en-US"/>
        </w:rPr>
      </w:pPr>
      <w:r w:rsidRPr="00A57504">
        <w:rPr>
          <w:spacing w:val="-3"/>
          <w:lang w:val="en-US"/>
        </w:rPr>
        <w:t>Jürgens, M., Jacob, F., Ekici, P., Friess, A. and Parlar, H.: Atmos. Environ., 41(22), 4571-4584, 2007.</w:t>
      </w:r>
    </w:p>
    <w:p w:rsidR="00A57504" w:rsidRDefault="00A57504" w:rsidP="00B71079">
      <w:pPr>
        <w:tabs>
          <w:tab w:val="left" w:pos="288"/>
          <w:tab w:val="left" w:pos="426"/>
          <w:tab w:val="left" w:pos="720"/>
        </w:tabs>
        <w:suppressAutoHyphens/>
        <w:jc w:val="both"/>
        <w:rPr>
          <w:spacing w:val="-3"/>
          <w:lang w:val="en-US"/>
        </w:rPr>
      </w:pPr>
    </w:p>
    <w:p w:rsidR="00452A31" w:rsidRDefault="00A57504" w:rsidP="00B71079">
      <w:pPr>
        <w:tabs>
          <w:tab w:val="left" w:pos="288"/>
          <w:tab w:val="left" w:pos="426"/>
          <w:tab w:val="left" w:pos="720"/>
        </w:tabs>
        <w:suppressAutoHyphens/>
        <w:jc w:val="both"/>
        <w:rPr>
          <w:spacing w:val="-3"/>
          <w:lang w:val="en-US"/>
        </w:rPr>
      </w:pPr>
      <w:r w:rsidRPr="00A57504">
        <w:rPr>
          <w:spacing w:val="-3"/>
          <w:lang w:val="en-US"/>
        </w:rPr>
        <w:t>Moise, T., Rudich, Y., Rousse, D. and George, C.: Environ. Sci. Technol., 39(14), 5203-5208, 2005.</w:t>
      </w:r>
    </w:p>
    <w:p w:rsidR="00A57504" w:rsidRDefault="00A57504" w:rsidP="00B71079">
      <w:pPr>
        <w:tabs>
          <w:tab w:val="left" w:pos="288"/>
          <w:tab w:val="left" w:pos="426"/>
          <w:tab w:val="left" w:pos="720"/>
        </w:tabs>
        <w:suppressAutoHyphens/>
        <w:jc w:val="both"/>
        <w:rPr>
          <w:spacing w:val="-3"/>
          <w:lang w:val="en-US"/>
        </w:rPr>
      </w:pPr>
    </w:p>
    <w:p w:rsidR="00F209C1" w:rsidRDefault="00A57504" w:rsidP="00B71079">
      <w:pPr>
        <w:tabs>
          <w:tab w:val="left" w:pos="288"/>
          <w:tab w:val="left" w:pos="426"/>
          <w:tab w:val="left" w:pos="720"/>
        </w:tabs>
        <w:suppressAutoHyphens/>
        <w:jc w:val="both"/>
        <w:rPr>
          <w:spacing w:val="-3"/>
          <w:lang w:val="en-US"/>
        </w:rPr>
      </w:pPr>
      <w:r w:rsidRPr="00A57504">
        <w:rPr>
          <w:spacing w:val="-3"/>
          <w:lang w:val="en-US"/>
        </w:rPr>
        <w:t>Pocker, Y. and Dickerson, D. G.: J. Phys. Chem., 73(11), 4005-4012, 1969.</w:t>
      </w:r>
    </w:p>
    <w:p w:rsidR="00377A8B" w:rsidRDefault="00377A8B" w:rsidP="00452A31">
      <w:pPr>
        <w:tabs>
          <w:tab w:val="left" w:pos="288"/>
          <w:tab w:val="left" w:pos="426"/>
          <w:tab w:val="left" w:pos="720"/>
        </w:tabs>
        <w:suppressAutoHyphens/>
        <w:ind w:left="420" w:hanging="420"/>
        <w:jc w:val="both"/>
        <w:rPr>
          <w:spacing w:val="-3"/>
          <w:lang w:val="en-US"/>
        </w:rPr>
      </w:pPr>
    </w:p>
    <w:p w:rsidR="00452A31" w:rsidRDefault="00024B80" w:rsidP="00452A31">
      <w:pPr>
        <w:tabs>
          <w:tab w:val="left" w:pos="288"/>
          <w:tab w:val="left" w:pos="426"/>
          <w:tab w:val="left" w:pos="720"/>
        </w:tabs>
        <w:suppressAutoHyphens/>
        <w:ind w:left="420" w:hanging="420"/>
        <w:jc w:val="both"/>
        <w:rPr>
          <w:spacing w:val="-3"/>
          <w:lang w:val="en-US"/>
        </w:rPr>
      </w:pPr>
      <w:r>
        <w:rPr>
          <w:noProof/>
          <w:spacing w:val="-3"/>
          <w:lang w:val="en-US"/>
        </w:rPr>
        <w:drawing>
          <wp:inline distT="0" distB="0" distL="0" distR="0">
            <wp:extent cx="5762625" cy="4067175"/>
            <wp:effectExtent l="0" t="0" r="0" b="0"/>
            <wp:docPr id="1" name="Bild 1" descr="Isobutyraldehyd+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butyraldehyd+H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2625" cy="4067175"/>
                    </a:xfrm>
                    <a:prstGeom prst="rect">
                      <a:avLst/>
                    </a:prstGeom>
                    <a:noFill/>
                    <a:ln>
                      <a:noFill/>
                    </a:ln>
                  </pic:spPr>
                </pic:pic>
              </a:graphicData>
            </a:graphic>
          </wp:inline>
        </w:drawing>
      </w:r>
    </w:p>
    <w:p w:rsidR="00A12F50" w:rsidRPr="00AB48BD" w:rsidRDefault="00A12F50" w:rsidP="00A12F50">
      <w:pPr>
        <w:widowControl w:val="0"/>
        <w:tabs>
          <w:tab w:val="left" w:pos="0"/>
          <w:tab w:val="left" w:pos="444"/>
          <w:tab w:val="left" w:pos="720"/>
        </w:tabs>
        <w:jc w:val="both"/>
        <w:rPr>
          <w:rFonts w:ascii="Times New Roman" w:eastAsia="Symbol" w:hAnsi="Times New Roman" w:cs="Times New Roman"/>
          <w:color w:val="000000"/>
          <w:lang w:val="en-GB" w:eastAsia="de-DE"/>
        </w:rPr>
      </w:pPr>
      <w:r w:rsidRPr="00AB48BD">
        <w:rPr>
          <w:rFonts w:ascii="Times New Roman" w:eastAsia="Symbol" w:hAnsi="Times New Roman" w:cs="Times New Roman"/>
          <w:color w:val="000000"/>
          <w:lang w:val="en-GB" w:eastAsia="de-DE"/>
        </w:rPr>
        <w:t xml:space="preserve">T-dependent rate </w:t>
      </w:r>
      <w:r>
        <w:rPr>
          <w:rFonts w:ascii="Times New Roman" w:eastAsia="Symbol" w:hAnsi="Times New Roman" w:cs="Times New Roman"/>
          <w:color w:val="000000"/>
          <w:lang w:val="en-GB" w:eastAsia="de-DE"/>
        </w:rPr>
        <w:t>constants for the reaction of 2-methylp</w:t>
      </w:r>
      <w:r w:rsidRPr="00AB48BD">
        <w:rPr>
          <w:rFonts w:ascii="Times New Roman" w:eastAsia="Symbol" w:hAnsi="Times New Roman" w:cs="Times New Roman"/>
          <w:color w:val="000000"/>
          <w:lang w:val="en-GB" w:eastAsia="de-DE"/>
        </w:rPr>
        <w:t>ropan</w:t>
      </w:r>
      <w:r>
        <w:rPr>
          <w:rFonts w:ascii="Times New Roman" w:eastAsia="Symbol" w:hAnsi="Times New Roman" w:cs="Times New Roman"/>
          <w:color w:val="000000"/>
          <w:lang w:val="en-GB" w:eastAsia="de-DE"/>
        </w:rPr>
        <w:t>a</w:t>
      </w:r>
      <w:r w:rsidRPr="00AB48BD">
        <w:rPr>
          <w:rFonts w:ascii="Times New Roman" w:eastAsia="Symbol" w:hAnsi="Times New Roman" w:cs="Times New Roman"/>
          <w:color w:val="000000"/>
          <w:lang w:val="en-GB" w:eastAsia="de-DE"/>
        </w:rPr>
        <w:t xml:space="preserve">l with </w:t>
      </w:r>
      <w:r w:rsidR="00044AE1">
        <w:rPr>
          <w:rFonts w:ascii="Times New Roman" w:eastAsia="Symbol" w:hAnsi="Times New Roman" w:cs="Times New Roman"/>
          <w:color w:val="000000"/>
          <w:lang w:val="en-GB" w:eastAsia="de-DE"/>
        </w:rPr>
        <w:t>HO</w:t>
      </w:r>
      <w:r w:rsidRPr="00AB48BD">
        <w:rPr>
          <w:rFonts w:ascii="Times New Roman" w:eastAsia="Symbol" w:hAnsi="Times New Roman" w:cs="Times New Roman"/>
          <w:color w:val="000000"/>
          <w:lang w:val="en-GB" w:eastAsia="de-DE"/>
        </w:rPr>
        <w:t xml:space="preserve"> in aqueous solution. </w:t>
      </w:r>
      <w:r w:rsidR="00CD2FA0">
        <w:rPr>
          <w:rFonts w:ascii="Times New Roman" w:eastAsia="Symbol" w:hAnsi="Times New Roman" w:cs="Times New Roman"/>
          <w:color w:val="000000"/>
          <w:lang w:val="en-GB" w:eastAsia="de-DE"/>
        </w:rPr>
        <w:t>The r</w:t>
      </w:r>
      <w:r w:rsidR="002A73F6">
        <w:rPr>
          <w:rFonts w:ascii="Times New Roman" w:eastAsia="Symbol" w:hAnsi="Times New Roman" w:cs="Times New Roman"/>
          <w:color w:val="000000"/>
          <w:lang w:val="en-GB" w:eastAsia="de-DE"/>
        </w:rPr>
        <w:t xml:space="preserve">ate coefficient determined by Jürgens et al. (2007) have not been included in the </w:t>
      </w:r>
      <w:r w:rsidR="00E01E39">
        <w:rPr>
          <w:rFonts w:ascii="Times New Roman" w:eastAsia="Symbol" w:hAnsi="Times New Roman" w:cs="Times New Roman"/>
          <w:color w:val="000000"/>
          <w:lang w:val="en-GB" w:eastAsia="de-DE"/>
        </w:rPr>
        <w:t>regression</w:t>
      </w:r>
      <w:r w:rsidRPr="00AB48BD">
        <w:rPr>
          <w:rFonts w:ascii="Times New Roman" w:eastAsia="Symbol" w:hAnsi="Times New Roman" w:cs="Times New Roman"/>
          <w:color w:val="000000"/>
          <w:lang w:val="en-GB" w:eastAsia="de-DE"/>
        </w:rPr>
        <w:t>.</w:t>
      </w:r>
    </w:p>
    <w:p w:rsidR="00A12F50" w:rsidRPr="00A12788" w:rsidRDefault="00A12F50" w:rsidP="00452A31">
      <w:pPr>
        <w:tabs>
          <w:tab w:val="left" w:pos="288"/>
          <w:tab w:val="left" w:pos="426"/>
          <w:tab w:val="left" w:pos="720"/>
        </w:tabs>
        <w:suppressAutoHyphens/>
        <w:ind w:left="420" w:hanging="420"/>
        <w:jc w:val="both"/>
        <w:rPr>
          <w:spacing w:val="-3"/>
          <w:lang w:val="en-US"/>
        </w:rPr>
      </w:pPr>
    </w:p>
    <w:sectPr w:rsidR="00A12F50" w:rsidRPr="00A12788">
      <w:pgSz w:w="11907" w:h="16840" w:code="9"/>
      <w:pgMar w:top="964" w:right="1418" w:bottom="96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5"/>
    <w:lvl w:ilvl="0">
      <w:start w:val="1"/>
      <w:numFmt w:val="lowerLetter"/>
      <w:lvlText w:val="(%1)"/>
      <w:lvlJc w:val="left"/>
      <w:pPr>
        <w:tabs>
          <w:tab w:val="num" w:pos="0"/>
        </w:tabs>
        <w:ind w:left="360" w:hanging="360"/>
      </w:pPr>
      <w:rPr>
        <w:rFonts w:eastAsia="Symbol" w:cs="Symbol" w:hint="default"/>
        <w:spacing w:val="-2"/>
        <w:lang w:val="en-CA"/>
      </w:rPr>
    </w:lvl>
  </w:abstractNum>
  <w:abstractNum w:abstractNumId="1" w15:restartNumberingAfterBreak="0">
    <w:nsid w:val="1D810450"/>
    <w:multiLevelType w:val="singleLevel"/>
    <w:tmpl w:val="38F69570"/>
    <w:lvl w:ilvl="0">
      <w:start w:val="1"/>
      <w:numFmt w:val="lowerLetter"/>
      <w:lvlText w:val="(%1)"/>
      <w:lvlJc w:val="left"/>
      <w:pPr>
        <w:tabs>
          <w:tab w:val="num" w:pos="450"/>
        </w:tabs>
        <w:ind w:left="450" w:hanging="450"/>
      </w:pPr>
      <w:rPr>
        <w:rFonts w:hint="default"/>
      </w:rPr>
    </w:lvl>
  </w:abstractNum>
  <w:abstractNum w:abstractNumId="2" w15:restartNumberingAfterBreak="0">
    <w:nsid w:val="1E5D0349"/>
    <w:multiLevelType w:val="hybridMultilevel"/>
    <w:tmpl w:val="8EC47CD4"/>
    <w:lvl w:ilvl="0" w:tplc="00C293DA">
      <w:start w:val="1"/>
      <w:numFmt w:val="bullet"/>
      <w:lvlText w:val=""/>
      <w:lvlJc w:val="left"/>
      <w:pPr>
        <w:ind w:left="780" w:hanging="360"/>
      </w:pPr>
      <w:rPr>
        <w:rFonts w:ascii="Wingdings" w:eastAsia="Times New Roman" w:hAnsi="Wingdings" w:cs="Time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6D77BE"/>
    <w:multiLevelType w:val="hybridMultilevel"/>
    <w:tmpl w:val="DA2C769A"/>
    <w:lvl w:ilvl="0" w:tplc="E5F80E4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8F757B"/>
    <w:multiLevelType w:val="hybridMultilevel"/>
    <w:tmpl w:val="AED466DC"/>
    <w:lvl w:ilvl="0" w:tplc="3124AADE">
      <w:start w:val="13"/>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5" w15:restartNumberingAfterBreak="0">
    <w:nsid w:val="352D4D3C"/>
    <w:multiLevelType w:val="hybridMultilevel"/>
    <w:tmpl w:val="5AF4A246"/>
    <w:lvl w:ilvl="0" w:tplc="1C58B7A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9060E0"/>
    <w:multiLevelType w:val="hybridMultilevel"/>
    <w:tmpl w:val="B9BE44A4"/>
    <w:lvl w:ilvl="0" w:tplc="A9ACC78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7736BFA"/>
    <w:multiLevelType w:val="hybridMultilevel"/>
    <w:tmpl w:val="7F84760E"/>
    <w:lvl w:ilvl="0" w:tplc="C3504C6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897CA2"/>
    <w:multiLevelType w:val="hybridMultilevel"/>
    <w:tmpl w:val="C1FC7A20"/>
    <w:lvl w:ilvl="0" w:tplc="0D303092">
      <w:start w:val="1"/>
      <w:numFmt w:val="low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9" w15:restartNumberingAfterBreak="0">
    <w:nsid w:val="6A9D5445"/>
    <w:multiLevelType w:val="hybridMultilevel"/>
    <w:tmpl w:val="982431BC"/>
    <w:lvl w:ilvl="0" w:tplc="C87A970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5A46010"/>
    <w:multiLevelType w:val="hybridMultilevel"/>
    <w:tmpl w:val="BE241D18"/>
    <w:lvl w:ilvl="0" w:tplc="0120A3F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4"/>
  </w:num>
  <w:num w:numId="5">
    <w:abstractNumId w:val="0"/>
  </w:num>
  <w:num w:numId="6">
    <w:abstractNumId w:val="9"/>
  </w:num>
  <w:num w:numId="7">
    <w:abstractNumId w:val="6"/>
  </w:num>
  <w:num w:numId="8">
    <w:abstractNumId w:val="1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s>
  <w:rsids>
    <w:rsidRoot w:val="00EF005A"/>
    <w:rsid w:val="00003186"/>
    <w:rsid w:val="000039AC"/>
    <w:rsid w:val="000058F8"/>
    <w:rsid w:val="0000681C"/>
    <w:rsid w:val="000100DA"/>
    <w:rsid w:val="00014066"/>
    <w:rsid w:val="000142D0"/>
    <w:rsid w:val="000226C3"/>
    <w:rsid w:val="00024B80"/>
    <w:rsid w:val="00032D98"/>
    <w:rsid w:val="00037BE6"/>
    <w:rsid w:val="00040EB8"/>
    <w:rsid w:val="00044AE1"/>
    <w:rsid w:val="000522E5"/>
    <w:rsid w:val="00053A77"/>
    <w:rsid w:val="00053BFF"/>
    <w:rsid w:val="000623D4"/>
    <w:rsid w:val="00063311"/>
    <w:rsid w:val="00064D18"/>
    <w:rsid w:val="000702C3"/>
    <w:rsid w:val="00077A3A"/>
    <w:rsid w:val="00081DF2"/>
    <w:rsid w:val="000857CF"/>
    <w:rsid w:val="00090C16"/>
    <w:rsid w:val="000921DC"/>
    <w:rsid w:val="00095667"/>
    <w:rsid w:val="00097533"/>
    <w:rsid w:val="000977C2"/>
    <w:rsid w:val="000A162B"/>
    <w:rsid w:val="000A2FAF"/>
    <w:rsid w:val="000A50BC"/>
    <w:rsid w:val="000A71A1"/>
    <w:rsid w:val="000C3CAA"/>
    <w:rsid w:val="000C7F9F"/>
    <w:rsid w:val="000D16E7"/>
    <w:rsid w:val="000D37DF"/>
    <w:rsid w:val="000D65CF"/>
    <w:rsid w:val="000D78B2"/>
    <w:rsid w:val="000E03DB"/>
    <w:rsid w:val="000E3FE8"/>
    <w:rsid w:val="00101645"/>
    <w:rsid w:val="00106A74"/>
    <w:rsid w:val="00112844"/>
    <w:rsid w:val="00120EED"/>
    <w:rsid w:val="00121AC9"/>
    <w:rsid w:val="001318D0"/>
    <w:rsid w:val="00133FEA"/>
    <w:rsid w:val="00145C54"/>
    <w:rsid w:val="00152FD9"/>
    <w:rsid w:val="00153BFD"/>
    <w:rsid w:val="001574B6"/>
    <w:rsid w:val="00157A3A"/>
    <w:rsid w:val="001637C3"/>
    <w:rsid w:val="0018490C"/>
    <w:rsid w:val="00192FCA"/>
    <w:rsid w:val="00195B6D"/>
    <w:rsid w:val="00197003"/>
    <w:rsid w:val="001977C2"/>
    <w:rsid w:val="001A1912"/>
    <w:rsid w:val="001B27BC"/>
    <w:rsid w:val="001D6CBA"/>
    <w:rsid w:val="001E1C70"/>
    <w:rsid w:val="001E4685"/>
    <w:rsid w:val="001F4EB5"/>
    <w:rsid w:val="0020061C"/>
    <w:rsid w:val="0020275F"/>
    <w:rsid w:val="002103C5"/>
    <w:rsid w:val="0021113F"/>
    <w:rsid w:val="00213E99"/>
    <w:rsid w:val="00215F21"/>
    <w:rsid w:val="002162E9"/>
    <w:rsid w:val="00217B9F"/>
    <w:rsid w:val="00220181"/>
    <w:rsid w:val="00220DDF"/>
    <w:rsid w:val="00221A67"/>
    <w:rsid w:val="0022452F"/>
    <w:rsid w:val="00263497"/>
    <w:rsid w:val="00266D30"/>
    <w:rsid w:val="0027580C"/>
    <w:rsid w:val="002837BB"/>
    <w:rsid w:val="00284087"/>
    <w:rsid w:val="002862D6"/>
    <w:rsid w:val="002952DE"/>
    <w:rsid w:val="002979B8"/>
    <w:rsid w:val="002A1F8D"/>
    <w:rsid w:val="002A4717"/>
    <w:rsid w:val="002A73F6"/>
    <w:rsid w:val="002B10B1"/>
    <w:rsid w:val="002B127C"/>
    <w:rsid w:val="002B2004"/>
    <w:rsid w:val="002B23A6"/>
    <w:rsid w:val="002B6012"/>
    <w:rsid w:val="002B69B0"/>
    <w:rsid w:val="002C5E16"/>
    <w:rsid w:val="002C7E9C"/>
    <w:rsid w:val="002D191B"/>
    <w:rsid w:val="0030119A"/>
    <w:rsid w:val="003016BE"/>
    <w:rsid w:val="00303330"/>
    <w:rsid w:val="00304CDC"/>
    <w:rsid w:val="00320AD9"/>
    <w:rsid w:val="00325D6F"/>
    <w:rsid w:val="003263B4"/>
    <w:rsid w:val="00336897"/>
    <w:rsid w:val="003515B2"/>
    <w:rsid w:val="00352F06"/>
    <w:rsid w:val="0035529F"/>
    <w:rsid w:val="003570CC"/>
    <w:rsid w:val="003610F8"/>
    <w:rsid w:val="0036323E"/>
    <w:rsid w:val="00377A8B"/>
    <w:rsid w:val="00390D27"/>
    <w:rsid w:val="003A1252"/>
    <w:rsid w:val="003A2660"/>
    <w:rsid w:val="003A3A5A"/>
    <w:rsid w:val="003A5A2D"/>
    <w:rsid w:val="003A71F8"/>
    <w:rsid w:val="003B37E9"/>
    <w:rsid w:val="003B72AC"/>
    <w:rsid w:val="003D0949"/>
    <w:rsid w:val="003D1543"/>
    <w:rsid w:val="003F1CCB"/>
    <w:rsid w:val="003F37D0"/>
    <w:rsid w:val="003F7F26"/>
    <w:rsid w:val="004024CE"/>
    <w:rsid w:val="00402E8B"/>
    <w:rsid w:val="00404CD3"/>
    <w:rsid w:val="00405E8B"/>
    <w:rsid w:val="00410188"/>
    <w:rsid w:val="00410929"/>
    <w:rsid w:val="004117FE"/>
    <w:rsid w:val="004123DB"/>
    <w:rsid w:val="00420BAC"/>
    <w:rsid w:val="0042295A"/>
    <w:rsid w:val="00422D77"/>
    <w:rsid w:val="00443E37"/>
    <w:rsid w:val="004450AB"/>
    <w:rsid w:val="00447665"/>
    <w:rsid w:val="00450818"/>
    <w:rsid w:val="004513F5"/>
    <w:rsid w:val="00452A31"/>
    <w:rsid w:val="00455EA0"/>
    <w:rsid w:val="00484C52"/>
    <w:rsid w:val="00486CBB"/>
    <w:rsid w:val="004A407F"/>
    <w:rsid w:val="004A7BA6"/>
    <w:rsid w:val="004B3308"/>
    <w:rsid w:val="004C3213"/>
    <w:rsid w:val="004C4D3E"/>
    <w:rsid w:val="004C6446"/>
    <w:rsid w:val="004E7108"/>
    <w:rsid w:val="004F0504"/>
    <w:rsid w:val="004F7104"/>
    <w:rsid w:val="00501D48"/>
    <w:rsid w:val="00502F51"/>
    <w:rsid w:val="00505161"/>
    <w:rsid w:val="00505A10"/>
    <w:rsid w:val="00506140"/>
    <w:rsid w:val="00513019"/>
    <w:rsid w:val="00515086"/>
    <w:rsid w:val="00522F3B"/>
    <w:rsid w:val="0052608B"/>
    <w:rsid w:val="00527488"/>
    <w:rsid w:val="00541E4E"/>
    <w:rsid w:val="00541F5E"/>
    <w:rsid w:val="005424C6"/>
    <w:rsid w:val="00552206"/>
    <w:rsid w:val="00560013"/>
    <w:rsid w:val="00565A6E"/>
    <w:rsid w:val="00571A09"/>
    <w:rsid w:val="0057662D"/>
    <w:rsid w:val="005A08E2"/>
    <w:rsid w:val="005A22EA"/>
    <w:rsid w:val="005A3363"/>
    <w:rsid w:val="005A3C28"/>
    <w:rsid w:val="005A7488"/>
    <w:rsid w:val="005B3754"/>
    <w:rsid w:val="005B54D1"/>
    <w:rsid w:val="005B6EB1"/>
    <w:rsid w:val="005C3B60"/>
    <w:rsid w:val="005C5E6F"/>
    <w:rsid w:val="005D4CF6"/>
    <w:rsid w:val="005D731B"/>
    <w:rsid w:val="005E518D"/>
    <w:rsid w:val="00601BCA"/>
    <w:rsid w:val="00604D2C"/>
    <w:rsid w:val="00613C73"/>
    <w:rsid w:val="00615583"/>
    <w:rsid w:val="00634AE3"/>
    <w:rsid w:val="00636A12"/>
    <w:rsid w:val="0063704E"/>
    <w:rsid w:val="00652F32"/>
    <w:rsid w:val="00654098"/>
    <w:rsid w:val="00663250"/>
    <w:rsid w:val="00670889"/>
    <w:rsid w:val="00675054"/>
    <w:rsid w:val="00692339"/>
    <w:rsid w:val="006A1A56"/>
    <w:rsid w:val="006A2320"/>
    <w:rsid w:val="006A6692"/>
    <w:rsid w:val="006B1C76"/>
    <w:rsid w:val="006B2DDA"/>
    <w:rsid w:val="006D2807"/>
    <w:rsid w:val="006D5DBD"/>
    <w:rsid w:val="006D6759"/>
    <w:rsid w:val="006E1881"/>
    <w:rsid w:val="006E462D"/>
    <w:rsid w:val="006E564F"/>
    <w:rsid w:val="006F54A4"/>
    <w:rsid w:val="00700A63"/>
    <w:rsid w:val="007016FD"/>
    <w:rsid w:val="00701B76"/>
    <w:rsid w:val="00702C8F"/>
    <w:rsid w:val="00703732"/>
    <w:rsid w:val="007064B6"/>
    <w:rsid w:val="0070679F"/>
    <w:rsid w:val="00710305"/>
    <w:rsid w:val="00711701"/>
    <w:rsid w:val="0071369E"/>
    <w:rsid w:val="00721569"/>
    <w:rsid w:val="00721AC4"/>
    <w:rsid w:val="00732813"/>
    <w:rsid w:val="007440D3"/>
    <w:rsid w:val="007468AA"/>
    <w:rsid w:val="00751CEC"/>
    <w:rsid w:val="00762860"/>
    <w:rsid w:val="0077659B"/>
    <w:rsid w:val="00776BA1"/>
    <w:rsid w:val="00777324"/>
    <w:rsid w:val="0077768F"/>
    <w:rsid w:val="007813B8"/>
    <w:rsid w:val="00784793"/>
    <w:rsid w:val="00790A52"/>
    <w:rsid w:val="0079362F"/>
    <w:rsid w:val="00795528"/>
    <w:rsid w:val="007A2D7C"/>
    <w:rsid w:val="007A3298"/>
    <w:rsid w:val="007B0E88"/>
    <w:rsid w:val="007C0F73"/>
    <w:rsid w:val="007C1BA6"/>
    <w:rsid w:val="007C1E12"/>
    <w:rsid w:val="007C2FF4"/>
    <w:rsid w:val="007D32B8"/>
    <w:rsid w:val="007E5705"/>
    <w:rsid w:val="007E57D2"/>
    <w:rsid w:val="007E7B8E"/>
    <w:rsid w:val="007F017D"/>
    <w:rsid w:val="007F2089"/>
    <w:rsid w:val="007F2DF3"/>
    <w:rsid w:val="007F4C67"/>
    <w:rsid w:val="008061CF"/>
    <w:rsid w:val="00816FDF"/>
    <w:rsid w:val="00821651"/>
    <w:rsid w:val="00821E31"/>
    <w:rsid w:val="0082456F"/>
    <w:rsid w:val="00825044"/>
    <w:rsid w:val="008261BC"/>
    <w:rsid w:val="008344BF"/>
    <w:rsid w:val="0083653B"/>
    <w:rsid w:val="00842FAF"/>
    <w:rsid w:val="00853D83"/>
    <w:rsid w:val="008549FA"/>
    <w:rsid w:val="00855918"/>
    <w:rsid w:val="008559B0"/>
    <w:rsid w:val="00857E58"/>
    <w:rsid w:val="00860B72"/>
    <w:rsid w:val="0086602C"/>
    <w:rsid w:val="008727AD"/>
    <w:rsid w:val="00875CB1"/>
    <w:rsid w:val="0088073C"/>
    <w:rsid w:val="00880F4E"/>
    <w:rsid w:val="00881D55"/>
    <w:rsid w:val="00884D99"/>
    <w:rsid w:val="00887539"/>
    <w:rsid w:val="00891F90"/>
    <w:rsid w:val="00893259"/>
    <w:rsid w:val="008A320C"/>
    <w:rsid w:val="008A4EE3"/>
    <w:rsid w:val="008A733A"/>
    <w:rsid w:val="008C3846"/>
    <w:rsid w:val="008C4819"/>
    <w:rsid w:val="008C4A24"/>
    <w:rsid w:val="008D16B0"/>
    <w:rsid w:val="008D271F"/>
    <w:rsid w:val="008F0755"/>
    <w:rsid w:val="008F63FC"/>
    <w:rsid w:val="009019D2"/>
    <w:rsid w:val="009027B1"/>
    <w:rsid w:val="009044BD"/>
    <w:rsid w:val="00912975"/>
    <w:rsid w:val="00913834"/>
    <w:rsid w:val="00921793"/>
    <w:rsid w:val="00921FA0"/>
    <w:rsid w:val="00923C28"/>
    <w:rsid w:val="00931B9D"/>
    <w:rsid w:val="00932654"/>
    <w:rsid w:val="00934A6A"/>
    <w:rsid w:val="00942081"/>
    <w:rsid w:val="009475A7"/>
    <w:rsid w:val="00954AD9"/>
    <w:rsid w:val="00955D52"/>
    <w:rsid w:val="00962DA4"/>
    <w:rsid w:val="0097499A"/>
    <w:rsid w:val="00976D47"/>
    <w:rsid w:val="00977BF1"/>
    <w:rsid w:val="00987FA9"/>
    <w:rsid w:val="0099441C"/>
    <w:rsid w:val="00994D88"/>
    <w:rsid w:val="0099516E"/>
    <w:rsid w:val="009B21A3"/>
    <w:rsid w:val="009B4D4E"/>
    <w:rsid w:val="009C37A2"/>
    <w:rsid w:val="009C4BE5"/>
    <w:rsid w:val="009C785D"/>
    <w:rsid w:val="009C7A1E"/>
    <w:rsid w:val="009D2B8F"/>
    <w:rsid w:val="009D3390"/>
    <w:rsid w:val="009E2EEE"/>
    <w:rsid w:val="009E5505"/>
    <w:rsid w:val="009F18E0"/>
    <w:rsid w:val="009F405B"/>
    <w:rsid w:val="00A005C1"/>
    <w:rsid w:val="00A11587"/>
    <w:rsid w:val="00A12788"/>
    <w:rsid w:val="00A12F50"/>
    <w:rsid w:val="00A17123"/>
    <w:rsid w:val="00A23BD8"/>
    <w:rsid w:val="00A25342"/>
    <w:rsid w:val="00A27EE9"/>
    <w:rsid w:val="00A35C85"/>
    <w:rsid w:val="00A36C41"/>
    <w:rsid w:val="00A40DC9"/>
    <w:rsid w:val="00A47C2F"/>
    <w:rsid w:val="00A528B3"/>
    <w:rsid w:val="00A57504"/>
    <w:rsid w:val="00A57E5E"/>
    <w:rsid w:val="00A708D9"/>
    <w:rsid w:val="00A74455"/>
    <w:rsid w:val="00A7500E"/>
    <w:rsid w:val="00A80284"/>
    <w:rsid w:val="00A840F2"/>
    <w:rsid w:val="00A86F99"/>
    <w:rsid w:val="00A90959"/>
    <w:rsid w:val="00A91F89"/>
    <w:rsid w:val="00A969C4"/>
    <w:rsid w:val="00AB3143"/>
    <w:rsid w:val="00AD0E6A"/>
    <w:rsid w:val="00AD4544"/>
    <w:rsid w:val="00AD4813"/>
    <w:rsid w:val="00AF2E74"/>
    <w:rsid w:val="00AF43D2"/>
    <w:rsid w:val="00AF52EF"/>
    <w:rsid w:val="00B01FBD"/>
    <w:rsid w:val="00B12B55"/>
    <w:rsid w:val="00B20C78"/>
    <w:rsid w:val="00B228B1"/>
    <w:rsid w:val="00B307C0"/>
    <w:rsid w:val="00B3156D"/>
    <w:rsid w:val="00B35123"/>
    <w:rsid w:val="00B50520"/>
    <w:rsid w:val="00B52179"/>
    <w:rsid w:val="00B525A0"/>
    <w:rsid w:val="00B61525"/>
    <w:rsid w:val="00B71079"/>
    <w:rsid w:val="00B73CCE"/>
    <w:rsid w:val="00B847CB"/>
    <w:rsid w:val="00B84B46"/>
    <w:rsid w:val="00B85353"/>
    <w:rsid w:val="00B95A51"/>
    <w:rsid w:val="00BA1397"/>
    <w:rsid w:val="00BA2CAF"/>
    <w:rsid w:val="00BA71C5"/>
    <w:rsid w:val="00BB3581"/>
    <w:rsid w:val="00BB7807"/>
    <w:rsid w:val="00BB7992"/>
    <w:rsid w:val="00BC167C"/>
    <w:rsid w:val="00BD22BD"/>
    <w:rsid w:val="00BD2606"/>
    <w:rsid w:val="00BD451A"/>
    <w:rsid w:val="00BE50FB"/>
    <w:rsid w:val="00BF2B4D"/>
    <w:rsid w:val="00C00643"/>
    <w:rsid w:val="00C013BC"/>
    <w:rsid w:val="00C10304"/>
    <w:rsid w:val="00C11A68"/>
    <w:rsid w:val="00C17A31"/>
    <w:rsid w:val="00C22890"/>
    <w:rsid w:val="00C25093"/>
    <w:rsid w:val="00C25D81"/>
    <w:rsid w:val="00C50F67"/>
    <w:rsid w:val="00C5221A"/>
    <w:rsid w:val="00C568C5"/>
    <w:rsid w:val="00C57B22"/>
    <w:rsid w:val="00C60D61"/>
    <w:rsid w:val="00C61741"/>
    <w:rsid w:val="00C648E1"/>
    <w:rsid w:val="00C65AFD"/>
    <w:rsid w:val="00C67934"/>
    <w:rsid w:val="00C70E23"/>
    <w:rsid w:val="00C716CC"/>
    <w:rsid w:val="00C72D3C"/>
    <w:rsid w:val="00C75688"/>
    <w:rsid w:val="00C90E43"/>
    <w:rsid w:val="00C94795"/>
    <w:rsid w:val="00C94ED5"/>
    <w:rsid w:val="00CB0B81"/>
    <w:rsid w:val="00CD1F98"/>
    <w:rsid w:val="00CD27A8"/>
    <w:rsid w:val="00CD2FA0"/>
    <w:rsid w:val="00CE1090"/>
    <w:rsid w:val="00CE2122"/>
    <w:rsid w:val="00CE24B0"/>
    <w:rsid w:val="00D12D39"/>
    <w:rsid w:val="00D17C09"/>
    <w:rsid w:val="00D17F0E"/>
    <w:rsid w:val="00D20B56"/>
    <w:rsid w:val="00D2355F"/>
    <w:rsid w:val="00D249E0"/>
    <w:rsid w:val="00D25403"/>
    <w:rsid w:val="00D37F05"/>
    <w:rsid w:val="00D455A8"/>
    <w:rsid w:val="00D4710E"/>
    <w:rsid w:val="00D54A80"/>
    <w:rsid w:val="00D557B7"/>
    <w:rsid w:val="00D57222"/>
    <w:rsid w:val="00D57669"/>
    <w:rsid w:val="00D73025"/>
    <w:rsid w:val="00D76D1B"/>
    <w:rsid w:val="00D77C1D"/>
    <w:rsid w:val="00D91F7F"/>
    <w:rsid w:val="00D93016"/>
    <w:rsid w:val="00DA2E76"/>
    <w:rsid w:val="00DB2748"/>
    <w:rsid w:val="00DB4D9D"/>
    <w:rsid w:val="00DB53BB"/>
    <w:rsid w:val="00DB6F16"/>
    <w:rsid w:val="00DD1D44"/>
    <w:rsid w:val="00DD5CB6"/>
    <w:rsid w:val="00DE09D1"/>
    <w:rsid w:val="00DE439D"/>
    <w:rsid w:val="00DF64B2"/>
    <w:rsid w:val="00DF6645"/>
    <w:rsid w:val="00E00EDD"/>
    <w:rsid w:val="00E0131F"/>
    <w:rsid w:val="00E016CB"/>
    <w:rsid w:val="00E01E39"/>
    <w:rsid w:val="00E02483"/>
    <w:rsid w:val="00E16CA4"/>
    <w:rsid w:val="00E204AF"/>
    <w:rsid w:val="00E30925"/>
    <w:rsid w:val="00E40753"/>
    <w:rsid w:val="00E50B31"/>
    <w:rsid w:val="00E54FE8"/>
    <w:rsid w:val="00E55CFC"/>
    <w:rsid w:val="00E5686D"/>
    <w:rsid w:val="00E63EE2"/>
    <w:rsid w:val="00E75E9C"/>
    <w:rsid w:val="00E82DB1"/>
    <w:rsid w:val="00E913D0"/>
    <w:rsid w:val="00EA674C"/>
    <w:rsid w:val="00EC0F25"/>
    <w:rsid w:val="00EC593A"/>
    <w:rsid w:val="00EC61B0"/>
    <w:rsid w:val="00ED2B1A"/>
    <w:rsid w:val="00EE0A46"/>
    <w:rsid w:val="00EF005A"/>
    <w:rsid w:val="00EF080E"/>
    <w:rsid w:val="00EF196F"/>
    <w:rsid w:val="00F059A9"/>
    <w:rsid w:val="00F06A3D"/>
    <w:rsid w:val="00F06E5B"/>
    <w:rsid w:val="00F1021C"/>
    <w:rsid w:val="00F13C78"/>
    <w:rsid w:val="00F1682E"/>
    <w:rsid w:val="00F16B80"/>
    <w:rsid w:val="00F209C1"/>
    <w:rsid w:val="00F2273A"/>
    <w:rsid w:val="00F22DF5"/>
    <w:rsid w:val="00F2353C"/>
    <w:rsid w:val="00F249D1"/>
    <w:rsid w:val="00F264DD"/>
    <w:rsid w:val="00F35EF2"/>
    <w:rsid w:val="00F51B21"/>
    <w:rsid w:val="00F55117"/>
    <w:rsid w:val="00F62CD4"/>
    <w:rsid w:val="00F64725"/>
    <w:rsid w:val="00F726F5"/>
    <w:rsid w:val="00F727C1"/>
    <w:rsid w:val="00F74017"/>
    <w:rsid w:val="00F74858"/>
    <w:rsid w:val="00F90411"/>
    <w:rsid w:val="00FA0C8D"/>
    <w:rsid w:val="00FA1715"/>
    <w:rsid w:val="00FA41C3"/>
    <w:rsid w:val="00FA5201"/>
    <w:rsid w:val="00FA5651"/>
    <w:rsid w:val="00FB53C1"/>
    <w:rsid w:val="00FB64DA"/>
    <w:rsid w:val="00FC186E"/>
    <w:rsid w:val="00FC798E"/>
    <w:rsid w:val="00FD25E5"/>
    <w:rsid w:val="00FE321F"/>
    <w:rsid w:val="00FE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AFB4BB"/>
  <w15:chartTrackingRefBased/>
  <w15:docId w15:val="{53F0ABFD-78C1-4B19-929F-7D268E10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21DC"/>
    <w:rPr>
      <w:rFonts w:ascii="Times" w:hAnsi="Times" w:cs="Times"/>
      <w:sz w:val="24"/>
      <w:szCs w:val="24"/>
      <w:lang w:val="en-AU"/>
    </w:rPr>
  </w:style>
  <w:style w:type="paragraph" w:styleId="berschrift1">
    <w:name w:val="heading 1"/>
    <w:basedOn w:val="Standard"/>
    <w:next w:val="Standard"/>
    <w:qFormat/>
    <w:pPr>
      <w:keepNext/>
      <w:spacing w:before="240" w:after="60" w:line="480" w:lineRule="auto"/>
      <w:outlineLvl w:val="0"/>
    </w:pPr>
    <w:rPr>
      <w:b/>
      <w:kern w:val="28"/>
    </w:rPr>
  </w:style>
  <w:style w:type="paragraph" w:styleId="berschrift2">
    <w:name w:val="heading 2"/>
    <w:basedOn w:val="Standard"/>
    <w:next w:val="Standard"/>
    <w:qFormat/>
    <w:rsid w:val="000921DC"/>
    <w:pPr>
      <w:spacing w:before="240" w:after="60" w:line="480" w:lineRule="auto"/>
      <w:outlineLvl w:val="1"/>
    </w:pPr>
    <w:rPr>
      <w:rFonts w:ascii="Times New Roman" w:hAnsi="Times New Roman" w:cs="Times New Roman"/>
      <w:b/>
      <w:i/>
      <w:szCs w:val="20"/>
      <w:lang w:val="en-GB"/>
    </w:rPr>
  </w:style>
  <w:style w:type="paragraph" w:styleId="berschrift3">
    <w:name w:val="heading 3"/>
    <w:basedOn w:val="Standard"/>
    <w:next w:val="Standard"/>
    <w:qFormat/>
    <w:rsid w:val="000921DC"/>
    <w:pPr>
      <w:keepNext/>
      <w:spacing w:before="240" w:after="60"/>
      <w:outlineLvl w:val="2"/>
    </w:pPr>
    <w:rPr>
      <w:rFonts w:ascii="Arial" w:hAnsi="Arial"/>
      <w:b/>
      <w:sz w:val="26"/>
      <w:szCs w:val="26"/>
    </w:rPr>
  </w:style>
  <w:style w:type="paragraph" w:styleId="berschrift4">
    <w:name w:val="heading 4"/>
    <w:basedOn w:val="Standard"/>
    <w:next w:val="Standard"/>
    <w:qFormat/>
    <w:rsid w:val="000921DC"/>
    <w:pPr>
      <w:keepNext/>
      <w:spacing w:before="120" w:line="264" w:lineRule="auto"/>
      <w:outlineLvl w:val="3"/>
    </w:pPr>
    <w:rPr>
      <w:rFonts w:ascii="Times New Roman" w:hAnsi="Times New Roman" w:cs="Times New Roman"/>
      <w:i/>
      <w:sz w:val="20"/>
      <w:szCs w:val="20"/>
      <w:lang w:val="en-GB"/>
    </w:rPr>
  </w:style>
  <w:style w:type="paragraph" w:styleId="berschrift5">
    <w:name w:val="heading 5"/>
    <w:basedOn w:val="Standard"/>
    <w:next w:val="Standard"/>
    <w:qFormat/>
    <w:pPr>
      <w:keepNext/>
      <w:tabs>
        <w:tab w:val="left" w:pos="-1440"/>
        <w:tab w:val="left" w:pos="-720"/>
        <w:tab w:val="left" w:pos="444"/>
      </w:tabs>
      <w:jc w:val="both"/>
      <w:outlineLvl w:val="4"/>
    </w:pPr>
    <w:rPr>
      <w:i/>
    </w:rPr>
  </w:style>
  <w:style w:type="character" w:default="1" w:styleId="Absatz-Standardschriftart">
    <w:name w:val="Default Paragraph Font"/>
    <w:semiHidden/>
    <w:rsid w:val="000921DC"/>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0921DC"/>
  </w:style>
  <w:style w:type="paragraph" w:customStyle="1" w:styleId="Justified">
    <w:name w:val="Justified"/>
    <w:basedOn w:val="Standard"/>
    <w:pPr>
      <w:spacing w:after="100" w:line="360" w:lineRule="auto"/>
      <w:jc w:val="both"/>
    </w:pPr>
    <w:rPr>
      <w:lang w:val="en-US"/>
    </w:rPr>
  </w:style>
  <w:style w:type="paragraph" w:customStyle="1" w:styleId="table">
    <w:name w:val="table"/>
    <w:basedOn w:val="Verzeichnis1"/>
    <w:semiHidden/>
    <w:rsid w:val="000921DC"/>
    <w:pPr>
      <w:tabs>
        <w:tab w:val="left" w:pos="480"/>
        <w:tab w:val="left" w:pos="567"/>
        <w:tab w:val="left" w:pos="7938"/>
      </w:tabs>
    </w:pPr>
    <w:rPr>
      <w:rFonts w:ascii="Times New Roman" w:hAnsi="Times New Roman" w:cs="Times New Roman"/>
      <w:caps/>
      <w:noProof/>
      <w:sz w:val="20"/>
      <w:szCs w:val="20"/>
      <w:lang w:val="en-GB"/>
    </w:rPr>
  </w:style>
  <w:style w:type="paragraph" w:styleId="Textkrper-Zeileneinzug">
    <w:name w:val="Body Text Indent"/>
    <w:basedOn w:val="Standard"/>
    <w:pPr>
      <w:tabs>
        <w:tab w:val="left" w:pos="-1440"/>
        <w:tab w:val="left" w:pos="-720"/>
        <w:tab w:val="left" w:pos="444"/>
      </w:tabs>
      <w:ind w:firstLine="444"/>
      <w:jc w:val="both"/>
    </w:pPr>
  </w:style>
  <w:style w:type="paragraph" w:styleId="Verzeichnis1">
    <w:name w:val="toc 1"/>
    <w:basedOn w:val="Standard"/>
    <w:next w:val="Standard"/>
    <w:autoRedefine/>
    <w:semiHidden/>
    <w:rsid w:val="000921DC"/>
  </w:style>
  <w:style w:type="paragraph" w:styleId="Verzeichnis8">
    <w:name w:val="toc 8"/>
    <w:basedOn w:val="Standard"/>
    <w:next w:val="Standard"/>
    <w:semiHidden/>
    <w:pPr>
      <w:tabs>
        <w:tab w:val="right" w:leader="dot" w:pos="8618"/>
      </w:tabs>
      <w:ind w:left="1985" w:right="850"/>
      <w:jc w:val="center"/>
    </w:pPr>
    <w:rPr>
      <w:sz w:val="20"/>
    </w:rPr>
  </w:style>
  <w:style w:type="paragraph" w:customStyle="1" w:styleId="NewCenturySchl">
    <w:name w:val="New Century Schl"/>
    <w:basedOn w:val="Standard"/>
    <w:semiHidden/>
    <w:rsid w:val="000921DC"/>
    <w:pPr>
      <w:ind w:right="6"/>
      <w:jc w:val="center"/>
    </w:pPr>
    <w:rPr>
      <w:sz w:val="20"/>
      <w:szCs w:val="20"/>
    </w:rPr>
  </w:style>
  <w:style w:type="paragraph" w:styleId="Sprechblasentext">
    <w:name w:val="Balloon Text"/>
    <w:basedOn w:val="Standard"/>
    <w:semiHidden/>
    <w:rsid w:val="00EF005A"/>
    <w:rPr>
      <w:rFonts w:ascii="Tahoma" w:hAnsi="Tahoma" w:cs="Tahoma"/>
      <w:sz w:val="16"/>
      <w:szCs w:val="16"/>
    </w:rPr>
  </w:style>
  <w:style w:type="paragraph" w:styleId="Textkrper2">
    <w:name w:val="Body Text 2"/>
    <w:basedOn w:val="Standard"/>
    <w:pPr>
      <w:spacing w:after="120" w:line="480" w:lineRule="auto"/>
    </w:pPr>
  </w:style>
  <w:style w:type="paragraph" w:customStyle="1" w:styleId="IUPACtopparagraph">
    <w:name w:val="IUPAC top paragraph"/>
    <w:basedOn w:val="Standard"/>
    <w:autoRedefine/>
    <w:rsid w:val="000921DC"/>
    <w:pPr>
      <w:pBdr>
        <w:bottom w:val="single" w:sz="4" w:space="1" w:color="auto"/>
      </w:pBdr>
      <w:ind w:right="-7"/>
      <w:jc w:val="both"/>
    </w:pPr>
    <w:rPr>
      <w:rFonts w:ascii="Times New Roman" w:hAnsi="Times New Roman"/>
    </w:rPr>
  </w:style>
  <w:style w:type="character" w:styleId="Hyperlink">
    <w:name w:val="Hyperlink"/>
    <w:semiHidden/>
    <w:rsid w:val="000921DC"/>
    <w:rPr>
      <w:color w:val="0000FF"/>
      <w:u w:val="single"/>
    </w:rPr>
  </w:style>
  <w:style w:type="paragraph" w:styleId="Fuzeile">
    <w:name w:val="footer"/>
    <w:basedOn w:val="Standard"/>
    <w:semiHidden/>
    <w:rsid w:val="000921DC"/>
    <w:pPr>
      <w:tabs>
        <w:tab w:val="center" w:pos="4819"/>
        <w:tab w:val="right" w:pos="9071"/>
      </w:tabs>
    </w:pPr>
  </w:style>
  <w:style w:type="paragraph" w:customStyle="1" w:styleId="Reactions">
    <w:name w:val="Reactions"/>
    <w:semiHidden/>
    <w:rsid w:val="000921DC"/>
    <w:pPr>
      <w:tabs>
        <w:tab w:val="left" w:pos="1296"/>
        <w:tab w:val="left" w:pos="4320"/>
        <w:tab w:val="right" w:pos="8641"/>
      </w:tabs>
      <w:spacing w:before="72" w:after="72" w:line="336" w:lineRule="exact"/>
    </w:pPr>
    <w:rPr>
      <w:rFonts w:ascii="Times" w:hAnsi="Times"/>
      <w:sz w:val="24"/>
      <w:lang w:val="en-GB"/>
    </w:rPr>
  </w:style>
  <w:style w:type="paragraph" w:customStyle="1" w:styleId="IUPACheadline">
    <w:name w:val="IUPAC head line"/>
    <w:next w:val="Standard"/>
    <w:autoRedefine/>
    <w:rsid w:val="000921DC"/>
    <w:pPr>
      <w:spacing w:after="60"/>
    </w:pPr>
    <w:rPr>
      <w:rFonts w:cs="Times"/>
      <w:b/>
      <w:sz w:val="24"/>
      <w:szCs w:val="26"/>
      <w:lang w:val="en-AU"/>
    </w:rPr>
  </w:style>
  <w:style w:type="paragraph" w:customStyle="1" w:styleId="IUPACTitlereaction">
    <w:name w:val="IUPAC Title reaction"/>
    <w:next w:val="Standard"/>
    <w:autoRedefine/>
    <w:rsid w:val="00F726F5"/>
    <w:pPr>
      <w:spacing w:before="240" w:after="480"/>
      <w:jc w:val="center"/>
    </w:pPr>
    <w:rPr>
      <w:rFonts w:cs="Times"/>
      <w:b/>
      <w:sz w:val="24"/>
      <w:szCs w:val="24"/>
      <w:lang w:val="en-AU"/>
    </w:rPr>
  </w:style>
  <w:style w:type="paragraph" w:customStyle="1" w:styleId="IUPACTitle">
    <w:name w:val="IUPAC Title"/>
    <w:next w:val="Standard"/>
    <w:autoRedefine/>
    <w:rsid w:val="000921DC"/>
    <w:pPr>
      <w:keepNext/>
      <w:spacing w:before="240" w:after="120"/>
      <w:jc w:val="center"/>
    </w:pPr>
    <w:rPr>
      <w:rFonts w:cs="Times"/>
      <w:b/>
      <w:sz w:val="24"/>
      <w:szCs w:val="24"/>
      <w:lang w:val="en-AU"/>
    </w:rPr>
  </w:style>
  <w:style w:type="paragraph" w:customStyle="1" w:styleId="IUPACcommenttext">
    <w:name w:val="IUPAC comment text"/>
    <w:autoRedefine/>
    <w:rsid w:val="000921DC"/>
    <w:pPr>
      <w:spacing w:after="120"/>
      <w:ind w:left="425" w:hanging="425"/>
      <w:jc w:val="both"/>
    </w:pPr>
    <w:rPr>
      <w:rFonts w:cs="Times"/>
      <w:sz w:val="24"/>
      <w:szCs w:val="24"/>
      <w:lang w:val="en-AU"/>
    </w:rPr>
  </w:style>
  <w:style w:type="paragraph" w:customStyle="1" w:styleId="IUPACsubtitle">
    <w:name w:val="IUPAC subtitle"/>
    <w:rsid w:val="000921DC"/>
    <w:pPr>
      <w:keepNext/>
      <w:tabs>
        <w:tab w:val="left" w:pos="-1440"/>
        <w:tab w:val="left" w:pos="-720"/>
        <w:tab w:val="left" w:pos="444"/>
      </w:tabs>
      <w:spacing w:before="240" w:after="120"/>
      <w:jc w:val="both"/>
    </w:pPr>
    <w:rPr>
      <w:rFonts w:ascii="Times" w:hAnsi="Times" w:cs="Times"/>
      <w:i/>
      <w:sz w:val="24"/>
      <w:szCs w:val="24"/>
      <w:lang w:val="en-GB"/>
    </w:rPr>
  </w:style>
  <w:style w:type="paragraph" w:customStyle="1" w:styleId="IUPACreference">
    <w:name w:val="IUPAC reference"/>
    <w:autoRedefine/>
    <w:rsid w:val="000921DC"/>
    <w:pPr>
      <w:keepLines/>
      <w:spacing w:after="60"/>
      <w:ind w:left="142" w:hanging="142"/>
      <w:jc w:val="both"/>
    </w:pPr>
    <w:rPr>
      <w:rFonts w:cs="Times"/>
      <w:sz w:val="24"/>
      <w:lang w:val="en-AU"/>
    </w:rPr>
  </w:style>
  <w:style w:type="paragraph" w:customStyle="1" w:styleId="IUPACexpcommenttext">
    <w:name w:val="IUPAC exp comment text"/>
    <w:autoRedefine/>
    <w:rsid w:val="000921DC"/>
    <w:pPr>
      <w:spacing w:after="120"/>
      <w:ind w:left="425" w:hanging="425"/>
      <w:jc w:val="both"/>
    </w:pPr>
    <w:rPr>
      <w:rFonts w:cs="Times"/>
      <w:sz w:val="24"/>
      <w:szCs w:val="24"/>
      <w:lang w:val="en-AU"/>
    </w:rPr>
  </w:style>
  <w:style w:type="paragraph" w:customStyle="1" w:styleId="IUPACpreferredcommentstext">
    <w:name w:val="IUPAC preferred comments text"/>
    <w:basedOn w:val="Standard"/>
    <w:autoRedefine/>
    <w:rsid w:val="000921DC"/>
    <w:pPr>
      <w:spacing w:after="120"/>
      <w:jc w:val="both"/>
    </w:pPr>
    <w:rPr>
      <w:rFonts w:ascii="Times New Roman" w:hAnsi="Times New Roman" w:cs="Times New Roman"/>
    </w:rPr>
  </w:style>
  <w:style w:type="character" w:styleId="BesuchterHyperlink">
    <w:name w:val="BesuchterHyperlink"/>
    <w:rsid w:val="00EF196F"/>
    <w:rPr>
      <w:color w:val="606420"/>
      <w:u w:val="single"/>
    </w:rPr>
  </w:style>
  <w:style w:type="table" w:styleId="Tabellenraster">
    <w:name w:val="Table Grid"/>
    <w:basedOn w:val="NormaleTabelle"/>
    <w:rsid w:val="003D1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
    <w:name w:val="italic"/>
    <w:rsid w:val="00220181"/>
  </w:style>
  <w:style w:type="character" w:styleId="Fett">
    <w:name w:val="Strong"/>
    <w:uiPriority w:val="22"/>
    <w:qFormat/>
    <w:rsid w:val="00220181"/>
    <w:rPr>
      <w:b/>
      <w:bCs/>
    </w:rPr>
  </w:style>
  <w:style w:type="paragraph" w:customStyle="1" w:styleId="headertext">
    <w:name w:val="header_text"/>
    <w:basedOn w:val="Standard"/>
    <w:rsid w:val="00220181"/>
    <w:pPr>
      <w:spacing w:before="100" w:beforeAutospacing="1" w:after="100" w:afterAutospacing="1"/>
    </w:pPr>
    <w:rPr>
      <w:rFonts w:ascii="Times New Roman" w:hAnsi="Times New Roman" w:cs="Times New Roman"/>
      <w:lang w:val="en-CA" w:eastAsia="en-CA"/>
    </w:rPr>
  </w:style>
  <w:style w:type="character" w:customStyle="1" w:styleId="bold">
    <w:name w:val="bold"/>
    <w:rsid w:val="00220181"/>
  </w:style>
  <w:style w:type="character" w:styleId="Kommentarzeichen">
    <w:name w:val="annotation reference"/>
    <w:rsid w:val="00711701"/>
    <w:rPr>
      <w:sz w:val="16"/>
      <w:szCs w:val="16"/>
    </w:rPr>
  </w:style>
  <w:style w:type="paragraph" w:styleId="Kommentartext">
    <w:name w:val="annotation text"/>
    <w:basedOn w:val="Standard"/>
    <w:link w:val="KommentartextZchn"/>
    <w:rsid w:val="00711701"/>
    <w:rPr>
      <w:sz w:val="20"/>
      <w:szCs w:val="20"/>
    </w:rPr>
  </w:style>
  <w:style w:type="character" w:customStyle="1" w:styleId="KommentartextZchn">
    <w:name w:val="Kommentartext Zchn"/>
    <w:link w:val="Kommentartext"/>
    <w:rsid w:val="00711701"/>
    <w:rPr>
      <w:rFonts w:ascii="Times" w:hAnsi="Times" w:cs="Times"/>
      <w:lang w:val="en-AU" w:eastAsia="en-US"/>
    </w:rPr>
  </w:style>
  <w:style w:type="paragraph" w:styleId="Kommentarthema">
    <w:name w:val="annotation subject"/>
    <w:basedOn w:val="Kommentartext"/>
    <w:next w:val="Kommentartext"/>
    <w:link w:val="KommentarthemaZchn"/>
    <w:rsid w:val="00711701"/>
    <w:rPr>
      <w:b/>
      <w:bCs/>
    </w:rPr>
  </w:style>
  <w:style w:type="character" w:customStyle="1" w:styleId="KommentarthemaZchn">
    <w:name w:val="Kommentarthema Zchn"/>
    <w:link w:val="Kommentarthema"/>
    <w:rsid w:val="00711701"/>
    <w:rPr>
      <w:rFonts w:ascii="Times" w:hAnsi="Times" w:cs="Times"/>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9645">
      <w:bodyDiv w:val="1"/>
      <w:marLeft w:val="0"/>
      <w:marRight w:val="0"/>
      <w:marTop w:val="0"/>
      <w:marBottom w:val="0"/>
      <w:divBdr>
        <w:top w:val="none" w:sz="0" w:space="0" w:color="auto"/>
        <w:left w:val="none" w:sz="0" w:space="0" w:color="auto"/>
        <w:bottom w:val="none" w:sz="0" w:space="0" w:color="auto"/>
        <w:right w:val="none" w:sz="0" w:space="0" w:color="auto"/>
      </w:divBdr>
    </w:div>
    <w:div w:id="204606123">
      <w:bodyDiv w:val="1"/>
      <w:marLeft w:val="0"/>
      <w:marRight w:val="0"/>
      <w:marTop w:val="0"/>
      <w:marBottom w:val="0"/>
      <w:divBdr>
        <w:top w:val="none" w:sz="0" w:space="0" w:color="auto"/>
        <w:left w:val="none" w:sz="0" w:space="0" w:color="auto"/>
        <w:bottom w:val="none" w:sz="0" w:space="0" w:color="auto"/>
        <w:right w:val="none" w:sz="0" w:space="0" w:color="auto"/>
      </w:divBdr>
    </w:div>
    <w:div w:id="285504387">
      <w:bodyDiv w:val="1"/>
      <w:marLeft w:val="0"/>
      <w:marRight w:val="0"/>
      <w:marTop w:val="0"/>
      <w:marBottom w:val="0"/>
      <w:divBdr>
        <w:top w:val="none" w:sz="0" w:space="0" w:color="auto"/>
        <w:left w:val="none" w:sz="0" w:space="0" w:color="auto"/>
        <w:bottom w:val="none" w:sz="0" w:space="0" w:color="auto"/>
        <w:right w:val="none" w:sz="0" w:space="0" w:color="auto"/>
      </w:divBdr>
    </w:div>
    <w:div w:id="304160370">
      <w:bodyDiv w:val="1"/>
      <w:marLeft w:val="0"/>
      <w:marRight w:val="0"/>
      <w:marTop w:val="0"/>
      <w:marBottom w:val="0"/>
      <w:divBdr>
        <w:top w:val="none" w:sz="0" w:space="0" w:color="auto"/>
        <w:left w:val="none" w:sz="0" w:space="0" w:color="auto"/>
        <w:bottom w:val="none" w:sz="0" w:space="0" w:color="auto"/>
        <w:right w:val="none" w:sz="0" w:space="0" w:color="auto"/>
      </w:divBdr>
      <w:divsChild>
        <w:div w:id="1740861728">
          <w:marLeft w:val="0"/>
          <w:marRight w:val="0"/>
          <w:marTop w:val="0"/>
          <w:marBottom w:val="0"/>
          <w:divBdr>
            <w:top w:val="none" w:sz="0" w:space="0" w:color="auto"/>
            <w:left w:val="none" w:sz="0" w:space="0" w:color="auto"/>
            <w:bottom w:val="none" w:sz="0" w:space="0" w:color="auto"/>
            <w:right w:val="none" w:sz="0" w:space="0" w:color="auto"/>
          </w:divBdr>
        </w:div>
      </w:divsChild>
    </w:div>
    <w:div w:id="887257460">
      <w:bodyDiv w:val="1"/>
      <w:marLeft w:val="0"/>
      <w:marRight w:val="0"/>
      <w:marTop w:val="0"/>
      <w:marBottom w:val="0"/>
      <w:divBdr>
        <w:top w:val="none" w:sz="0" w:space="0" w:color="auto"/>
        <w:left w:val="none" w:sz="0" w:space="0" w:color="auto"/>
        <w:bottom w:val="none" w:sz="0" w:space="0" w:color="auto"/>
        <w:right w:val="none" w:sz="0" w:space="0" w:color="auto"/>
      </w:divBdr>
    </w:div>
    <w:div w:id="1693875822">
      <w:bodyDiv w:val="1"/>
      <w:marLeft w:val="0"/>
      <w:marRight w:val="0"/>
      <w:marTop w:val="0"/>
      <w:marBottom w:val="0"/>
      <w:divBdr>
        <w:top w:val="none" w:sz="0" w:space="0" w:color="auto"/>
        <w:left w:val="none" w:sz="0" w:space="0" w:color="auto"/>
        <w:bottom w:val="none" w:sz="0" w:space="0" w:color="auto"/>
        <w:right w:val="none" w:sz="0" w:space="0" w:color="auto"/>
      </w:divBdr>
      <w:divsChild>
        <w:div w:id="1807047349">
          <w:marLeft w:val="0"/>
          <w:marRight w:val="0"/>
          <w:marTop w:val="0"/>
          <w:marBottom w:val="0"/>
          <w:divBdr>
            <w:top w:val="none" w:sz="0" w:space="0" w:color="auto"/>
            <w:left w:val="none" w:sz="0" w:space="0" w:color="auto"/>
            <w:bottom w:val="none" w:sz="0" w:space="0" w:color="auto"/>
            <w:right w:val="none" w:sz="0" w:space="0" w:color="auto"/>
          </w:divBdr>
        </w:div>
      </w:divsChild>
    </w:div>
    <w:div w:id="1900898209">
      <w:bodyDiv w:val="1"/>
      <w:marLeft w:val="0"/>
      <w:marRight w:val="0"/>
      <w:marTop w:val="0"/>
      <w:marBottom w:val="0"/>
      <w:divBdr>
        <w:top w:val="none" w:sz="0" w:space="0" w:color="auto"/>
        <w:left w:val="none" w:sz="0" w:space="0" w:color="auto"/>
        <w:bottom w:val="none" w:sz="0" w:space="0" w:color="auto"/>
        <w:right w:val="none" w:sz="0" w:space="0" w:color="auto"/>
      </w:divBdr>
      <w:divsChild>
        <w:div w:id="581917235">
          <w:marLeft w:val="0"/>
          <w:marRight w:val="0"/>
          <w:marTop w:val="0"/>
          <w:marBottom w:val="0"/>
          <w:divBdr>
            <w:top w:val="none" w:sz="0" w:space="0" w:color="auto"/>
            <w:left w:val="none" w:sz="0" w:space="0" w:color="auto"/>
            <w:bottom w:val="none" w:sz="0" w:space="0" w:color="auto"/>
            <w:right w:val="none" w:sz="0" w:space="0" w:color="auto"/>
          </w:divBdr>
        </w:div>
      </w:divsChild>
    </w:div>
    <w:div w:id="1924874638">
      <w:bodyDiv w:val="1"/>
      <w:marLeft w:val="0"/>
      <w:marRight w:val="0"/>
      <w:marTop w:val="0"/>
      <w:marBottom w:val="0"/>
      <w:divBdr>
        <w:top w:val="none" w:sz="0" w:space="0" w:color="auto"/>
        <w:left w:val="none" w:sz="0" w:space="0" w:color="auto"/>
        <w:bottom w:val="none" w:sz="0" w:space="0" w:color="auto"/>
        <w:right w:val="none" w:sz="0" w:space="0" w:color="auto"/>
      </w:divBdr>
      <w:divsChild>
        <w:div w:id="438372349">
          <w:marLeft w:val="0"/>
          <w:marRight w:val="0"/>
          <w:marTop w:val="0"/>
          <w:marBottom w:val="0"/>
          <w:divBdr>
            <w:top w:val="none" w:sz="0" w:space="0" w:color="auto"/>
            <w:left w:val="none" w:sz="0" w:space="0" w:color="auto"/>
            <w:bottom w:val="none" w:sz="0" w:space="0" w:color="auto"/>
            <w:right w:val="none" w:sz="0" w:space="0" w:color="auto"/>
          </w:divBdr>
        </w:div>
      </w:divsChild>
    </w:div>
    <w:div w:id="1935823467">
      <w:bodyDiv w:val="1"/>
      <w:marLeft w:val="0"/>
      <w:marRight w:val="0"/>
      <w:marTop w:val="0"/>
      <w:marBottom w:val="0"/>
      <w:divBdr>
        <w:top w:val="none" w:sz="0" w:space="0" w:color="auto"/>
        <w:left w:val="none" w:sz="0" w:space="0" w:color="auto"/>
        <w:bottom w:val="none" w:sz="0" w:space="0" w:color="auto"/>
        <w:right w:val="none" w:sz="0" w:space="0" w:color="auto"/>
      </w:divBdr>
      <w:divsChild>
        <w:div w:id="155558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upac.pole-ether.f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VorlagenXP\IUPAC%20liquid%20templat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IUPAC liquid template.dot</Template>
  <TotalTime>0</TotalTime>
  <Pages>3</Pages>
  <Words>773</Words>
  <Characters>4408</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HONO  + mineral oxide (dust) surfaces</vt:lpstr>
      <vt:lpstr>HONO  + mineral oxide (dust) surfaces</vt:lpstr>
    </vt:vector>
  </TitlesOfParts>
  <Company>Paul Scherrer Institut</Company>
  <LinksUpToDate>false</LinksUpToDate>
  <CharactersWithSpaces>5171</CharactersWithSpaces>
  <SharedDoc>false</SharedDoc>
  <HLinks>
    <vt:vector size="6" baseType="variant">
      <vt:variant>
        <vt:i4>2949152</vt:i4>
      </vt:variant>
      <vt:variant>
        <vt:i4>0</vt:i4>
      </vt:variant>
      <vt:variant>
        <vt:i4>0</vt:i4>
      </vt:variant>
      <vt:variant>
        <vt:i4>5</vt:i4>
      </vt:variant>
      <vt:variant>
        <vt:lpwstr>http://iupac.pole-ether.fr/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  + mineral oxide (dust) surfaces</dc:title>
  <dc:subject/>
  <dc:creator>Markus Ammann</dc:creator>
  <cp:keywords/>
  <cp:lastModifiedBy>Daniel Kessler</cp:lastModifiedBy>
  <cp:revision>2</cp:revision>
  <cp:lastPrinted>2016-09-06T09:14:00Z</cp:lastPrinted>
  <dcterms:created xsi:type="dcterms:W3CDTF">2020-01-15T14:07:00Z</dcterms:created>
  <dcterms:modified xsi:type="dcterms:W3CDTF">2020-01-15T14:07:00Z</dcterms:modified>
</cp:coreProperties>
</file>