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12" w:rsidRDefault="00D25403" w:rsidP="00702C8F">
      <w:pPr>
        <w:pStyle w:val="IUPACheadline"/>
      </w:pPr>
      <w:r>
        <w:t xml:space="preserve">IUPAC </w:t>
      </w:r>
      <w:r w:rsidR="001A1912" w:rsidRPr="001A1912">
        <w:rPr>
          <w:bCs/>
        </w:rPr>
        <w:t>Task Group on Atmospheric Chemical Kinetic Data Evaluation</w:t>
      </w:r>
    </w:p>
    <w:p w:rsidR="00D25403" w:rsidRDefault="001A1912" w:rsidP="00702C8F">
      <w:pPr>
        <w:pStyle w:val="IUPACheadline"/>
      </w:pPr>
      <w:r>
        <w:t xml:space="preserve"> </w:t>
      </w:r>
      <w:r w:rsidR="00D25403">
        <w:t xml:space="preserve">– Data Sheet </w:t>
      </w:r>
      <w:r w:rsidR="00D340E2">
        <w:t>AQ_OH_47</w:t>
      </w:r>
    </w:p>
    <w:p w:rsidR="007F4C67" w:rsidRPr="007F4C67" w:rsidRDefault="008A4EE3" w:rsidP="007F4C67">
      <w:pPr>
        <w:pStyle w:val="IUPACtopparagraph"/>
      </w:pPr>
      <w:r w:rsidRPr="00702C8F">
        <w:t>Datasheets</w:t>
      </w:r>
      <w:r>
        <w:t xml:space="preserve"> can be downloaded for personal use only and must not be retransmitted or disseminated either electronically or in hardcopy without explicit written permission. </w:t>
      </w:r>
      <w:r>
        <w:br/>
      </w:r>
      <w:r w:rsidR="008543D3" w:rsidRPr="007F4C67">
        <w:t xml:space="preserve">The citation for this datasheet is: IUPAC Task Group on Atmospheric Chemical Kinetic Data Evaluation, </w:t>
      </w:r>
      <w:hyperlink r:id="rId5" w:history="1">
        <w:r w:rsidR="008543D3" w:rsidRPr="007F4C67">
          <w:rPr>
            <w:rStyle w:val="Hyperlink"/>
          </w:rPr>
          <w:t>http://iupac.pole-ether.fr</w:t>
        </w:r>
      </w:hyperlink>
      <w:r w:rsidR="008543D3" w:rsidRPr="007F4C67">
        <w:t>.</w:t>
      </w:r>
    </w:p>
    <w:p w:rsidR="00D340E2" w:rsidRPr="007F4C67" w:rsidRDefault="00D340E2" w:rsidP="00D340E2">
      <w:pPr>
        <w:pStyle w:val="IUPACtopparagraph"/>
      </w:pPr>
      <w:r w:rsidRPr="007F4C67">
        <w:t>This datasheet last evaluated:</w:t>
      </w:r>
      <w:r w:rsidR="00F64B32" w:rsidRPr="00F64B32">
        <w:t xml:space="preserve"> </w:t>
      </w:r>
      <w:r w:rsidR="001606AE">
        <w:t>November</w:t>
      </w:r>
      <w:r w:rsidR="00A93673">
        <w:t xml:space="preserve"> 2019</w:t>
      </w:r>
      <w:r w:rsidRPr="007F4C67">
        <w:t xml:space="preserve">; last change in preferred values: </w:t>
      </w:r>
      <w:r w:rsidR="00A93673">
        <w:t>June 2019</w:t>
      </w:r>
    </w:p>
    <w:p w:rsidR="00604D2C" w:rsidRDefault="00604D2C" w:rsidP="00604D2C">
      <w:pPr>
        <w:pStyle w:val="IUPACTitlereaction"/>
        <w:spacing w:before="0" w:after="0"/>
        <w:rPr>
          <w:rFonts w:cs="Times New Roman"/>
          <w:lang w:val="pt-BR"/>
        </w:rPr>
      </w:pPr>
    </w:p>
    <w:p w:rsidR="00F726F5" w:rsidRPr="00455EA0" w:rsidRDefault="00071A6F" w:rsidP="00455EA0">
      <w:pPr>
        <w:ind w:left="1440"/>
        <w:jc w:val="center"/>
        <w:rPr>
          <w:b/>
          <w:lang w:val="pt-BR"/>
        </w:rPr>
      </w:pPr>
      <w:r>
        <w:rPr>
          <w:b/>
          <w:lang w:val="pt-BR"/>
        </w:rPr>
        <w:t xml:space="preserve">HO </w:t>
      </w:r>
      <w:r w:rsidR="00F726F5" w:rsidRPr="00455EA0">
        <w:rPr>
          <w:b/>
          <w:lang w:val="pt-BR"/>
        </w:rPr>
        <w:t>(aq)</w:t>
      </w:r>
      <w:r w:rsidR="00692339" w:rsidRPr="00455EA0">
        <w:rPr>
          <w:b/>
          <w:lang w:val="pt-BR"/>
        </w:rPr>
        <w:t xml:space="preserve"> </w:t>
      </w:r>
      <w:r w:rsidR="00F726F5" w:rsidRPr="00455EA0">
        <w:rPr>
          <w:b/>
          <w:lang w:val="pt-BR"/>
        </w:rPr>
        <w:t>+</w:t>
      </w:r>
      <w:r w:rsidR="00692339" w:rsidRPr="00455EA0">
        <w:rPr>
          <w:b/>
          <w:lang w:val="pt-BR"/>
        </w:rPr>
        <w:t xml:space="preserve"> </w:t>
      </w:r>
      <w:r w:rsidR="00AD4544">
        <w:rPr>
          <w:b/>
          <w:lang w:val="pt-BR"/>
        </w:rPr>
        <w:t>H</w:t>
      </w:r>
      <w:r w:rsidR="00B60173">
        <w:rPr>
          <w:b/>
          <w:lang w:val="pt-BR"/>
        </w:rPr>
        <w:t>O</w:t>
      </w:r>
      <w:bookmarkStart w:id="0" w:name="_GoBack"/>
      <w:bookmarkEnd w:id="0"/>
      <w:r w:rsidR="007C1BA6" w:rsidRPr="00455EA0">
        <w:rPr>
          <w:b/>
          <w:lang w:val="pt-BR"/>
        </w:rPr>
        <w:t>(</w:t>
      </w:r>
      <w:r w:rsidR="00DD1D44" w:rsidRPr="00455EA0">
        <w:rPr>
          <w:b/>
          <w:lang w:val="pt-BR"/>
        </w:rPr>
        <w:t>CH</w:t>
      </w:r>
      <w:r w:rsidR="00DD1D44" w:rsidRPr="00455EA0">
        <w:rPr>
          <w:b/>
          <w:vertAlign w:val="subscript"/>
          <w:lang w:val="pt-BR"/>
        </w:rPr>
        <w:t>2</w:t>
      </w:r>
      <w:r w:rsidR="00DD1D44" w:rsidRPr="00455EA0">
        <w:rPr>
          <w:b/>
          <w:lang w:val="pt-BR"/>
        </w:rPr>
        <w:t>)</w:t>
      </w:r>
      <w:r w:rsidR="0084193A">
        <w:rPr>
          <w:b/>
          <w:vertAlign w:val="subscript"/>
          <w:lang w:val="pt-BR"/>
        </w:rPr>
        <w:t>5</w:t>
      </w:r>
      <w:r w:rsidR="00DD1D44" w:rsidRPr="00455EA0">
        <w:rPr>
          <w:b/>
          <w:lang w:val="pt-BR"/>
        </w:rPr>
        <w:t>OH</w:t>
      </w:r>
      <w:r w:rsidR="006A2320" w:rsidRPr="00455EA0">
        <w:rPr>
          <w:b/>
          <w:lang w:val="pt-BR"/>
        </w:rPr>
        <w:t>(</w:t>
      </w:r>
      <w:r w:rsidR="00F726F5" w:rsidRPr="00455EA0">
        <w:rPr>
          <w:b/>
          <w:lang w:val="pt-BR"/>
        </w:rPr>
        <w:t xml:space="preserve">aq) </w:t>
      </w:r>
      <w:r w:rsidR="00F726F5" w:rsidRPr="00455EA0">
        <w:rPr>
          <w:b/>
        </w:rPr>
        <w:sym w:font="Symbol" w:char="F0AE"/>
      </w:r>
      <w:r w:rsidR="00DD1D44" w:rsidRPr="00455EA0">
        <w:rPr>
          <w:b/>
          <w:lang w:val="pt-BR"/>
        </w:rPr>
        <w:t xml:space="preserve"> </w:t>
      </w:r>
      <w:r w:rsidR="0084193A" w:rsidRPr="0084193A">
        <w:rPr>
          <w:b/>
          <w:lang w:val="pt-BR"/>
        </w:rPr>
        <w:t>products</w:t>
      </w:r>
    </w:p>
    <w:p w:rsidR="00842FAF" w:rsidRDefault="00842FAF" w:rsidP="00842FAF">
      <w:pPr>
        <w:tabs>
          <w:tab w:val="left" w:pos="0"/>
          <w:tab w:val="left" w:pos="288"/>
          <w:tab w:val="left" w:pos="720"/>
        </w:tabs>
        <w:suppressAutoHyphens/>
        <w:spacing w:line="240" w:lineRule="atLeast"/>
        <w:jc w:val="both"/>
      </w:pPr>
    </w:p>
    <w:p w:rsidR="00F726F5" w:rsidRPr="00F726F5" w:rsidRDefault="00F726F5" w:rsidP="00F726F5">
      <w:pPr>
        <w:tabs>
          <w:tab w:val="center" w:pos="4680"/>
        </w:tabs>
        <w:suppressAutoHyphens/>
        <w:spacing w:line="240" w:lineRule="atLeast"/>
        <w:jc w:val="center"/>
        <w:rPr>
          <w:spacing w:val="-3"/>
          <w:lang w:val="en-US"/>
        </w:rPr>
      </w:pPr>
      <w:r>
        <w:rPr>
          <w:b/>
          <w:spacing w:val="-3"/>
          <w:lang w:val="en-US"/>
        </w:rPr>
        <w:t>Rate coefficient data</w:t>
      </w:r>
    </w:p>
    <w:p w:rsidR="00C648E1" w:rsidRDefault="00C648E1" w:rsidP="00C648E1">
      <w:pPr>
        <w:tabs>
          <w:tab w:val="left" w:pos="0"/>
          <w:tab w:val="left" w:pos="288"/>
          <w:tab w:val="left" w:pos="720"/>
        </w:tabs>
        <w:suppressAutoHyphens/>
        <w:spacing w:line="240" w:lineRule="atLeast"/>
        <w:jc w:val="both"/>
        <w:rPr>
          <w:spacing w:val="-3"/>
          <w:lang w:val="en-US"/>
        </w:rPr>
      </w:pPr>
    </w:p>
    <w:tbl>
      <w:tblPr>
        <w:tblW w:w="9303" w:type="dxa"/>
        <w:tblBorders>
          <w:top w:val="double" w:sz="4" w:space="0" w:color="auto"/>
          <w:bottom w:val="single" w:sz="4" w:space="0" w:color="auto"/>
          <w:insideH w:val="single" w:sz="4" w:space="0" w:color="auto"/>
        </w:tblBorders>
        <w:tblLayout w:type="fixed"/>
        <w:tblLook w:val="0000" w:firstRow="0" w:lastRow="0" w:firstColumn="0" w:lastColumn="0" w:noHBand="0" w:noVBand="0"/>
      </w:tblPr>
      <w:tblGrid>
        <w:gridCol w:w="2518"/>
        <w:gridCol w:w="992"/>
        <w:gridCol w:w="1134"/>
        <w:gridCol w:w="1276"/>
        <w:gridCol w:w="1701"/>
        <w:gridCol w:w="1667"/>
        <w:gridCol w:w="15"/>
      </w:tblGrid>
      <w:tr w:rsidR="00C648E1" w:rsidRPr="00D35830" w:rsidTr="00D35830">
        <w:tc>
          <w:tcPr>
            <w:tcW w:w="2518" w:type="dxa"/>
            <w:tcBorders>
              <w:top w:val="double" w:sz="4" w:space="0" w:color="auto"/>
              <w:right w:val="nil"/>
            </w:tcBorders>
            <w:vAlign w:val="center"/>
          </w:tcPr>
          <w:p w:rsidR="00C648E1" w:rsidRPr="00D35830" w:rsidRDefault="00C648E1" w:rsidP="00D12D39">
            <w:pPr>
              <w:suppressAutoHyphens/>
              <w:spacing w:before="120" w:after="120" w:line="264" w:lineRule="auto"/>
              <w:jc w:val="center"/>
              <w:rPr>
                <w:rFonts w:ascii="Times New Roman" w:hAnsi="Times New Roman" w:cs="Times New Roman"/>
                <w:spacing w:val="-2"/>
                <w:lang w:val="en-US"/>
              </w:rPr>
            </w:pPr>
            <w:r w:rsidRPr="00D35830">
              <w:rPr>
                <w:rFonts w:ascii="Times New Roman" w:hAnsi="Times New Roman" w:cs="Times New Roman"/>
                <w:spacing w:val="-2"/>
                <w:lang w:val="en-US"/>
              </w:rPr>
              <w:t xml:space="preserve">k/ </w:t>
            </w:r>
            <w:r w:rsidR="00D12D39" w:rsidRPr="00D35830">
              <w:rPr>
                <w:rFonts w:ascii="Times New Roman" w:hAnsi="Times New Roman" w:cs="Times New Roman"/>
                <w:spacing w:val="-2"/>
                <w:lang w:val="en-US"/>
              </w:rPr>
              <w:t>L</w:t>
            </w:r>
            <w:r w:rsidRPr="00D35830">
              <w:rPr>
                <w:rFonts w:ascii="Times New Roman" w:hAnsi="Times New Roman" w:cs="Times New Roman"/>
                <w:spacing w:val="-2"/>
                <w:lang w:val="en-US"/>
              </w:rPr>
              <w:t xml:space="preserve"> mol</w:t>
            </w:r>
            <w:r w:rsidRPr="00D35830">
              <w:rPr>
                <w:rFonts w:ascii="Times New Roman" w:hAnsi="Times New Roman" w:cs="Times New Roman"/>
                <w:spacing w:val="-2"/>
                <w:vertAlign w:val="superscript"/>
                <w:lang w:val="en-US"/>
              </w:rPr>
              <w:t>-1</w:t>
            </w:r>
            <w:r w:rsidRPr="00D35830">
              <w:rPr>
                <w:rFonts w:ascii="Times New Roman" w:hAnsi="Times New Roman" w:cs="Times New Roman"/>
                <w:spacing w:val="-2"/>
                <w:lang w:val="en-US"/>
              </w:rPr>
              <w:t xml:space="preserve"> s</w:t>
            </w:r>
            <w:r w:rsidRPr="00D35830">
              <w:rPr>
                <w:rFonts w:ascii="Times New Roman" w:hAnsi="Times New Roman" w:cs="Times New Roman"/>
                <w:spacing w:val="-2"/>
                <w:vertAlign w:val="superscript"/>
                <w:lang w:val="en-US"/>
              </w:rPr>
              <w:t>-1</w:t>
            </w:r>
          </w:p>
        </w:tc>
        <w:tc>
          <w:tcPr>
            <w:tcW w:w="992" w:type="dxa"/>
            <w:tcBorders>
              <w:top w:val="double" w:sz="4" w:space="0" w:color="auto"/>
              <w:left w:val="nil"/>
              <w:right w:val="nil"/>
            </w:tcBorders>
            <w:vAlign w:val="center"/>
          </w:tcPr>
          <w:p w:rsidR="00C648E1" w:rsidRPr="00D35830" w:rsidRDefault="00C648E1" w:rsidP="004E7108">
            <w:pPr>
              <w:suppressAutoHyphens/>
              <w:spacing w:before="120" w:after="120" w:line="264" w:lineRule="auto"/>
              <w:jc w:val="center"/>
              <w:rPr>
                <w:rFonts w:ascii="Times New Roman" w:hAnsi="Times New Roman" w:cs="Times New Roman"/>
                <w:spacing w:val="-2"/>
                <w:lang w:val="en-US"/>
              </w:rPr>
            </w:pPr>
            <w:r w:rsidRPr="00D35830">
              <w:rPr>
                <w:rFonts w:ascii="Times New Roman" w:hAnsi="Times New Roman" w:cs="Times New Roman"/>
                <w:iCs/>
                <w:spacing w:val="-2"/>
                <w:lang w:val="en-US"/>
              </w:rPr>
              <w:t>T</w:t>
            </w:r>
            <w:r w:rsidRPr="00D35830">
              <w:rPr>
                <w:rFonts w:ascii="Times New Roman" w:hAnsi="Times New Roman" w:cs="Times New Roman"/>
                <w:spacing w:val="-2"/>
                <w:lang w:val="en-US"/>
              </w:rPr>
              <w:t>/K</w:t>
            </w:r>
          </w:p>
        </w:tc>
        <w:tc>
          <w:tcPr>
            <w:tcW w:w="1134" w:type="dxa"/>
            <w:tcBorders>
              <w:top w:val="double" w:sz="4" w:space="0" w:color="auto"/>
              <w:left w:val="nil"/>
              <w:right w:val="nil"/>
            </w:tcBorders>
            <w:vAlign w:val="center"/>
          </w:tcPr>
          <w:p w:rsidR="00C648E1" w:rsidRPr="00D35830" w:rsidRDefault="00C648E1" w:rsidP="004E7108">
            <w:pPr>
              <w:tabs>
                <w:tab w:val="left" w:pos="0"/>
                <w:tab w:val="left" w:pos="288"/>
                <w:tab w:val="left" w:pos="720"/>
              </w:tabs>
              <w:suppressAutoHyphens/>
              <w:spacing w:line="240" w:lineRule="atLeast"/>
              <w:jc w:val="center"/>
              <w:rPr>
                <w:spacing w:val="-3"/>
                <w:lang w:val="en-US"/>
              </w:rPr>
            </w:pPr>
            <w:r w:rsidRPr="00D35830">
              <w:rPr>
                <w:spacing w:val="-3"/>
                <w:lang w:val="en-US"/>
              </w:rPr>
              <w:t>pH</w:t>
            </w:r>
          </w:p>
        </w:tc>
        <w:tc>
          <w:tcPr>
            <w:tcW w:w="1276" w:type="dxa"/>
            <w:tcBorders>
              <w:top w:val="double" w:sz="4" w:space="0" w:color="auto"/>
              <w:left w:val="nil"/>
              <w:right w:val="nil"/>
            </w:tcBorders>
            <w:vAlign w:val="center"/>
          </w:tcPr>
          <w:p w:rsidR="00C648E1" w:rsidRPr="00D35830" w:rsidRDefault="00C648E1" w:rsidP="004E7108">
            <w:pPr>
              <w:tabs>
                <w:tab w:val="left" w:pos="0"/>
                <w:tab w:val="left" w:pos="288"/>
                <w:tab w:val="left" w:pos="720"/>
              </w:tabs>
              <w:suppressAutoHyphens/>
              <w:spacing w:line="240" w:lineRule="atLeast"/>
              <w:jc w:val="center"/>
              <w:rPr>
                <w:spacing w:val="-3"/>
                <w:lang w:val="en-US"/>
              </w:rPr>
            </w:pPr>
            <w:r w:rsidRPr="00D35830">
              <w:rPr>
                <w:spacing w:val="-3"/>
                <w:lang w:val="en-US"/>
              </w:rPr>
              <w:t>I</w:t>
            </w:r>
            <w:r w:rsidRPr="00D35830">
              <w:rPr>
                <w:rFonts w:ascii="Times New Roman" w:hAnsi="Times New Roman" w:cs="Times New Roman"/>
                <w:spacing w:val="-2"/>
                <w:lang w:val="en-US"/>
              </w:rPr>
              <w:t>/</w:t>
            </w:r>
            <w:r w:rsidR="00F64725" w:rsidRPr="00D35830">
              <w:rPr>
                <w:rFonts w:ascii="Times New Roman" w:hAnsi="Times New Roman" w:cs="Times New Roman"/>
                <w:spacing w:val="-2"/>
                <w:lang w:val="en-US"/>
              </w:rPr>
              <w:t xml:space="preserve"> mol L</w:t>
            </w:r>
            <w:r w:rsidR="00F64725" w:rsidRPr="00D35830">
              <w:rPr>
                <w:rFonts w:ascii="Times New Roman" w:hAnsi="Times New Roman" w:cs="Times New Roman"/>
                <w:spacing w:val="-2"/>
                <w:vertAlign w:val="superscript"/>
                <w:lang w:val="en-US"/>
              </w:rPr>
              <w:t>-1</w:t>
            </w:r>
          </w:p>
        </w:tc>
        <w:tc>
          <w:tcPr>
            <w:tcW w:w="1701" w:type="dxa"/>
            <w:tcBorders>
              <w:top w:val="double" w:sz="4" w:space="0" w:color="auto"/>
              <w:left w:val="nil"/>
              <w:right w:val="nil"/>
            </w:tcBorders>
            <w:vAlign w:val="center"/>
          </w:tcPr>
          <w:p w:rsidR="00C648E1" w:rsidRPr="00D35830" w:rsidRDefault="00C648E1" w:rsidP="004E7108">
            <w:pPr>
              <w:pStyle w:val="berschrift2"/>
              <w:spacing w:before="120" w:after="120" w:line="240" w:lineRule="auto"/>
              <w:jc w:val="center"/>
              <w:rPr>
                <w:b w:val="0"/>
                <w:i w:val="0"/>
                <w:szCs w:val="24"/>
              </w:rPr>
            </w:pPr>
            <w:r w:rsidRPr="00D35830">
              <w:rPr>
                <w:b w:val="0"/>
                <w:i w:val="0"/>
                <w:szCs w:val="24"/>
              </w:rPr>
              <w:t>Reference</w:t>
            </w:r>
          </w:p>
        </w:tc>
        <w:tc>
          <w:tcPr>
            <w:tcW w:w="1682" w:type="dxa"/>
            <w:gridSpan w:val="2"/>
            <w:tcBorders>
              <w:top w:val="double" w:sz="4" w:space="0" w:color="auto"/>
              <w:left w:val="nil"/>
            </w:tcBorders>
            <w:vAlign w:val="center"/>
          </w:tcPr>
          <w:p w:rsidR="00C648E1" w:rsidRPr="00D35830" w:rsidRDefault="00C648E1" w:rsidP="004E7108">
            <w:pPr>
              <w:suppressAutoHyphens/>
              <w:spacing w:before="120" w:after="120" w:line="264" w:lineRule="auto"/>
              <w:jc w:val="center"/>
              <w:rPr>
                <w:rFonts w:ascii="Times New Roman" w:hAnsi="Times New Roman" w:cs="Times New Roman"/>
                <w:spacing w:val="-2"/>
                <w:lang w:val="en-US"/>
              </w:rPr>
            </w:pPr>
            <w:r w:rsidRPr="00D35830">
              <w:rPr>
                <w:rFonts w:ascii="Times New Roman" w:hAnsi="Times New Roman" w:cs="Times New Roman"/>
                <w:spacing w:val="-2"/>
                <w:lang w:val="en-US"/>
              </w:rPr>
              <w:t>Technique/ Comments</w:t>
            </w:r>
          </w:p>
        </w:tc>
      </w:tr>
      <w:tr w:rsidR="00C648E1" w:rsidTr="00F55117">
        <w:tc>
          <w:tcPr>
            <w:tcW w:w="9303" w:type="dxa"/>
            <w:gridSpan w:val="7"/>
            <w:vAlign w:val="center"/>
          </w:tcPr>
          <w:p w:rsidR="00C648E1" w:rsidRDefault="00DE09D1" w:rsidP="004E7108">
            <w:pPr>
              <w:suppressAutoHyphens/>
              <w:spacing w:before="120" w:line="264" w:lineRule="auto"/>
              <w:jc w:val="center"/>
              <w:rPr>
                <w:spacing w:val="-2"/>
                <w:lang w:val="en-US"/>
              </w:rPr>
            </w:pPr>
            <w:r>
              <w:rPr>
                <w:i/>
                <w:spacing w:val="-2"/>
                <w:lang w:val="en-US"/>
              </w:rPr>
              <w:t>Relative</w:t>
            </w:r>
            <w:r w:rsidR="00C648E1">
              <w:rPr>
                <w:i/>
                <w:spacing w:val="-2"/>
                <w:lang w:val="en-US"/>
              </w:rPr>
              <w:t xml:space="preserve"> Rate Coefficients</w:t>
            </w:r>
          </w:p>
        </w:tc>
      </w:tr>
      <w:tr w:rsidR="00E9357E" w:rsidTr="00D35830">
        <w:tblPrEx>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vAlign w:val="center"/>
          </w:tcPr>
          <w:p w:rsidR="00E9357E" w:rsidRDefault="00A93673" w:rsidP="001C13B4">
            <w:pPr>
              <w:suppressAutoHyphens/>
              <w:spacing w:after="120" w:line="263" w:lineRule="atLeast"/>
              <w:jc w:val="center"/>
              <w:rPr>
                <w:spacing w:val="-2"/>
                <w:lang w:val="en-US"/>
              </w:rPr>
            </w:pPr>
            <w:r>
              <w:rPr>
                <w:spacing w:val="-2"/>
                <w:lang w:val="en-US"/>
              </w:rPr>
              <w:t>3.6</w:t>
            </w:r>
            <w:r w:rsidR="001F5231" w:rsidRPr="00AB48BD">
              <w:rPr>
                <w:rFonts w:eastAsia="Symbol" w:cs="Symbol"/>
                <w:lang w:val="en-GB"/>
              </w:rPr>
              <w:t> </w:t>
            </w:r>
            <w:r w:rsidR="001F5231" w:rsidRPr="00AB48BD">
              <w:rPr>
                <w:rFonts w:ascii="Symbol" w:eastAsia="Symbol" w:hAnsi="Symbol" w:cs="Symbol"/>
                <w:spacing w:val="-3"/>
                <w:lang w:val="en-GB"/>
              </w:rPr>
              <w:t></w:t>
            </w:r>
            <w:r w:rsidR="001F5231" w:rsidRPr="00AB48BD">
              <w:rPr>
                <w:rFonts w:eastAsia="Symbol" w:cs="Symbol"/>
                <w:spacing w:val="-2"/>
                <w:lang w:val="en-GB"/>
              </w:rPr>
              <w:t> </w:t>
            </w:r>
            <w:r w:rsidR="00E9357E">
              <w:rPr>
                <w:spacing w:val="-2"/>
                <w:lang w:val="en-US"/>
              </w:rPr>
              <w:t>10</w:t>
            </w:r>
            <w:r w:rsidR="00E9357E" w:rsidRPr="002C5E16">
              <w:rPr>
                <w:spacing w:val="-2"/>
                <w:vertAlign w:val="superscript"/>
                <w:lang w:val="en-US"/>
              </w:rPr>
              <w:t>9</w:t>
            </w:r>
          </w:p>
        </w:tc>
        <w:tc>
          <w:tcPr>
            <w:tcW w:w="992" w:type="dxa"/>
            <w:tcBorders>
              <w:top w:val="single" w:sz="4" w:space="0" w:color="auto"/>
              <w:left w:val="nil"/>
              <w:bottom w:val="nil"/>
              <w:right w:val="nil"/>
            </w:tcBorders>
            <w:vAlign w:val="center"/>
          </w:tcPr>
          <w:p w:rsidR="00E9357E" w:rsidRDefault="00A93673" w:rsidP="001C13B4">
            <w:pPr>
              <w:suppressAutoHyphens/>
              <w:spacing w:after="120" w:line="263" w:lineRule="atLeast"/>
              <w:jc w:val="center"/>
              <w:rPr>
                <w:spacing w:val="-2"/>
                <w:lang w:val="en-US"/>
              </w:rPr>
            </w:pPr>
            <w:r>
              <w:rPr>
                <w:spacing w:val="-2"/>
                <w:lang w:val="en-US"/>
              </w:rPr>
              <w:t>294</w:t>
            </w:r>
          </w:p>
        </w:tc>
        <w:tc>
          <w:tcPr>
            <w:tcW w:w="1134" w:type="dxa"/>
            <w:tcBorders>
              <w:top w:val="single" w:sz="4" w:space="0" w:color="auto"/>
              <w:left w:val="nil"/>
              <w:bottom w:val="nil"/>
              <w:right w:val="nil"/>
            </w:tcBorders>
            <w:vAlign w:val="center"/>
          </w:tcPr>
          <w:p w:rsidR="00E9357E" w:rsidRDefault="00E9357E" w:rsidP="001C13B4">
            <w:pPr>
              <w:suppressAutoHyphens/>
              <w:spacing w:after="120" w:line="263" w:lineRule="atLeast"/>
              <w:jc w:val="center"/>
              <w:rPr>
                <w:spacing w:val="-2"/>
                <w:lang w:val="en-US"/>
              </w:rPr>
            </w:pPr>
            <w:r>
              <w:rPr>
                <w:spacing w:val="-2"/>
                <w:lang w:val="en-US"/>
              </w:rPr>
              <w:t>9</w:t>
            </w:r>
          </w:p>
        </w:tc>
        <w:tc>
          <w:tcPr>
            <w:tcW w:w="1276" w:type="dxa"/>
            <w:tcBorders>
              <w:top w:val="single" w:sz="4" w:space="0" w:color="auto"/>
              <w:left w:val="nil"/>
              <w:bottom w:val="nil"/>
              <w:right w:val="nil"/>
            </w:tcBorders>
            <w:vAlign w:val="center"/>
          </w:tcPr>
          <w:p w:rsidR="00E9357E" w:rsidRDefault="00071A6F" w:rsidP="001C13B4">
            <w:pPr>
              <w:suppressAutoHyphens/>
              <w:spacing w:after="120" w:line="263" w:lineRule="atLeast"/>
              <w:jc w:val="center"/>
              <w:rPr>
                <w:spacing w:val="-2"/>
                <w:lang w:val="en-US"/>
              </w:rPr>
            </w:pPr>
            <w:r>
              <w:rPr>
                <w:spacing w:val="-2"/>
                <w:lang w:val="en-US"/>
              </w:rPr>
              <w:t>-</w:t>
            </w:r>
          </w:p>
        </w:tc>
        <w:tc>
          <w:tcPr>
            <w:tcW w:w="1701" w:type="dxa"/>
            <w:tcBorders>
              <w:top w:val="single" w:sz="4" w:space="0" w:color="auto"/>
              <w:left w:val="nil"/>
              <w:bottom w:val="nil"/>
              <w:right w:val="nil"/>
            </w:tcBorders>
            <w:vAlign w:val="center"/>
          </w:tcPr>
          <w:p w:rsidR="00E9357E" w:rsidRDefault="00E9357E" w:rsidP="001C13B4">
            <w:pPr>
              <w:suppressAutoHyphens/>
              <w:spacing w:line="263" w:lineRule="atLeast"/>
              <w:jc w:val="center"/>
              <w:rPr>
                <w:spacing w:val="-2"/>
                <w:lang w:val="en-CA"/>
              </w:rPr>
            </w:pPr>
            <w:r>
              <w:rPr>
                <w:spacing w:val="-2"/>
                <w:lang w:val="en-CA"/>
              </w:rPr>
              <w:t>Anbar et al., 1966</w:t>
            </w:r>
          </w:p>
        </w:tc>
        <w:tc>
          <w:tcPr>
            <w:tcW w:w="1667" w:type="dxa"/>
            <w:tcBorders>
              <w:top w:val="single" w:sz="4" w:space="0" w:color="auto"/>
              <w:left w:val="nil"/>
              <w:bottom w:val="nil"/>
              <w:right w:val="nil"/>
            </w:tcBorders>
            <w:vAlign w:val="center"/>
          </w:tcPr>
          <w:p w:rsidR="00E9357E" w:rsidRPr="00197003" w:rsidRDefault="001470D2" w:rsidP="001C13B4">
            <w:pPr>
              <w:suppressAutoHyphens/>
              <w:spacing w:after="120" w:line="263" w:lineRule="atLeast"/>
              <w:jc w:val="center"/>
              <w:rPr>
                <w:spacing w:val="-2"/>
                <w:lang w:val="en-US"/>
              </w:rPr>
            </w:pPr>
            <w:r>
              <w:rPr>
                <w:rFonts w:cs="Times New Roman"/>
                <w:lang w:val="pt-BR"/>
              </w:rPr>
              <w:t>PR</w:t>
            </w:r>
            <w:r w:rsidR="00E9357E">
              <w:t xml:space="preserve"> </w:t>
            </w:r>
            <w:r w:rsidR="00E9357E" w:rsidRPr="00170263">
              <w:t>/</w:t>
            </w:r>
            <w:r w:rsidR="00E9357E">
              <w:t xml:space="preserve"> </w:t>
            </w:r>
            <w:r w:rsidR="00E9357E" w:rsidRPr="00170263">
              <w:t>UV-Vis</w:t>
            </w:r>
            <w:r w:rsidR="00E9357E">
              <w:t xml:space="preserve"> </w:t>
            </w:r>
            <w:r w:rsidR="00E9357E">
              <w:rPr>
                <w:spacing w:val="-2"/>
                <w:lang w:val="en-US"/>
              </w:rPr>
              <w:t>(a)</w:t>
            </w:r>
          </w:p>
        </w:tc>
      </w:tr>
      <w:tr w:rsidR="00A93673" w:rsidTr="00D35830">
        <w:tblPrEx>
          <w:tblLook w:val="01E0" w:firstRow="1" w:lastRow="1" w:firstColumn="1" w:lastColumn="1" w:noHBand="0" w:noVBand="0"/>
        </w:tblPrEx>
        <w:trPr>
          <w:gridAfter w:val="1"/>
          <w:wAfter w:w="15" w:type="dxa"/>
        </w:trPr>
        <w:tc>
          <w:tcPr>
            <w:tcW w:w="2518" w:type="dxa"/>
            <w:tcBorders>
              <w:top w:val="nil"/>
              <w:left w:val="nil"/>
              <w:bottom w:val="nil"/>
              <w:right w:val="nil"/>
            </w:tcBorders>
            <w:vAlign w:val="center"/>
          </w:tcPr>
          <w:p w:rsidR="00A93673" w:rsidRPr="00D340E2" w:rsidRDefault="00A93673" w:rsidP="00D340E2">
            <w:pPr>
              <w:suppressAutoHyphens/>
              <w:spacing w:after="120" w:line="263" w:lineRule="atLeast"/>
              <w:jc w:val="center"/>
              <w:rPr>
                <w:spacing w:val="-2"/>
                <w:lang w:val="en-US"/>
              </w:rPr>
            </w:pPr>
            <w:r>
              <w:rPr>
                <w:spacing w:val="-2"/>
                <w:lang w:val="en-US"/>
              </w:rPr>
              <w:t>(4.2 ±0.7) × 10</w:t>
            </w:r>
            <w:r w:rsidRPr="00F64B32">
              <w:rPr>
                <w:spacing w:val="-2"/>
                <w:vertAlign w:val="superscript"/>
                <w:lang w:val="en-US"/>
              </w:rPr>
              <w:t>9</w:t>
            </w:r>
          </w:p>
        </w:tc>
        <w:tc>
          <w:tcPr>
            <w:tcW w:w="992" w:type="dxa"/>
            <w:tcBorders>
              <w:top w:val="nil"/>
              <w:left w:val="nil"/>
              <w:bottom w:val="nil"/>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7</w:t>
            </w:r>
          </w:p>
        </w:tc>
        <w:tc>
          <w:tcPr>
            <w:tcW w:w="1276" w:type="dxa"/>
            <w:tcBorders>
              <w:top w:val="nil"/>
              <w:left w:val="nil"/>
              <w:bottom w:val="nil"/>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vAlign w:val="center"/>
          </w:tcPr>
          <w:p w:rsidR="00A93673" w:rsidRDefault="00A93673" w:rsidP="00D340E2">
            <w:pPr>
              <w:suppressAutoHyphens/>
              <w:spacing w:line="263" w:lineRule="atLeast"/>
              <w:jc w:val="center"/>
              <w:rPr>
                <w:spacing w:val="-2"/>
                <w:lang w:val="en-CA"/>
              </w:rPr>
            </w:pPr>
            <w:r>
              <w:rPr>
                <w:spacing w:val="-2"/>
                <w:lang w:val="en-CA"/>
              </w:rPr>
              <w:t>Hoffmann et al., 2009</w:t>
            </w:r>
          </w:p>
        </w:tc>
        <w:tc>
          <w:tcPr>
            <w:tcW w:w="1667" w:type="dxa"/>
            <w:tcBorders>
              <w:top w:val="nil"/>
              <w:left w:val="nil"/>
              <w:bottom w:val="nil"/>
              <w:right w:val="nil"/>
            </w:tcBorders>
            <w:vAlign w:val="center"/>
          </w:tcPr>
          <w:p w:rsidR="00A93673" w:rsidRDefault="00A93673" w:rsidP="003C1AFE">
            <w:pPr>
              <w:suppressAutoHyphens/>
              <w:spacing w:after="120" w:line="263" w:lineRule="atLeast"/>
              <w:jc w:val="center"/>
              <w:rPr>
                <w:rFonts w:cs="Times New Roman"/>
                <w:lang w:val="pt-BR"/>
              </w:rPr>
            </w:pPr>
            <w:r>
              <w:rPr>
                <w:rFonts w:cs="Times New Roman"/>
                <w:lang w:val="pt-BR"/>
              </w:rPr>
              <w:t>LF-LPA (b)</w:t>
            </w:r>
          </w:p>
        </w:tc>
      </w:tr>
      <w:tr w:rsidR="00A93673" w:rsidTr="00D35830">
        <w:tblPrEx>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vAlign w:val="center"/>
          </w:tcPr>
          <w:p w:rsidR="00A93673" w:rsidRPr="008755F9" w:rsidRDefault="00A93673" w:rsidP="00071A6F">
            <w:pPr>
              <w:suppressAutoHyphens/>
              <w:spacing w:after="120" w:line="263" w:lineRule="atLeast"/>
              <w:jc w:val="center"/>
              <w:rPr>
                <w:spacing w:val="-2"/>
                <w:lang w:val="en-US"/>
              </w:rPr>
            </w:pPr>
            <w:r>
              <w:rPr>
                <w:spacing w:val="-2"/>
                <w:lang w:val="en-US"/>
              </w:rPr>
              <w:t>1.38 × 10</w:t>
            </w:r>
            <w:r w:rsidRPr="00D340E2">
              <w:rPr>
                <w:spacing w:val="-2"/>
                <w:vertAlign w:val="superscript"/>
                <w:lang w:val="en-US"/>
              </w:rPr>
              <w:t>11</w:t>
            </w:r>
            <w:r>
              <w:rPr>
                <w:spacing w:val="-2"/>
                <w:lang w:val="en-US"/>
              </w:rPr>
              <w:t xml:space="preserve"> </w:t>
            </w:r>
            <w:proofErr w:type="gramStart"/>
            <w:r>
              <w:rPr>
                <w:spacing w:val="-2"/>
                <w:lang w:val="en-US"/>
              </w:rPr>
              <w:t>exp[</w:t>
            </w:r>
            <w:proofErr w:type="gramEnd"/>
            <w:r>
              <w:rPr>
                <w:spacing w:val="-2"/>
                <w:lang w:val="en-US"/>
              </w:rPr>
              <w:t>-(1000 ±90)/T]</w:t>
            </w:r>
          </w:p>
        </w:tc>
        <w:tc>
          <w:tcPr>
            <w:tcW w:w="992" w:type="dxa"/>
            <w:tcBorders>
              <w:top w:val="nil"/>
              <w:left w:val="nil"/>
              <w:bottom w:val="single" w:sz="4" w:space="0" w:color="auto"/>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278 - 318</w:t>
            </w:r>
          </w:p>
        </w:tc>
        <w:tc>
          <w:tcPr>
            <w:tcW w:w="1134" w:type="dxa"/>
            <w:tcBorders>
              <w:top w:val="nil"/>
              <w:left w:val="nil"/>
              <w:bottom w:val="single" w:sz="4" w:space="0" w:color="auto"/>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7</w:t>
            </w:r>
          </w:p>
        </w:tc>
        <w:tc>
          <w:tcPr>
            <w:tcW w:w="1276" w:type="dxa"/>
            <w:tcBorders>
              <w:top w:val="nil"/>
              <w:left w:val="nil"/>
              <w:bottom w:val="single" w:sz="4" w:space="0" w:color="auto"/>
              <w:right w:val="nil"/>
            </w:tcBorders>
            <w:vAlign w:val="center"/>
          </w:tcPr>
          <w:p w:rsidR="00A93673" w:rsidRDefault="00A93673" w:rsidP="003C1AFE">
            <w:pPr>
              <w:suppressAutoHyphens/>
              <w:spacing w:after="120" w:line="263" w:lineRule="atLeast"/>
              <w:jc w:val="center"/>
              <w:rPr>
                <w:spacing w:val="-2"/>
                <w:lang w:val="en-US"/>
              </w:rPr>
            </w:pPr>
            <w:r>
              <w:rPr>
                <w:spacing w:val="-2"/>
                <w:lang w:val="en-US"/>
              </w:rPr>
              <w:t>-</w:t>
            </w:r>
          </w:p>
        </w:tc>
        <w:tc>
          <w:tcPr>
            <w:tcW w:w="1701" w:type="dxa"/>
            <w:tcBorders>
              <w:top w:val="nil"/>
              <w:left w:val="nil"/>
              <w:bottom w:val="single" w:sz="4" w:space="0" w:color="auto"/>
              <w:right w:val="nil"/>
            </w:tcBorders>
            <w:vAlign w:val="center"/>
          </w:tcPr>
          <w:p w:rsidR="00A93673" w:rsidRDefault="00A93673" w:rsidP="003C1AFE">
            <w:pPr>
              <w:suppressAutoHyphens/>
              <w:spacing w:line="263" w:lineRule="atLeast"/>
              <w:jc w:val="center"/>
              <w:rPr>
                <w:spacing w:val="-2"/>
                <w:lang w:val="en-CA"/>
              </w:rPr>
            </w:pPr>
          </w:p>
        </w:tc>
        <w:tc>
          <w:tcPr>
            <w:tcW w:w="1667" w:type="dxa"/>
            <w:tcBorders>
              <w:top w:val="nil"/>
              <w:left w:val="nil"/>
              <w:bottom w:val="single" w:sz="4" w:space="0" w:color="auto"/>
              <w:right w:val="nil"/>
            </w:tcBorders>
            <w:vAlign w:val="center"/>
          </w:tcPr>
          <w:p w:rsidR="00A93673" w:rsidRDefault="00A93673" w:rsidP="00D340E2">
            <w:pPr>
              <w:suppressAutoHyphens/>
              <w:spacing w:after="120" w:line="263" w:lineRule="atLeast"/>
              <w:jc w:val="center"/>
              <w:rPr>
                <w:rFonts w:cs="Times New Roman"/>
                <w:lang w:val="pt-BR"/>
              </w:rPr>
            </w:pPr>
            <w:r>
              <w:rPr>
                <w:rFonts w:cs="Times New Roman"/>
                <w:lang w:val="pt-BR"/>
              </w:rPr>
              <w:t>LF-LPA (b1)</w:t>
            </w:r>
          </w:p>
        </w:tc>
      </w:tr>
    </w:tbl>
    <w:p w:rsidR="00071A6F" w:rsidRDefault="00071A6F" w:rsidP="00071A6F">
      <w:pPr>
        <w:tabs>
          <w:tab w:val="left" w:pos="0"/>
          <w:tab w:val="left" w:pos="288"/>
          <w:tab w:val="left" w:pos="720"/>
        </w:tabs>
        <w:suppressAutoHyphens/>
        <w:spacing w:line="240" w:lineRule="atLeast"/>
        <w:jc w:val="both"/>
        <w:rPr>
          <w:rFonts w:ascii="Symbol" w:hAnsi="Symbol"/>
          <w:spacing w:val="-3"/>
          <w:lang w:val="en-US"/>
        </w:rPr>
      </w:pPr>
    </w:p>
    <w:p w:rsidR="00071A6F" w:rsidRDefault="00071A6F" w:rsidP="00071A6F">
      <w:pPr>
        <w:tabs>
          <w:tab w:val="left" w:pos="0"/>
          <w:tab w:val="left" w:pos="288"/>
          <w:tab w:val="left" w:pos="720"/>
        </w:tabs>
        <w:suppressAutoHyphens/>
        <w:spacing w:line="240" w:lineRule="atLeast"/>
        <w:jc w:val="both"/>
      </w:pPr>
      <w:r>
        <w:rPr>
          <w:rFonts w:ascii="Symbol" w:eastAsia="Symbol" w:hAnsi="Symbol" w:cs="Symbol"/>
          <w:spacing w:val="-3"/>
        </w:rPr>
        <w:t></w:t>
      </w:r>
      <w:r>
        <w:rPr>
          <w:rFonts w:eastAsia="Symbol"/>
          <w:i/>
          <w:spacing w:val="-3"/>
        </w:rPr>
        <w:t>G</w:t>
      </w:r>
      <w:r>
        <w:rPr>
          <w:rFonts w:eastAsia="Symbol"/>
          <w:i/>
          <w:spacing w:val="-3"/>
          <w:vertAlign w:val="subscript"/>
        </w:rPr>
        <w:t>R</w:t>
      </w:r>
      <w:r>
        <w:rPr>
          <w:rFonts w:ascii="Symbol" w:eastAsia="Symbol" w:hAnsi="Symbol" w:cs="Symbol"/>
          <w:iCs/>
          <w:spacing w:val="-3"/>
        </w:rPr>
        <w:t></w:t>
      </w:r>
      <w:r>
        <w:rPr>
          <w:rFonts w:eastAsia="Symbol" w:cs="Symbol"/>
          <w:iCs/>
          <w:spacing w:val="-3"/>
        </w:rPr>
        <w:t xml:space="preserve"> (</w:t>
      </w:r>
      <w:proofErr w:type="spellStart"/>
      <w:r>
        <w:rPr>
          <w:rFonts w:eastAsia="Symbol" w:cs="Symbol"/>
          <w:iCs/>
          <w:spacing w:val="-3"/>
        </w:rPr>
        <w:t>aq</w:t>
      </w:r>
      <w:proofErr w:type="spellEnd"/>
      <w:r>
        <w:rPr>
          <w:rFonts w:eastAsia="Symbol" w:cs="Symbol"/>
          <w:iCs/>
          <w:spacing w:val="-3"/>
        </w:rPr>
        <w:t>)</w:t>
      </w:r>
      <w:r>
        <w:rPr>
          <w:rFonts w:eastAsia="Symbol" w:cs="Symbol"/>
        </w:rPr>
        <w:t xml:space="preserve">: Aqueous phase thermochemical data not available. As well, gas phase thermochemical data </w:t>
      </w:r>
      <w:r>
        <w:rPr>
          <w:rFonts w:ascii="Symbol" w:eastAsia="Symbol" w:hAnsi="Symbol" w:cs="Symbol"/>
          <w:i/>
          <w:spacing w:val="-3"/>
        </w:rPr>
        <w:t></w:t>
      </w:r>
      <w:r>
        <w:rPr>
          <w:rFonts w:eastAsia="Symbol"/>
          <w:i/>
          <w:spacing w:val="-3"/>
          <w:vertAlign w:val="subscript"/>
        </w:rPr>
        <w:t>R</w:t>
      </w:r>
      <w:r>
        <w:rPr>
          <w:rFonts w:ascii="Symbol" w:eastAsia="Symbol" w:hAnsi="Symbol" w:cs="Symbol"/>
          <w:iCs/>
          <w:spacing w:val="-3"/>
        </w:rPr>
        <w:t></w:t>
      </w:r>
      <w:r>
        <w:rPr>
          <w:rFonts w:eastAsia="Symbol" w:cs="Symbol"/>
          <w:spacing w:val="-3"/>
        </w:rPr>
        <w:t xml:space="preserve"> (g) are not available.</w:t>
      </w:r>
    </w:p>
    <w:p w:rsidR="00325D6F" w:rsidRPr="00891F90" w:rsidRDefault="00325D6F" w:rsidP="00821651">
      <w:pPr>
        <w:tabs>
          <w:tab w:val="left" w:pos="0"/>
          <w:tab w:val="left" w:pos="288"/>
          <w:tab w:val="left" w:pos="720"/>
        </w:tabs>
        <w:suppressAutoHyphens/>
        <w:spacing w:line="240" w:lineRule="atLeast"/>
        <w:jc w:val="both"/>
        <w:rPr>
          <w:spacing w:val="-3"/>
          <w:lang w:val="en-US"/>
        </w:rPr>
      </w:pPr>
    </w:p>
    <w:p w:rsidR="00821651" w:rsidRPr="00893259" w:rsidRDefault="00821651" w:rsidP="00821651">
      <w:pPr>
        <w:tabs>
          <w:tab w:val="center" w:pos="4680"/>
        </w:tabs>
        <w:suppressAutoHyphens/>
        <w:spacing w:line="240" w:lineRule="atLeast"/>
        <w:jc w:val="center"/>
        <w:rPr>
          <w:spacing w:val="-3"/>
          <w:lang w:val="en-CA"/>
        </w:rPr>
      </w:pPr>
      <w:r w:rsidRPr="00893259">
        <w:rPr>
          <w:b/>
          <w:spacing w:val="-3"/>
          <w:lang w:val="en-CA"/>
        </w:rPr>
        <w:t>Comments</w:t>
      </w:r>
    </w:p>
    <w:p w:rsidR="00E9357E" w:rsidRDefault="00E9357E" w:rsidP="00E9357E">
      <w:pPr>
        <w:tabs>
          <w:tab w:val="left" w:pos="0"/>
          <w:tab w:val="left" w:pos="444"/>
          <w:tab w:val="left" w:pos="720"/>
        </w:tabs>
        <w:suppressAutoHyphens/>
        <w:spacing w:line="240" w:lineRule="atLeast"/>
        <w:jc w:val="both"/>
        <w:rPr>
          <w:rFonts w:eastAsia="Symbol" w:cs="Symbol"/>
          <w:lang w:val="en-CA"/>
        </w:rPr>
      </w:pPr>
    </w:p>
    <w:p w:rsidR="001F5231" w:rsidRPr="0084193A" w:rsidRDefault="00E9357E" w:rsidP="00071A6F">
      <w:pPr>
        <w:tabs>
          <w:tab w:val="left" w:pos="426"/>
          <w:tab w:val="left" w:pos="720"/>
        </w:tabs>
        <w:suppressAutoHyphens/>
        <w:spacing w:line="240" w:lineRule="atLeast"/>
        <w:ind w:left="426" w:hanging="426"/>
        <w:jc w:val="both"/>
        <w:rPr>
          <w:rFonts w:cs="Times New Roman"/>
          <w:lang w:val="pt-BR"/>
        </w:rPr>
      </w:pPr>
      <w:r>
        <w:rPr>
          <w:lang w:val="en-CA"/>
        </w:rPr>
        <w:t>(a</w:t>
      </w:r>
      <w:r w:rsidRPr="00791862">
        <w:rPr>
          <w:lang w:val="en-CA"/>
        </w:rPr>
        <w:t>)</w:t>
      </w:r>
      <w:r w:rsidRPr="00791862">
        <w:rPr>
          <w:lang w:val="en-CA"/>
        </w:rPr>
        <w:tab/>
      </w:r>
      <w:r w:rsidR="00071A6F" w:rsidRPr="0030607B">
        <w:rPr>
          <w:spacing w:val="-2"/>
          <w:lang w:val="en-CA"/>
        </w:rPr>
        <w:t xml:space="preserve">Reference reaction: </w:t>
      </w:r>
      <w:hyperlink r:id="rId6" w:tgtFrame="_blank" w:history="1">
        <w:r w:rsidR="00071A6F">
          <w:rPr>
            <w:rStyle w:val="Hyperlink"/>
            <w:color w:val="auto"/>
            <w:u w:val="none"/>
            <w:lang w:val="en-CA"/>
          </w:rPr>
          <w:t>HO</w:t>
        </w:r>
      </w:hyperlink>
      <w:r w:rsidR="00071A6F" w:rsidRPr="0030607B">
        <w:rPr>
          <w:lang w:val="en-CA"/>
        </w:rPr>
        <w:t xml:space="preserve"> + PNDA </w:t>
      </w:r>
      <w:r w:rsidR="00071A6F" w:rsidRPr="0030607B">
        <w:rPr>
          <w:spacing w:val="-2"/>
          <w:lang w:val="en-CA"/>
        </w:rPr>
        <w:t>(p-</w:t>
      </w:r>
      <w:proofErr w:type="spellStart"/>
      <w:r w:rsidR="00071A6F" w:rsidRPr="0030607B">
        <w:rPr>
          <w:spacing w:val="-2"/>
          <w:lang w:val="en-CA"/>
        </w:rPr>
        <w:t>nitrosodimethylaniline</w:t>
      </w:r>
      <w:proofErr w:type="spellEnd"/>
      <w:r w:rsidR="00071A6F" w:rsidRPr="0030607B">
        <w:rPr>
          <w:spacing w:val="-2"/>
          <w:lang w:val="en-CA"/>
        </w:rPr>
        <w:t>)</w:t>
      </w:r>
      <w:r w:rsidR="00071A6F" w:rsidRPr="0030607B">
        <w:rPr>
          <w:lang w:val="en-CA"/>
        </w:rPr>
        <w:t>;</w:t>
      </w:r>
      <w:r w:rsidR="00071A6F">
        <w:rPr>
          <w:lang w:val="en-CA"/>
        </w:rPr>
        <w:t xml:space="preserve"> reference rate constant was determined versus ethanol with </w:t>
      </w:r>
      <w:r w:rsidR="00071A6F">
        <w:rPr>
          <w:i/>
          <w:lang w:val="en-CA"/>
        </w:rPr>
        <w:t>k</w:t>
      </w:r>
      <w:r w:rsidR="00071A6F">
        <w:rPr>
          <w:lang w:val="en-CA"/>
        </w:rPr>
        <w:t>(HO + ethanol) = 1.10 × 10</w:t>
      </w:r>
      <w:r w:rsidR="00071A6F">
        <w:rPr>
          <w:vertAlign w:val="superscript"/>
          <w:lang w:val="en-CA"/>
        </w:rPr>
        <w:t>9</w:t>
      </w:r>
      <w:r w:rsidR="00071A6F">
        <w:rPr>
          <w:lang w:val="en-CA"/>
        </w:rPr>
        <w:t> M</w:t>
      </w:r>
      <w:r w:rsidR="00071A6F">
        <w:rPr>
          <w:vertAlign w:val="superscript"/>
          <w:lang w:val="en-CA"/>
        </w:rPr>
        <w:noBreakHyphen/>
        <w:t>1</w:t>
      </w:r>
      <w:r w:rsidR="00071A6F">
        <w:rPr>
          <w:lang w:val="en-CA"/>
        </w:rPr>
        <w:t>s</w:t>
      </w:r>
      <w:r w:rsidR="00071A6F">
        <w:rPr>
          <w:vertAlign w:val="superscript"/>
          <w:lang w:val="en-CA"/>
        </w:rPr>
        <w:noBreakHyphen/>
        <w:t>1</w:t>
      </w:r>
      <w:r w:rsidR="00071A6F">
        <w:rPr>
          <w:lang w:val="en-CA"/>
        </w:rPr>
        <w:t>;</w:t>
      </w:r>
      <w:r w:rsidR="00A93673">
        <w:rPr>
          <w:lang w:val="en-CA"/>
        </w:rPr>
        <w:t xml:space="preserve"> recalculation of the rate coefficient was performed, using </w:t>
      </w:r>
      <w:r w:rsidR="00D35830">
        <w:rPr>
          <w:lang w:val="en-CA"/>
        </w:rPr>
        <w:t>the</w:t>
      </w:r>
      <w:r w:rsidR="00A93673">
        <w:rPr>
          <w:lang w:val="en-CA"/>
        </w:rPr>
        <w:t xml:space="preserve"> selected value for the reference reaction (1.88 × 10</w:t>
      </w:r>
      <w:r w:rsidR="00A93673">
        <w:rPr>
          <w:vertAlign w:val="superscript"/>
          <w:lang w:val="en-CA"/>
        </w:rPr>
        <w:t>9</w:t>
      </w:r>
      <w:r w:rsidR="00A93673">
        <w:rPr>
          <w:lang w:val="en-CA"/>
        </w:rPr>
        <w:t> M</w:t>
      </w:r>
      <w:r w:rsidR="00A93673">
        <w:rPr>
          <w:vertAlign w:val="superscript"/>
          <w:lang w:val="en-CA"/>
        </w:rPr>
        <w:noBreakHyphen/>
        <w:t>1</w:t>
      </w:r>
      <w:r w:rsidR="00A93673">
        <w:rPr>
          <w:lang w:val="en-CA"/>
        </w:rPr>
        <w:t>s</w:t>
      </w:r>
      <w:r w:rsidR="00A93673">
        <w:rPr>
          <w:vertAlign w:val="superscript"/>
          <w:lang w:val="en-CA"/>
        </w:rPr>
        <w:noBreakHyphen/>
        <w:t>1</w:t>
      </w:r>
      <w:r w:rsidR="00A93673">
        <w:rPr>
          <w:lang w:val="en-CA"/>
        </w:rPr>
        <w:t>);</w:t>
      </w:r>
      <w:r w:rsidR="00071A6F" w:rsidRPr="0030607B">
        <w:rPr>
          <w:lang w:val="en-CA"/>
        </w:rPr>
        <w:t xml:space="preserve"> no values given for initial concentrations; air saturated solutions; all experiments were repeated at least four times and the coefficient of variation was less than ± 10%</w:t>
      </w:r>
      <w:r w:rsidR="00071A6F">
        <w:rPr>
          <w:lang w:val="en-CA"/>
        </w:rPr>
        <w:t xml:space="preserve">; </w:t>
      </w:r>
      <w:r w:rsidR="00D35830">
        <w:rPr>
          <w:lang w:val="en-CA"/>
        </w:rPr>
        <w:t>as no temperature is given in their publication, for room temperature of T = 294 K is assumed</w:t>
      </w:r>
      <w:r w:rsidR="00A10E56">
        <w:rPr>
          <w:lang w:val="en-CA"/>
        </w:rPr>
        <w:t xml:space="preserve">. </w:t>
      </w:r>
    </w:p>
    <w:p w:rsidR="001F5231" w:rsidRDefault="001F5231" w:rsidP="00FC186E">
      <w:pPr>
        <w:tabs>
          <w:tab w:val="left" w:pos="426"/>
          <w:tab w:val="left" w:pos="720"/>
        </w:tabs>
        <w:suppressAutoHyphens/>
        <w:spacing w:line="240" w:lineRule="atLeast"/>
        <w:ind w:left="426" w:hanging="426"/>
        <w:jc w:val="both"/>
        <w:rPr>
          <w:lang w:val="en-CA"/>
        </w:rPr>
      </w:pPr>
    </w:p>
    <w:p w:rsidR="00D340E2" w:rsidRDefault="00D340E2" w:rsidP="0084193A">
      <w:pPr>
        <w:tabs>
          <w:tab w:val="left" w:pos="426"/>
          <w:tab w:val="left" w:pos="720"/>
        </w:tabs>
        <w:suppressAutoHyphens/>
        <w:spacing w:line="240" w:lineRule="atLeast"/>
        <w:ind w:left="426" w:hanging="426"/>
        <w:jc w:val="both"/>
        <w:rPr>
          <w:lang w:val="en-CA"/>
        </w:rPr>
      </w:pPr>
    </w:p>
    <w:p w:rsidR="00D340E2" w:rsidRDefault="00D340E2" w:rsidP="0084193A">
      <w:pPr>
        <w:tabs>
          <w:tab w:val="left" w:pos="426"/>
          <w:tab w:val="left" w:pos="720"/>
        </w:tabs>
        <w:suppressAutoHyphens/>
        <w:spacing w:line="240" w:lineRule="atLeast"/>
        <w:ind w:left="426" w:hanging="426"/>
        <w:jc w:val="both"/>
        <w:rPr>
          <w:lang w:val="en-CA"/>
        </w:rPr>
      </w:pPr>
      <w:r>
        <w:rPr>
          <w:rFonts w:cs="Times New Roman"/>
          <w:lang w:val="pt-BR"/>
        </w:rPr>
        <w:t>(</w:t>
      </w:r>
      <w:r w:rsidR="00071A6F">
        <w:rPr>
          <w:rFonts w:cs="Times New Roman"/>
          <w:lang w:val="pt-BR"/>
        </w:rPr>
        <w:t>b</w:t>
      </w:r>
      <w:r>
        <w:rPr>
          <w:rFonts w:cs="Times New Roman"/>
          <w:lang w:val="pt-BR"/>
        </w:rPr>
        <w:t>)</w:t>
      </w:r>
      <w:r>
        <w:rPr>
          <w:rFonts w:cs="Times New Roman"/>
          <w:lang w:val="pt-BR"/>
        </w:rPr>
        <w:tab/>
      </w:r>
      <w:r>
        <w:rPr>
          <w:lang w:val="en-CA"/>
        </w:rPr>
        <w:t>Radicals generated by laser flash photolysis of H</w:t>
      </w:r>
      <w:r>
        <w:rPr>
          <w:vertAlign w:val="subscript"/>
          <w:lang w:val="en-CA"/>
        </w:rPr>
        <w:t>2</w:t>
      </w:r>
      <w:r>
        <w:rPr>
          <w:lang w:val="en-CA"/>
        </w:rPr>
        <w:t>O</w:t>
      </w:r>
      <w:r>
        <w:rPr>
          <w:vertAlign w:val="subscript"/>
          <w:lang w:val="en-CA"/>
        </w:rPr>
        <w:t>2</w:t>
      </w:r>
      <w:r>
        <w:rPr>
          <w:lang w:val="en-CA"/>
        </w:rPr>
        <w:t xml:space="preserve"> (</w:t>
      </w:r>
      <w:r>
        <w:rPr>
          <w:i/>
          <w:lang w:val="en-CA"/>
        </w:rPr>
        <w:t>c</w:t>
      </w:r>
      <w:r>
        <w:rPr>
          <w:lang w:val="en-CA"/>
        </w:rPr>
        <w:t>(H</w:t>
      </w:r>
      <w:r>
        <w:rPr>
          <w:vertAlign w:val="subscript"/>
          <w:lang w:val="en-CA"/>
        </w:rPr>
        <w:t>2</w:t>
      </w:r>
      <w:r>
        <w:rPr>
          <w:lang w:val="en-CA"/>
        </w:rPr>
        <w:t>O</w:t>
      </w:r>
      <w:r>
        <w:rPr>
          <w:vertAlign w:val="subscript"/>
          <w:lang w:val="en-CA"/>
        </w:rPr>
        <w:t>2</w:t>
      </w:r>
      <w:r>
        <w:rPr>
          <w:lang w:val="en-CA"/>
        </w:rPr>
        <w:t>) = 1</w:t>
      </w:r>
      <w:r>
        <w:rPr>
          <w:lang w:val="en-GB"/>
        </w:rPr>
        <w:t> </w:t>
      </w:r>
      <w:r w:rsidRPr="00AB48BD">
        <w:rPr>
          <w:rFonts w:ascii="Symbol" w:eastAsia="Symbol" w:hAnsi="Symbol" w:cs="Symbol"/>
          <w:spacing w:val="-3"/>
          <w:lang w:val="en-GB"/>
        </w:rPr>
        <w:t></w:t>
      </w:r>
      <w:r>
        <w:rPr>
          <w:lang w:val="en-GB"/>
        </w:rPr>
        <w:t> </w:t>
      </w:r>
      <w:r>
        <w:rPr>
          <w:lang w:val="en-CA"/>
        </w:rPr>
        <w:t>10</w:t>
      </w:r>
      <w:r>
        <w:rPr>
          <w:vertAlign w:val="superscript"/>
          <w:lang w:val="en-CA"/>
        </w:rPr>
        <w:t>-4</w:t>
      </w:r>
      <w:r>
        <w:rPr>
          <w:lang w:val="en-CA"/>
        </w:rPr>
        <w:t> M) at 248 nm</w:t>
      </w:r>
      <w:r w:rsidR="00071A6F">
        <w:rPr>
          <w:lang w:val="en-CA"/>
        </w:rPr>
        <w:t xml:space="preserve"> (LF-LPA)</w:t>
      </w:r>
      <w:r>
        <w:rPr>
          <w:lang w:val="en-CA"/>
        </w:rPr>
        <w:t xml:space="preserve">; Reference reaction: </w:t>
      </w:r>
      <w:r w:rsidR="00071A6F">
        <w:rPr>
          <w:lang w:val="pt-BR"/>
        </w:rPr>
        <w:t>HO</w:t>
      </w:r>
      <w:r w:rsidRPr="00AB48BD">
        <w:rPr>
          <w:rFonts w:eastAsia="Symbol" w:cs="Symbol"/>
          <w:lang w:val="en-GB"/>
        </w:rPr>
        <w:t xml:space="preserve"> + SCN</w:t>
      </w:r>
      <w:r w:rsidRPr="00AB48BD">
        <w:rPr>
          <w:rFonts w:eastAsia="Symbol" w:cs="Symbol"/>
          <w:vertAlign w:val="superscript"/>
          <w:lang w:val="en-GB"/>
        </w:rPr>
        <w:t>-</w:t>
      </w:r>
      <w:r>
        <w:rPr>
          <w:rFonts w:eastAsia="Symbol" w:cs="Symbol"/>
          <w:lang w:val="en-GB"/>
        </w:rPr>
        <w:t xml:space="preserve"> with </w:t>
      </w:r>
      <w:r>
        <w:rPr>
          <w:rFonts w:eastAsia="Symbol" w:cs="Symbol"/>
          <w:i/>
          <w:lang w:val="en-GB"/>
        </w:rPr>
        <w:t>k</w:t>
      </w:r>
      <w:r>
        <w:rPr>
          <w:rFonts w:eastAsia="Symbol" w:cs="Symbol"/>
          <w:lang w:val="en-GB"/>
        </w:rPr>
        <w:t>(</w:t>
      </w:r>
      <w:r w:rsidR="00071A6F">
        <w:rPr>
          <w:lang w:val="pt-BR"/>
        </w:rPr>
        <w:t>HO</w:t>
      </w:r>
      <w:r w:rsidRPr="00AB48BD">
        <w:rPr>
          <w:rFonts w:eastAsia="Symbol" w:cs="Symbol"/>
          <w:lang w:val="en-GB"/>
        </w:rPr>
        <w:t xml:space="preserve"> + SCN</w:t>
      </w:r>
      <w:r w:rsidRPr="00AB48BD">
        <w:rPr>
          <w:rFonts w:eastAsia="Symbol" w:cs="Symbol"/>
          <w:vertAlign w:val="superscript"/>
          <w:lang w:val="en-GB"/>
        </w:rPr>
        <w:t>-</w:t>
      </w:r>
      <w:r>
        <w:rPr>
          <w:rFonts w:eastAsia="Symbol" w:cs="Symbol"/>
          <w:lang w:val="en-GB"/>
        </w:rPr>
        <w:t>) = 1.24 </w:t>
      </w:r>
      <w:r>
        <w:rPr>
          <w:rFonts w:eastAsia="Symbol"/>
          <w:lang w:val="en-GB"/>
        </w:rPr>
        <w:t>×</w:t>
      </w:r>
      <w:r>
        <w:rPr>
          <w:rFonts w:eastAsia="Symbol" w:cs="Symbol"/>
          <w:lang w:val="en-GB"/>
        </w:rPr>
        <w:t> 10</w:t>
      </w:r>
      <w:r w:rsidRPr="00D428BB">
        <w:rPr>
          <w:rFonts w:eastAsia="Symbol" w:cs="Symbol"/>
          <w:vertAlign w:val="superscript"/>
          <w:lang w:val="en-GB"/>
        </w:rPr>
        <w:t>10</w:t>
      </w:r>
      <w:r>
        <w:rPr>
          <w:rFonts w:eastAsia="Symbol" w:cs="Symbol"/>
          <w:lang w:val="en-GB"/>
        </w:rPr>
        <w:t> </w:t>
      </w:r>
      <w:r w:rsidRPr="00D428BB">
        <w:rPr>
          <w:rFonts w:eastAsia="Symbol" w:cs="Symbol"/>
          <w:lang w:val="en-GB"/>
        </w:rPr>
        <w:t>M</w:t>
      </w:r>
      <w:r w:rsidRPr="00D428BB">
        <w:rPr>
          <w:rFonts w:eastAsia="Symbol" w:cs="Symbol"/>
          <w:vertAlign w:val="superscript"/>
          <w:lang w:val="en-GB"/>
        </w:rPr>
        <w:noBreakHyphen/>
        <w:t>1</w:t>
      </w:r>
      <w:r>
        <w:rPr>
          <w:rFonts w:eastAsia="Symbol" w:cs="Symbol"/>
          <w:lang w:val="en-GB"/>
        </w:rPr>
        <w:t> s</w:t>
      </w:r>
      <w:r>
        <w:rPr>
          <w:rFonts w:eastAsia="Symbol" w:cs="Symbol"/>
          <w:vertAlign w:val="superscript"/>
          <w:lang w:val="en-GB"/>
        </w:rPr>
        <w:noBreakHyphen/>
        <w:t>1</w:t>
      </w:r>
      <w:r w:rsidRPr="00774173">
        <w:rPr>
          <w:rFonts w:eastAsia="Symbol" w:cs="Symbol"/>
          <w:lang w:val="en-GB"/>
        </w:rPr>
        <w:t xml:space="preserve"> </w:t>
      </w:r>
      <w:r>
        <w:rPr>
          <w:rFonts w:eastAsia="Symbol" w:cs="Symbol"/>
          <w:lang w:val="en-GB"/>
        </w:rPr>
        <w:t xml:space="preserve">as reported by Chin and Wine (1992); </w:t>
      </w:r>
      <w:r w:rsidR="00D35830">
        <w:rPr>
          <w:rFonts w:eastAsia="Symbol" w:cs="Symbol"/>
          <w:spacing w:val="-2"/>
          <w:lang w:val="en-GB"/>
        </w:rPr>
        <w:t>the selected temperature dependence for the reference reaction by Zhu et al. (2003) was used for recalculation</w:t>
      </w:r>
      <w:r w:rsidR="00D35830">
        <w:rPr>
          <w:rFonts w:eastAsia="Symbol" w:cs="Symbol"/>
          <w:lang w:val="en-GB"/>
        </w:rPr>
        <w:t>;</w:t>
      </w:r>
      <w:r w:rsidR="00071A6F">
        <w:rPr>
          <w:rFonts w:eastAsia="Symbol" w:cs="Symbol"/>
          <w:lang w:val="en-GB"/>
        </w:rPr>
        <w:t xml:space="preserve"> </w:t>
      </w:r>
      <w:r>
        <w:rPr>
          <w:rFonts w:eastAsia="Symbol" w:cs="Symbol"/>
          <w:i/>
          <w:lang w:val="en-GB"/>
        </w:rPr>
        <w:t>c</w:t>
      </w:r>
      <w:r>
        <w:rPr>
          <w:rFonts w:eastAsia="Symbol" w:cs="Symbol"/>
          <w:lang w:val="en-GB"/>
        </w:rPr>
        <w:t>(</w:t>
      </w:r>
      <w:r>
        <w:rPr>
          <w:lang w:val="pt-BR"/>
        </w:rPr>
        <w:t>KSCN) = 1.59</w:t>
      </w:r>
      <w:r>
        <w:rPr>
          <w:lang w:val="en-GB"/>
        </w:rPr>
        <w:t> </w:t>
      </w:r>
      <w:r w:rsidRPr="00AB48BD">
        <w:rPr>
          <w:rFonts w:ascii="Symbol" w:eastAsia="Symbol" w:hAnsi="Symbol" w:cs="Symbol"/>
          <w:spacing w:val="-3"/>
          <w:lang w:val="en-GB"/>
        </w:rPr>
        <w:t></w:t>
      </w:r>
      <w:r>
        <w:rPr>
          <w:lang w:val="en-GB"/>
        </w:rPr>
        <w:t> </w:t>
      </w:r>
      <w:r>
        <w:rPr>
          <w:lang w:val="en-CA"/>
        </w:rPr>
        <w:t>10</w:t>
      </w:r>
      <w:r>
        <w:rPr>
          <w:vertAlign w:val="superscript"/>
          <w:lang w:val="en-CA"/>
        </w:rPr>
        <w:t>-5</w:t>
      </w:r>
      <w:r>
        <w:rPr>
          <w:lang w:val="en-CA"/>
        </w:rPr>
        <w:t> M. A</w:t>
      </w:r>
      <w:r w:rsidR="00D31521">
        <w:rPr>
          <w:lang w:val="en-CA"/>
        </w:rPr>
        <w:t>rrhenius expression (</w:t>
      </w:r>
      <w:r w:rsidR="00071A6F">
        <w:rPr>
          <w:lang w:val="en-CA"/>
        </w:rPr>
        <w:t>b</w:t>
      </w:r>
      <w:r>
        <w:rPr>
          <w:lang w:val="en-CA"/>
        </w:rPr>
        <w:t xml:space="preserve">1) was calculated using the </w:t>
      </w:r>
      <w:r w:rsidR="00071A6F">
        <w:rPr>
          <w:lang w:val="en-CA"/>
        </w:rPr>
        <w:t xml:space="preserve">recalculated experimental </w:t>
      </w:r>
      <w:r>
        <w:rPr>
          <w:lang w:val="en-CA"/>
        </w:rPr>
        <w:t>data from Hoffmann et al. (2009).</w:t>
      </w:r>
    </w:p>
    <w:p w:rsidR="001606AE" w:rsidRPr="0084193A" w:rsidRDefault="001606AE" w:rsidP="0084193A">
      <w:pPr>
        <w:tabs>
          <w:tab w:val="left" w:pos="426"/>
          <w:tab w:val="left" w:pos="720"/>
        </w:tabs>
        <w:suppressAutoHyphens/>
        <w:spacing w:line="240" w:lineRule="atLeast"/>
        <w:ind w:left="426" w:hanging="426"/>
        <w:jc w:val="both"/>
        <w:rPr>
          <w:rFonts w:cs="Times New Roman"/>
          <w:lang w:val="pt-BR"/>
        </w:rPr>
      </w:pPr>
    </w:p>
    <w:p w:rsidR="007F4C67" w:rsidRPr="00F16250" w:rsidRDefault="007F4C67" w:rsidP="007F4C67">
      <w:pPr>
        <w:keepNext/>
        <w:keepLines/>
        <w:widowControl w:val="0"/>
        <w:tabs>
          <w:tab w:val="center" w:pos="4680"/>
        </w:tabs>
        <w:jc w:val="center"/>
        <w:outlineLvl w:val="0"/>
        <w:rPr>
          <w:rFonts w:ascii="Times New Roman" w:hAnsi="Times New Roman" w:cs="Times New Roman"/>
          <w:b/>
          <w:color w:val="000000"/>
          <w:lang w:val="de-DE" w:eastAsia="de-DE"/>
        </w:rPr>
      </w:pPr>
      <w:proofErr w:type="spellStart"/>
      <w:r w:rsidRPr="00F16250">
        <w:rPr>
          <w:rFonts w:ascii="Times New Roman" w:hAnsi="Times New Roman" w:cs="Times New Roman"/>
          <w:b/>
          <w:color w:val="000000"/>
          <w:lang w:val="de-DE" w:eastAsia="de-DE"/>
        </w:rPr>
        <w:t>Preferred</w:t>
      </w:r>
      <w:proofErr w:type="spellEnd"/>
      <w:r w:rsidRPr="00F16250">
        <w:rPr>
          <w:rFonts w:ascii="Times New Roman" w:hAnsi="Times New Roman" w:cs="Times New Roman"/>
          <w:b/>
          <w:color w:val="000000"/>
          <w:lang w:val="de-DE" w:eastAsia="de-DE"/>
        </w:rPr>
        <w:t xml:space="preserve"> Values</w:t>
      </w:r>
    </w:p>
    <w:p w:rsidR="007F4C67" w:rsidRPr="00F16250" w:rsidRDefault="007F4C67" w:rsidP="007F4C67">
      <w:pPr>
        <w:widowControl w:val="0"/>
        <w:rPr>
          <w:rFonts w:ascii="Times New Roman" w:hAnsi="Times New Roman" w:cs="Times New Roman"/>
          <w:color w:val="000000"/>
          <w:sz w:val="20"/>
          <w:szCs w:val="20"/>
          <w:lang w:val="de-DE" w:eastAsia="de-DE"/>
        </w:rPr>
      </w:pPr>
    </w:p>
    <w:tbl>
      <w:tblPr>
        <w:tblW w:w="9303" w:type="dxa"/>
        <w:tblInd w:w="-108" w:type="dxa"/>
        <w:tblLayout w:type="fixed"/>
        <w:tblLook w:val="0000" w:firstRow="0" w:lastRow="0" w:firstColumn="0" w:lastColumn="0" w:noHBand="0" w:noVBand="0"/>
      </w:tblPr>
      <w:tblGrid>
        <w:gridCol w:w="2059"/>
        <w:gridCol w:w="5069"/>
        <w:gridCol w:w="2175"/>
      </w:tblGrid>
      <w:tr w:rsidR="007F4C67" w:rsidRPr="00F16250" w:rsidTr="00604D2C">
        <w:tc>
          <w:tcPr>
            <w:tcW w:w="205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Parameter</w:t>
            </w:r>
          </w:p>
        </w:tc>
        <w:tc>
          <w:tcPr>
            <w:tcW w:w="506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Value</w:t>
            </w:r>
          </w:p>
        </w:tc>
        <w:tc>
          <w:tcPr>
            <w:tcW w:w="2175"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i/>
                <w:color w:val="000000"/>
                <w:lang w:val="de-DE" w:eastAsia="de-DE"/>
              </w:rPr>
              <w:t>T</w:t>
            </w:r>
            <w:r w:rsidRPr="00F16250">
              <w:rPr>
                <w:rFonts w:ascii="Times New Roman" w:hAnsi="Times New Roman" w:cs="Times New Roman"/>
                <w:b/>
                <w:color w:val="000000"/>
                <w:lang w:val="de-DE" w:eastAsia="de-DE"/>
              </w:rPr>
              <w:t>/K</w:t>
            </w:r>
          </w:p>
        </w:tc>
      </w:tr>
      <w:tr w:rsidR="007F4C67" w:rsidRPr="00F16250" w:rsidTr="00604D2C">
        <w:tc>
          <w:tcPr>
            <w:tcW w:w="2059"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c>
          <w:tcPr>
            <w:tcW w:w="5069" w:type="dxa"/>
            <w:tcBorders>
              <w:top w:val="single" w:sz="4" w:space="0" w:color="000000"/>
            </w:tcBorders>
          </w:tcPr>
          <w:p w:rsidR="007F4C67" w:rsidRPr="00F16250" w:rsidRDefault="007F4C67" w:rsidP="00604D2C">
            <w:pPr>
              <w:widowControl w:val="0"/>
              <w:tabs>
                <w:tab w:val="left" w:pos="0"/>
                <w:tab w:val="left" w:pos="444"/>
                <w:tab w:val="left" w:pos="720"/>
              </w:tabs>
              <w:rPr>
                <w:rFonts w:ascii="Times New Roman" w:hAnsi="Times New Roman" w:cs="Times New Roman"/>
                <w:color w:val="000000"/>
                <w:sz w:val="20"/>
                <w:szCs w:val="20"/>
                <w:lang w:val="de-DE" w:eastAsia="de-DE"/>
              </w:rPr>
            </w:pPr>
          </w:p>
        </w:tc>
        <w:tc>
          <w:tcPr>
            <w:tcW w:w="2175"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r>
      <w:tr w:rsidR="007F4C67" w:rsidRPr="002B69B0" w:rsidTr="00604D2C">
        <w:tc>
          <w:tcPr>
            <w:tcW w:w="2059" w:type="dxa"/>
          </w:tcPr>
          <w:p w:rsidR="007F4C67" w:rsidRPr="004901BF" w:rsidRDefault="007F4C67" w:rsidP="00455EA0">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4901BF">
              <w:rPr>
                <w:rFonts w:ascii="Times New Roman" w:hAnsi="Times New Roman" w:cs="Times New Roman"/>
                <w:i/>
                <w:color w:val="000000"/>
                <w:lang w:val="de-DE" w:eastAsia="de-DE"/>
              </w:rPr>
              <w:t>k</w:t>
            </w:r>
            <w:r w:rsidRPr="004901BF">
              <w:rPr>
                <w:rFonts w:ascii="Times New Roman" w:hAnsi="Times New Roman" w:cs="Times New Roman"/>
                <w:color w:val="000000"/>
                <w:lang w:val="de-DE" w:eastAsia="de-DE"/>
              </w:rPr>
              <w:t xml:space="preserve"> / </w:t>
            </w:r>
            <w:r w:rsidR="00486CBB">
              <w:rPr>
                <w:rFonts w:ascii="Times New Roman" w:hAnsi="Times New Roman" w:cs="Times New Roman"/>
                <w:color w:val="000000"/>
                <w:lang w:val="de-DE" w:eastAsia="de-DE"/>
              </w:rPr>
              <w:t>L</w:t>
            </w:r>
            <w:r w:rsidRPr="004901BF">
              <w:rPr>
                <w:rFonts w:ascii="Times New Roman" w:hAnsi="Times New Roman" w:cs="Times New Roman"/>
                <w:color w:val="000000"/>
                <w:lang w:val="de-DE" w:eastAsia="de-DE"/>
              </w:rPr>
              <w:t xml:space="preserve"> mol</w:t>
            </w:r>
            <w:r w:rsidRPr="004901BF">
              <w:rPr>
                <w:rFonts w:ascii="Times New Roman" w:hAnsi="Times New Roman" w:cs="Times New Roman"/>
                <w:color w:val="000000"/>
                <w:vertAlign w:val="superscript"/>
                <w:lang w:val="de-DE" w:eastAsia="de-DE"/>
              </w:rPr>
              <w:t>-1</w:t>
            </w:r>
            <w:r w:rsidRPr="004901BF">
              <w:rPr>
                <w:rFonts w:ascii="Times New Roman" w:hAnsi="Times New Roman" w:cs="Times New Roman"/>
                <w:color w:val="000000"/>
                <w:lang w:val="de-DE" w:eastAsia="de-DE"/>
              </w:rPr>
              <w:t xml:space="preserve"> s</w:t>
            </w:r>
            <w:r w:rsidRPr="004901BF">
              <w:rPr>
                <w:rFonts w:ascii="Times New Roman" w:hAnsi="Times New Roman" w:cs="Times New Roman"/>
                <w:color w:val="000000"/>
                <w:vertAlign w:val="superscript"/>
                <w:lang w:val="de-DE" w:eastAsia="de-DE"/>
              </w:rPr>
              <w:t>-1</w:t>
            </w:r>
          </w:p>
        </w:tc>
        <w:tc>
          <w:tcPr>
            <w:tcW w:w="5069" w:type="dxa"/>
          </w:tcPr>
          <w:p w:rsidR="007F4C67" w:rsidRPr="00D31521" w:rsidRDefault="00D31521" w:rsidP="00183FE4">
            <w:pPr>
              <w:widowControl w:val="0"/>
              <w:tabs>
                <w:tab w:val="left" w:pos="0"/>
                <w:tab w:val="left" w:pos="444"/>
                <w:tab w:val="left" w:pos="720"/>
              </w:tabs>
              <w:jc w:val="center"/>
              <w:rPr>
                <w:rFonts w:ascii="Times New Roman" w:hAnsi="Times New Roman" w:cs="Times New Roman"/>
                <w:color w:val="000000"/>
                <w:vertAlign w:val="superscript"/>
                <w:lang w:val="en-US" w:eastAsia="de-DE"/>
              </w:rPr>
            </w:pPr>
            <w:r>
              <w:rPr>
                <w:rFonts w:ascii="Times New Roman" w:hAnsi="Times New Roman" w:cs="Times New Roman"/>
                <w:color w:val="000000"/>
                <w:lang w:val="en-US" w:eastAsia="de-DE"/>
              </w:rPr>
              <w:t>4.1</w:t>
            </w:r>
            <w:r w:rsidR="00345F4E">
              <w:rPr>
                <w:rFonts w:ascii="Times New Roman" w:hAnsi="Times New Roman" w:cs="Times New Roman"/>
                <w:color w:val="000000"/>
                <w:lang w:val="en-US" w:eastAsia="de-DE"/>
              </w:rPr>
              <w:t>0</w:t>
            </w:r>
            <w:r>
              <w:rPr>
                <w:rFonts w:ascii="Times New Roman" w:hAnsi="Times New Roman" w:cs="Times New Roman"/>
                <w:color w:val="000000"/>
                <w:lang w:val="en-US" w:eastAsia="de-DE"/>
              </w:rPr>
              <w:t xml:space="preserve"> × 10</w:t>
            </w:r>
            <w:r>
              <w:rPr>
                <w:rFonts w:ascii="Times New Roman" w:hAnsi="Times New Roman" w:cs="Times New Roman"/>
                <w:color w:val="000000"/>
                <w:vertAlign w:val="superscript"/>
                <w:lang w:val="en-US" w:eastAsia="de-DE"/>
              </w:rPr>
              <w:t>9</w:t>
            </w:r>
          </w:p>
        </w:tc>
        <w:tc>
          <w:tcPr>
            <w:tcW w:w="2175" w:type="dxa"/>
          </w:tcPr>
          <w:p w:rsidR="007F4C67" w:rsidRPr="002B69B0" w:rsidRDefault="00D31521"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298</w:t>
            </w:r>
          </w:p>
        </w:tc>
      </w:tr>
      <w:tr w:rsidR="00D340E2" w:rsidRPr="002B69B0" w:rsidTr="003C1AFE">
        <w:tc>
          <w:tcPr>
            <w:tcW w:w="2059" w:type="dxa"/>
          </w:tcPr>
          <w:p w:rsidR="00D340E2" w:rsidRPr="004901BF" w:rsidRDefault="00D340E2" w:rsidP="003C1AFE">
            <w:pPr>
              <w:widowControl w:val="0"/>
              <w:tabs>
                <w:tab w:val="left" w:pos="0"/>
                <w:tab w:val="left" w:pos="444"/>
                <w:tab w:val="left" w:pos="720"/>
              </w:tabs>
              <w:jc w:val="center"/>
              <w:rPr>
                <w:rFonts w:ascii="Times New Roman" w:hAnsi="Times New Roman" w:cs="Times New Roman"/>
                <w:i/>
                <w:color w:val="000000"/>
                <w:lang w:val="de-DE" w:eastAsia="de-DE"/>
              </w:rPr>
            </w:pPr>
          </w:p>
        </w:tc>
        <w:tc>
          <w:tcPr>
            <w:tcW w:w="5069" w:type="dxa"/>
          </w:tcPr>
          <w:p w:rsidR="00D340E2" w:rsidRPr="00D340E2" w:rsidRDefault="00D340E2" w:rsidP="00D340E2">
            <w:pPr>
              <w:widowControl w:val="0"/>
              <w:tabs>
                <w:tab w:val="left" w:pos="0"/>
                <w:tab w:val="left" w:pos="444"/>
                <w:tab w:val="left" w:pos="720"/>
              </w:tabs>
              <w:jc w:val="center"/>
              <w:rPr>
                <w:rFonts w:ascii="Times New Roman" w:hAnsi="Times New Roman" w:cs="Times New Roman"/>
                <w:color w:val="000000"/>
                <w:lang w:val="en-US" w:eastAsia="de-DE"/>
              </w:rPr>
            </w:pPr>
          </w:p>
        </w:tc>
        <w:tc>
          <w:tcPr>
            <w:tcW w:w="2175" w:type="dxa"/>
          </w:tcPr>
          <w:p w:rsidR="00D340E2" w:rsidRPr="002B69B0" w:rsidRDefault="00D340E2" w:rsidP="003C1AFE">
            <w:pPr>
              <w:widowControl w:val="0"/>
              <w:tabs>
                <w:tab w:val="left" w:pos="0"/>
                <w:tab w:val="left" w:pos="444"/>
                <w:tab w:val="left" w:pos="720"/>
              </w:tabs>
              <w:jc w:val="center"/>
              <w:rPr>
                <w:rFonts w:ascii="Times New Roman" w:hAnsi="Times New Roman" w:cs="Times New Roman"/>
                <w:color w:val="000000"/>
                <w:lang w:val="en-US" w:eastAsia="de-DE"/>
              </w:rPr>
            </w:pPr>
          </w:p>
        </w:tc>
      </w:tr>
      <w:tr w:rsidR="00D340E2" w:rsidRPr="002B69B0" w:rsidTr="003C1AFE">
        <w:tc>
          <w:tcPr>
            <w:tcW w:w="2059" w:type="dxa"/>
          </w:tcPr>
          <w:p w:rsidR="00D340E2" w:rsidRPr="004901BF" w:rsidRDefault="00D340E2" w:rsidP="003C1AFE">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4901BF">
              <w:rPr>
                <w:rFonts w:ascii="Times New Roman" w:hAnsi="Times New Roman" w:cs="Times New Roman"/>
                <w:i/>
                <w:color w:val="000000"/>
                <w:lang w:val="de-DE" w:eastAsia="de-DE"/>
              </w:rPr>
              <w:t>k</w:t>
            </w:r>
            <w:r w:rsidRPr="004901BF">
              <w:rPr>
                <w:rFonts w:ascii="Times New Roman" w:hAnsi="Times New Roman" w:cs="Times New Roman"/>
                <w:color w:val="000000"/>
                <w:lang w:val="de-DE" w:eastAsia="de-DE"/>
              </w:rPr>
              <w:t xml:space="preserve"> / </w:t>
            </w:r>
            <w:r>
              <w:rPr>
                <w:rFonts w:ascii="Times New Roman" w:hAnsi="Times New Roman" w:cs="Times New Roman"/>
                <w:color w:val="000000"/>
                <w:lang w:val="de-DE" w:eastAsia="de-DE"/>
              </w:rPr>
              <w:t>L</w:t>
            </w:r>
            <w:r w:rsidRPr="004901BF">
              <w:rPr>
                <w:rFonts w:ascii="Times New Roman" w:hAnsi="Times New Roman" w:cs="Times New Roman"/>
                <w:color w:val="000000"/>
                <w:lang w:val="de-DE" w:eastAsia="de-DE"/>
              </w:rPr>
              <w:t xml:space="preserve"> mol</w:t>
            </w:r>
            <w:r w:rsidRPr="004901BF">
              <w:rPr>
                <w:rFonts w:ascii="Times New Roman" w:hAnsi="Times New Roman" w:cs="Times New Roman"/>
                <w:color w:val="000000"/>
                <w:vertAlign w:val="superscript"/>
                <w:lang w:val="de-DE" w:eastAsia="de-DE"/>
              </w:rPr>
              <w:t>-1</w:t>
            </w:r>
            <w:r w:rsidRPr="004901BF">
              <w:rPr>
                <w:rFonts w:ascii="Times New Roman" w:hAnsi="Times New Roman" w:cs="Times New Roman"/>
                <w:color w:val="000000"/>
                <w:lang w:val="de-DE" w:eastAsia="de-DE"/>
              </w:rPr>
              <w:t xml:space="preserve"> s</w:t>
            </w:r>
            <w:r w:rsidRPr="004901BF">
              <w:rPr>
                <w:rFonts w:ascii="Times New Roman" w:hAnsi="Times New Roman" w:cs="Times New Roman"/>
                <w:color w:val="000000"/>
                <w:vertAlign w:val="superscript"/>
                <w:lang w:val="de-DE" w:eastAsia="de-DE"/>
              </w:rPr>
              <w:t>-1</w:t>
            </w:r>
          </w:p>
        </w:tc>
        <w:tc>
          <w:tcPr>
            <w:tcW w:w="5069" w:type="dxa"/>
          </w:tcPr>
          <w:p w:rsidR="00D340E2" w:rsidRPr="00D31521" w:rsidRDefault="00345F4E" w:rsidP="00183FE4">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1.47</w:t>
            </w:r>
            <w:r w:rsidR="00D31521">
              <w:rPr>
                <w:rFonts w:ascii="Times New Roman" w:hAnsi="Times New Roman" w:cs="Times New Roman"/>
                <w:color w:val="000000"/>
                <w:lang w:val="en-US" w:eastAsia="de-DE"/>
              </w:rPr>
              <w:t xml:space="preserve"> × 10</w:t>
            </w:r>
            <w:r w:rsidR="00D31521">
              <w:rPr>
                <w:rFonts w:ascii="Times New Roman" w:hAnsi="Times New Roman" w:cs="Times New Roman"/>
                <w:color w:val="000000"/>
                <w:vertAlign w:val="superscript"/>
                <w:lang w:val="en-US" w:eastAsia="de-DE"/>
              </w:rPr>
              <w:t>11</w:t>
            </w:r>
            <w:r w:rsidR="00D31521">
              <w:rPr>
                <w:rFonts w:ascii="Times New Roman" w:hAnsi="Times New Roman" w:cs="Times New Roman"/>
                <w:color w:val="000000"/>
                <w:lang w:val="en-US" w:eastAsia="de-DE"/>
              </w:rPr>
              <w:t xml:space="preserve"> </w:t>
            </w:r>
            <w:proofErr w:type="gramStart"/>
            <w:r w:rsidR="00D31521">
              <w:rPr>
                <w:rFonts w:ascii="Times New Roman" w:hAnsi="Times New Roman" w:cs="Times New Roman"/>
                <w:color w:val="000000"/>
                <w:lang w:val="en-US" w:eastAsia="de-DE"/>
              </w:rPr>
              <w:t>exp[</w:t>
            </w:r>
            <w:proofErr w:type="gramEnd"/>
            <w:r w:rsidR="00D31521">
              <w:rPr>
                <w:rFonts w:ascii="Times New Roman" w:hAnsi="Times New Roman" w:cs="Times New Roman"/>
                <w:color w:val="000000"/>
                <w:lang w:val="en-US" w:eastAsia="de-DE"/>
              </w:rPr>
              <w:t>-(</w:t>
            </w:r>
            <w:r>
              <w:rPr>
                <w:rFonts w:ascii="Times New Roman" w:hAnsi="Times New Roman" w:cs="Times New Roman"/>
                <w:color w:val="000000"/>
                <w:lang w:val="en-US" w:eastAsia="de-DE"/>
              </w:rPr>
              <w:t>1100</w:t>
            </w:r>
            <w:r w:rsidR="00D31521">
              <w:rPr>
                <w:rFonts w:ascii="Times New Roman" w:hAnsi="Times New Roman" w:cs="Times New Roman"/>
                <w:color w:val="000000"/>
                <w:lang w:val="en-US" w:eastAsia="de-DE"/>
              </w:rPr>
              <w:t>)/T]</w:t>
            </w:r>
          </w:p>
        </w:tc>
        <w:tc>
          <w:tcPr>
            <w:tcW w:w="2175" w:type="dxa"/>
          </w:tcPr>
          <w:p w:rsidR="00D340E2" w:rsidRPr="002B69B0" w:rsidRDefault="00D31521" w:rsidP="003C1AFE">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278 – 318</w:t>
            </w:r>
          </w:p>
        </w:tc>
      </w:tr>
      <w:tr w:rsidR="0027580C" w:rsidRPr="002B69B0" w:rsidTr="00604D2C">
        <w:tc>
          <w:tcPr>
            <w:tcW w:w="2059" w:type="dxa"/>
          </w:tcPr>
          <w:p w:rsidR="0027580C" w:rsidRPr="002B69B0" w:rsidRDefault="0027580C" w:rsidP="00604D2C">
            <w:pPr>
              <w:widowControl w:val="0"/>
              <w:tabs>
                <w:tab w:val="left" w:pos="0"/>
                <w:tab w:val="left" w:pos="444"/>
                <w:tab w:val="left" w:pos="720"/>
              </w:tabs>
              <w:jc w:val="center"/>
              <w:rPr>
                <w:rFonts w:ascii="Times New Roman" w:hAnsi="Times New Roman" w:cs="Times New Roman"/>
                <w:color w:val="000000"/>
                <w:sz w:val="20"/>
                <w:szCs w:val="20"/>
                <w:highlight w:val="yellow"/>
                <w:lang w:val="en-US" w:eastAsia="de-DE"/>
              </w:rPr>
            </w:pPr>
          </w:p>
        </w:tc>
        <w:tc>
          <w:tcPr>
            <w:tcW w:w="5069" w:type="dxa"/>
          </w:tcPr>
          <w:p w:rsidR="0027580C" w:rsidRPr="002B69B0" w:rsidRDefault="0027580C" w:rsidP="00604D2C">
            <w:pPr>
              <w:widowControl w:val="0"/>
              <w:tabs>
                <w:tab w:val="left" w:pos="0"/>
                <w:tab w:val="left" w:pos="444"/>
                <w:tab w:val="left" w:pos="720"/>
              </w:tabs>
              <w:rPr>
                <w:rFonts w:ascii="Times New Roman" w:hAnsi="Times New Roman" w:cs="Times New Roman"/>
                <w:color w:val="000000"/>
                <w:sz w:val="20"/>
                <w:szCs w:val="20"/>
                <w:highlight w:val="yellow"/>
                <w:lang w:val="en-US" w:eastAsia="de-DE"/>
              </w:rPr>
            </w:pPr>
          </w:p>
        </w:tc>
        <w:tc>
          <w:tcPr>
            <w:tcW w:w="2175" w:type="dxa"/>
          </w:tcPr>
          <w:p w:rsidR="0027580C" w:rsidRPr="002B69B0" w:rsidRDefault="0027580C" w:rsidP="00604D2C">
            <w:pPr>
              <w:widowControl w:val="0"/>
              <w:tabs>
                <w:tab w:val="left" w:pos="0"/>
                <w:tab w:val="left" w:pos="444"/>
                <w:tab w:val="left" w:pos="720"/>
              </w:tabs>
              <w:jc w:val="center"/>
              <w:rPr>
                <w:rFonts w:ascii="Times New Roman" w:hAnsi="Times New Roman" w:cs="Times New Roman"/>
                <w:color w:val="000000"/>
                <w:sz w:val="20"/>
                <w:szCs w:val="20"/>
                <w:highlight w:val="yellow"/>
                <w:lang w:val="en-US" w:eastAsia="de-DE"/>
              </w:rPr>
            </w:pPr>
          </w:p>
        </w:tc>
      </w:tr>
    </w:tbl>
    <w:p w:rsidR="007F4C67" w:rsidRPr="002B69B0" w:rsidRDefault="007F4C67" w:rsidP="007F4C67">
      <w:pPr>
        <w:widowControl w:val="0"/>
        <w:tabs>
          <w:tab w:val="left" w:pos="0"/>
          <w:tab w:val="left" w:pos="444"/>
          <w:tab w:val="left" w:pos="720"/>
        </w:tabs>
        <w:jc w:val="both"/>
        <w:rPr>
          <w:rFonts w:ascii="Times New Roman" w:hAnsi="Times New Roman" w:cs="Times New Roman"/>
          <w:color w:val="000000"/>
          <w:sz w:val="20"/>
          <w:szCs w:val="20"/>
          <w:highlight w:val="yellow"/>
          <w:lang w:val="en-US" w:eastAsia="de-DE"/>
        </w:rPr>
      </w:pPr>
    </w:p>
    <w:p w:rsidR="007F4C67" w:rsidRPr="002B69B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2B69B0">
        <w:rPr>
          <w:rFonts w:ascii="Times New Roman" w:hAnsi="Times New Roman" w:cs="Times New Roman"/>
          <w:i/>
          <w:color w:val="000000"/>
          <w:lang w:val="en-US" w:eastAsia="de-DE"/>
        </w:rPr>
        <w:t>Reliability</w:t>
      </w: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040"/>
        <w:gridCol w:w="2175"/>
      </w:tblGrid>
      <w:tr w:rsidR="007F4C67" w:rsidRPr="002B69B0" w:rsidTr="00604D2C">
        <w:tc>
          <w:tcPr>
            <w:tcW w:w="2088" w:type="dxa"/>
            <w:tcBorders>
              <w:top w:val="nil"/>
              <w:left w:val="nil"/>
              <w:bottom w:val="nil"/>
              <w:right w:val="nil"/>
            </w:tcBorders>
          </w:tcPr>
          <w:p w:rsidR="007F4C67" w:rsidRPr="002B69B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en-US" w:eastAsia="de-DE"/>
              </w:rPr>
            </w:pPr>
            <w:r w:rsidRPr="008F5A1A">
              <w:rPr>
                <w:rFonts w:ascii="Times New Roman" w:hAnsi="Times New Roman" w:cs="Times New Roman"/>
                <w:color w:val="000000"/>
                <w:lang w:val="de-DE" w:eastAsia="de-DE"/>
              </w:rPr>
              <w:t>Δ</w:t>
            </w:r>
            <w:r w:rsidRPr="002B69B0">
              <w:rPr>
                <w:rFonts w:ascii="Times New Roman" w:hAnsi="Times New Roman" w:cs="Times New Roman"/>
                <w:color w:val="000000"/>
                <w:lang w:val="en-US" w:eastAsia="de-DE"/>
              </w:rPr>
              <w:t xml:space="preserve"> log</w:t>
            </w:r>
            <w:r w:rsidRPr="002B69B0">
              <w:rPr>
                <w:rFonts w:ascii="Times New Roman" w:hAnsi="Times New Roman" w:cs="Times New Roman"/>
                <w:i/>
                <w:color w:val="000000"/>
                <w:lang w:val="en-US" w:eastAsia="de-DE"/>
              </w:rPr>
              <w:t xml:space="preserve"> k</w:t>
            </w:r>
          </w:p>
        </w:tc>
        <w:tc>
          <w:tcPr>
            <w:tcW w:w="5040" w:type="dxa"/>
            <w:tcBorders>
              <w:top w:val="nil"/>
              <w:left w:val="nil"/>
              <w:bottom w:val="nil"/>
              <w:right w:val="nil"/>
            </w:tcBorders>
          </w:tcPr>
          <w:p w:rsidR="007F4C67" w:rsidRPr="00D340E2" w:rsidRDefault="00D31521" w:rsidP="00A11D3C">
            <w:pPr>
              <w:widowControl w:val="0"/>
              <w:tabs>
                <w:tab w:val="left" w:pos="0"/>
                <w:tab w:val="left" w:pos="444"/>
                <w:tab w:val="left" w:pos="720"/>
              </w:tabs>
              <w:rPr>
                <w:rFonts w:ascii="Times New Roman" w:hAnsi="Times New Roman" w:cs="Times New Roman"/>
                <w:color w:val="000000"/>
                <w:lang w:val="en-US" w:eastAsia="de-DE"/>
              </w:rPr>
            </w:pPr>
            <w:r>
              <w:rPr>
                <w:rFonts w:ascii="Times New Roman" w:hAnsi="Times New Roman" w:cs="Times New Roman"/>
                <w:color w:val="000000"/>
                <w:lang w:val="en-US" w:eastAsia="de-DE"/>
              </w:rPr>
              <w:t>±</w:t>
            </w:r>
            <w:r w:rsidR="00F64B32">
              <w:rPr>
                <w:rFonts w:ascii="Times New Roman" w:hAnsi="Times New Roman" w:cs="Times New Roman"/>
                <w:color w:val="000000"/>
                <w:lang w:val="en-US" w:eastAsia="de-DE"/>
              </w:rPr>
              <w:t>0.</w:t>
            </w:r>
            <w:r w:rsidR="00A11D3C">
              <w:rPr>
                <w:rFonts w:ascii="Times New Roman" w:hAnsi="Times New Roman" w:cs="Times New Roman"/>
                <w:color w:val="000000"/>
                <w:lang w:val="en-US" w:eastAsia="de-DE"/>
              </w:rPr>
              <w:t>15</w:t>
            </w:r>
          </w:p>
        </w:tc>
        <w:tc>
          <w:tcPr>
            <w:tcW w:w="2175" w:type="dxa"/>
            <w:tcBorders>
              <w:top w:val="nil"/>
              <w:left w:val="nil"/>
              <w:bottom w:val="nil"/>
              <w:right w:val="nil"/>
            </w:tcBorders>
          </w:tcPr>
          <w:p w:rsidR="007F4C67" w:rsidRPr="00D340E2" w:rsidRDefault="00D31521"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298</w:t>
            </w:r>
          </w:p>
        </w:tc>
      </w:tr>
      <w:tr w:rsidR="007F4C67" w:rsidRPr="002B69B0" w:rsidTr="00604D2C">
        <w:tc>
          <w:tcPr>
            <w:tcW w:w="2088" w:type="dxa"/>
            <w:tcBorders>
              <w:top w:val="nil"/>
              <w:left w:val="nil"/>
              <w:bottom w:val="nil"/>
              <w:right w:val="nil"/>
            </w:tcBorders>
          </w:tcPr>
          <w:p w:rsidR="007F4C67" w:rsidRPr="002B69B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en-US" w:eastAsia="de-DE"/>
              </w:rPr>
            </w:pPr>
            <w:r w:rsidRPr="008F5A1A">
              <w:rPr>
                <w:rFonts w:ascii="Times New Roman" w:hAnsi="Times New Roman" w:cs="Times New Roman"/>
                <w:color w:val="000000"/>
                <w:lang w:val="de-DE" w:eastAsia="de-DE"/>
              </w:rPr>
              <w:t>Δ</w:t>
            </w:r>
            <w:r w:rsidRPr="002B69B0">
              <w:rPr>
                <w:rFonts w:ascii="Times New Roman" w:hAnsi="Times New Roman" w:cs="Times New Roman"/>
                <w:color w:val="000000"/>
                <w:lang w:val="en-US" w:eastAsia="de-DE"/>
              </w:rPr>
              <w:t xml:space="preserve"> E</w:t>
            </w:r>
            <w:r w:rsidRPr="002B69B0">
              <w:rPr>
                <w:rFonts w:ascii="Times New Roman" w:hAnsi="Times New Roman" w:cs="Times New Roman"/>
                <w:color w:val="000000"/>
                <w:vertAlign w:val="subscript"/>
                <w:lang w:val="en-US" w:eastAsia="de-DE"/>
              </w:rPr>
              <w:t>A</w:t>
            </w:r>
            <w:r w:rsidRPr="002B69B0">
              <w:rPr>
                <w:rFonts w:ascii="Times New Roman" w:hAnsi="Times New Roman" w:cs="Times New Roman"/>
                <w:color w:val="000000"/>
                <w:lang w:val="en-US" w:eastAsia="de-DE"/>
              </w:rPr>
              <w:t>/R</w:t>
            </w:r>
          </w:p>
        </w:tc>
        <w:tc>
          <w:tcPr>
            <w:tcW w:w="5040" w:type="dxa"/>
            <w:tcBorders>
              <w:top w:val="nil"/>
              <w:left w:val="nil"/>
              <w:bottom w:val="nil"/>
              <w:right w:val="nil"/>
            </w:tcBorders>
          </w:tcPr>
          <w:p w:rsidR="007F4C67" w:rsidRPr="00D340E2" w:rsidRDefault="00A10E56" w:rsidP="00183FE4">
            <w:pPr>
              <w:widowControl w:val="0"/>
              <w:tabs>
                <w:tab w:val="left" w:pos="0"/>
                <w:tab w:val="left" w:pos="444"/>
                <w:tab w:val="left" w:pos="720"/>
              </w:tabs>
              <w:rPr>
                <w:rFonts w:ascii="Times New Roman" w:hAnsi="Times New Roman" w:cs="Times New Roman"/>
                <w:color w:val="000000"/>
                <w:lang w:val="en-US" w:eastAsia="de-DE"/>
              </w:rPr>
            </w:pPr>
            <w:r>
              <w:rPr>
                <w:rFonts w:ascii="Times New Roman" w:hAnsi="Times New Roman" w:cs="Times New Roman"/>
                <w:color w:val="000000"/>
                <w:lang w:val="en-US" w:eastAsia="de-DE"/>
              </w:rPr>
              <w:t>±</w:t>
            </w:r>
            <w:r w:rsidR="00345F4E">
              <w:rPr>
                <w:rFonts w:ascii="Times New Roman" w:hAnsi="Times New Roman" w:cs="Times New Roman"/>
                <w:color w:val="000000"/>
                <w:lang w:val="en-US" w:eastAsia="de-DE"/>
              </w:rPr>
              <w:t>150</w:t>
            </w:r>
          </w:p>
        </w:tc>
        <w:tc>
          <w:tcPr>
            <w:tcW w:w="2175" w:type="dxa"/>
            <w:tcBorders>
              <w:top w:val="nil"/>
              <w:left w:val="nil"/>
              <w:bottom w:val="nil"/>
              <w:right w:val="nil"/>
            </w:tcBorders>
          </w:tcPr>
          <w:p w:rsidR="007F4C67" w:rsidRPr="00D340E2" w:rsidRDefault="00D31521"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278 – 318</w:t>
            </w:r>
          </w:p>
        </w:tc>
      </w:tr>
      <w:tr w:rsidR="002B69B0" w:rsidRPr="002B69B0" w:rsidTr="00604D2C">
        <w:tc>
          <w:tcPr>
            <w:tcW w:w="2088" w:type="dxa"/>
            <w:tcBorders>
              <w:top w:val="nil"/>
              <w:left w:val="nil"/>
              <w:bottom w:val="nil"/>
              <w:right w:val="nil"/>
            </w:tcBorders>
          </w:tcPr>
          <w:p w:rsidR="002B69B0" w:rsidRPr="008F5A1A" w:rsidRDefault="002B69B0" w:rsidP="00604D2C">
            <w:pPr>
              <w:widowControl w:val="0"/>
              <w:tabs>
                <w:tab w:val="left" w:pos="0"/>
                <w:tab w:val="left" w:pos="444"/>
                <w:tab w:val="left" w:pos="720"/>
              </w:tabs>
              <w:jc w:val="center"/>
              <w:rPr>
                <w:rFonts w:ascii="Times New Roman" w:hAnsi="Times New Roman" w:cs="Times New Roman"/>
                <w:color w:val="000000"/>
                <w:lang w:val="de-DE" w:eastAsia="de-DE"/>
              </w:rPr>
            </w:pPr>
          </w:p>
        </w:tc>
        <w:tc>
          <w:tcPr>
            <w:tcW w:w="5040" w:type="dxa"/>
            <w:tcBorders>
              <w:top w:val="nil"/>
              <w:left w:val="nil"/>
              <w:bottom w:val="nil"/>
              <w:right w:val="nil"/>
            </w:tcBorders>
          </w:tcPr>
          <w:p w:rsidR="002B69B0" w:rsidRPr="002B69B0" w:rsidRDefault="002B69B0" w:rsidP="00604D2C">
            <w:pPr>
              <w:widowControl w:val="0"/>
              <w:tabs>
                <w:tab w:val="left" w:pos="0"/>
                <w:tab w:val="left" w:pos="444"/>
                <w:tab w:val="left" w:pos="720"/>
              </w:tabs>
              <w:rPr>
                <w:rFonts w:ascii="Times New Roman" w:hAnsi="Times New Roman" w:cs="Times New Roman"/>
                <w:color w:val="000000"/>
                <w:lang w:val="en-US" w:eastAsia="de-DE"/>
              </w:rPr>
            </w:pPr>
          </w:p>
        </w:tc>
        <w:tc>
          <w:tcPr>
            <w:tcW w:w="2175" w:type="dxa"/>
            <w:tcBorders>
              <w:top w:val="nil"/>
              <w:left w:val="nil"/>
              <w:bottom w:val="nil"/>
              <w:right w:val="nil"/>
            </w:tcBorders>
          </w:tcPr>
          <w:p w:rsidR="002B69B0" w:rsidRPr="00D340E2" w:rsidRDefault="002B69B0" w:rsidP="00604D2C">
            <w:pPr>
              <w:widowControl w:val="0"/>
              <w:tabs>
                <w:tab w:val="left" w:pos="0"/>
                <w:tab w:val="left" w:pos="444"/>
                <w:tab w:val="left" w:pos="720"/>
              </w:tabs>
              <w:jc w:val="center"/>
              <w:rPr>
                <w:rFonts w:ascii="Times New Roman" w:hAnsi="Times New Roman" w:cs="Times New Roman"/>
                <w:color w:val="000000"/>
                <w:lang w:val="en-US" w:eastAsia="de-DE"/>
              </w:rPr>
            </w:pPr>
          </w:p>
        </w:tc>
      </w:tr>
    </w:tbl>
    <w:p w:rsidR="007F4C67" w:rsidRPr="00AB0CD0" w:rsidRDefault="007F4C67" w:rsidP="007F4C67">
      <w:pPr>
        <w:widowControl w:val="0"/>
        <w:tabs>
          <w:tab w:val="left" w:pos="0"/>
          <w:tab w:val="left" w:pos="444"/>
          <w:tab w:val="left" w:pos="720"/>
        </w:tabs>
        <w:jc w:val="both"/>
        <w:rPr>
          <w:rFonts w:ascii="Times New Roman" w:hAnsi="Times New Roman" w:cs="Times New Roman"/>
          <w:color w:val="000000"/>
          <w:lang w:val="en-US" w:eastAsia="de-DE"/>
        </w:rPr>
      </w:pPr>
    </w:p>
    <w:p w:rsidR="00AB0CD0" w:rsidRPr="00AB0CD0" w:rsidRDefault="00AB0CD0" w:rsidP="007F4C67">
      <w:pPr>
        <w:widowControl w:val="0"/>
        <w:tabs>
          <w:tab w:val="left" w:pos="0"/>
          <w:tab w:val="left" w:pos="444"/>
          <w:tab w:val="left" w:pos="720"/>
        </w:tabs>
        <w:jc w:val="both"/>
        <w:rPr>
          <w:rFonts w:ascii="Times New Roman" w:hAnsi="Times New Roman" w:cs="Times New Roman"/>
          <w:color w:val="000000"/>
          <w:lang w:val="en-US" w:eastAsia="de-DE"/>
        </w:rPr>
      </w:pPr>
    </w:p>
    <w:p w:rsidR="007F4C67" w:rsidRPr="00F1625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F16250">
        <w:rPr>
          <w:rFonts w:ascii="Times New Roman" w:hAnsi="Times New Roman" w:cs="Times New Roman"/>
          <w:i/>
          <w:color w:val="000000"/>
          <w:lang w:val="en-US" w:eastAsia="de-DE"/>
        </w:rPr>
        <w:t>Comments on Preferred Values</w:t>
      </w:r>
    </w:p>
    <w:p w:rsidR="00450818" w:rsidRPr="00404CD3" w:rsidRDefault="00450818" w:rsidP="00404CD3">
      <w:pPr>
        <w:tabs>
          <w:tab w:val="left" w:pos="0"/>
          <w:tab w:val="left" w:pos="444"/>
          <w:tab w:val="left" w:pos="720"/>
        </w:tabs>
        <w:suppressAutoHyphens/>
        <w:spacing w:line="240" w:lineRule="atLeast"/>
        <w:rPr>
          <w:spacing w:val="-3"/>
          <w:sz w:val="22"/>
          <w:szCs w:val="22"/>
          <w:lang w:val="en-US"/>
        </w:rPr>
      </w:pPr>
    </w:p>
    <w:p w:rsidR="00F64B32" w:rsidRPr="00F64B32" w:rsidRDefault="00820E29" w:rsidP="00F64B32">
      <w:pPr>
        <w:tabs>
          <w:tab w:val="left" w:pos="0"/>
          <w:tab w:val="left" w:pos="444"/>
          <w:tab w:val="left" w:pos="720"/>
        </w:tabs>
        <w:suppressAutoHyphens/>
        <w:spacing w:line="240" w:lineRule="atLeast"/>
        <w:rPr>
          <w:spacing w:val="-3"/>
          <w:lang w:val="en-CA"/>
        </w:rPr>
      </w:pPr>
      <w:r>
        <w:rPr>
          <w:spacing w:val="-3"/>
          <w:lang w:val="en-CA"/>
        </w:rPr>
        <w:t>The available rate coefficient determined by Anbar et al. (1966) has been combined with the temperature dependent determination by Hoffmann et al. (2009). As the data agree well with each other within error limits, the result is the mean of them. The former</w:t>
      </w:r>
      <w:r w:rsidR="00A273DD">
        <w:rPr>
          <w:spacing w:val="-3"/>
          <w:lang w:val="en-CA"/>
        </w:rPr>
        <w:t>ly</w:t>
      </w:r>
      <w:r>
        <w:rPr>
          <w:spacing w:val="-3"/>
          <w:lang w:val="en-CA"/>
        </w:rPr>
        <w:t xml:space="preserve"> recommended rate coefficient by Buxton et al. in 1988 (3.6</w:t>
      </w:r>
      <w:r>
        <w:rPr>
          <w:rFonts w:eastAsia="Symbol" w:cs="Symbol"/>
          <w:lang w:val="en-GB"/>
        </w:rPr>
        <w:t> </w:t>
      </w:r>
      <w:r>
        <w:rPr>
          <w:rFonts w:eastAsia="Symbol"/>
          <w:lang w:val="en-GB"/>
        </w:rPr>
        <w:t>×</w:t>
      </w:r>
      <w:r>
        <w:rPr>
          <w:rFonts w:eastAsia="Symbol" w:cs="Symbol"/>
          <w:lang w:val="en-GB"/>
        </w:rPr>
        <w:t> 10</w:t>
      </w:r>
      <w:r w:rsidRPr="00D428BB">
        <w:rPr>
          <w:rFonts w:eastAsia="Symbol" w:cs="Symbol"/>
          <w:vertAlign w:val="superscript"/>
          <w:lang w:val="en-GB"/>
        </w:rPr>
        <w:t>10</w:t>
      </w:r>
      <w:r>
        <w:rPr>
          <w:rFonts w:eastAsia="Symbol" w:cs="Symbol"/>
          <w:lang w:val="en-GB"/>
        </w:rPr>
        <w:t> </w:t>
      </w:r>
      <w:r w:rsidRPr="00D428BB">
        <w:rPr>
          <w:rFonts w:eastAsia="Symbol" w:cs="Symbol"/>
          <w:lang w:val="en-GB"/>
        </w:rPr>
        <w:t>M</w:t>
      </w:r>
      <w:r w:rsidRPr="00D428BB">
        <w:rPr>
          <w:rFonts w:eastAsia="Symbol" w:cs="Symbol"/>
          <w:vertAlign w:val="superscript"/>
          <w:lang w:val="en-GB"/>
        </w:rPr>
        <w:noBreakHyphen/>
        <w:t>1</w:t>
      </w:r>
      <w:r>
        <w:rPr>
          <w:rFonts w:eastAsia="Symbol" w:cs="Symbol"/>
          <w:lang w:val="en-GB"/>
        </w:rPr>
        <w:t> s</w:t>
      </w:r>
      <w:r>
        <w:rPr>
          <w:rFonts w:eastAsia="Symbol" w:cs="Symbol"/>
          <w:vertAlign w:val="superscript"/>
          <w:lang w:val="en-GB"/>
        </w:rPr>
        <w:noBreakHyphen/>
        <w:t>1</w:t>
      </w:r>
      <w:r>
        <w:rPr>
          <w:spacing w:val="-3"/>
          <w:lang w:val="en-CA"/>
        </w:rPr>
        <w:t xml:space="preserve">) and Monod and </w:t>
      </w:r>
      <w:proofErr w:type="spellStart"/>
      <w:r>
        <w:rPr>
          <w:spacing w:val="-3"/>
          <w:lang w:val="en-CA"/>
        </w:rPr>
        <w:t>Doussin</w:t>
      </w:r>
      <w:proofErr w:type="spellEnd"/>
      <w:r>
        <w:rPr>
          <w:spacing w:val="-3"/>
          <w:lang w:val="en-CA"/>
        </w:rPr>
        <w:t xml:space="preserve"> in 2008 (3.81</w:t>
      </w:r>
      <w:r>
        <w:rPr>
          <w:rFonts w:eastAsia="Symbol" w:cs="Symbol"/>
          <w:lang w:val="en-GB"/>
        </w:rPr>
        <w:t> </w:t>
      </w:r>
      <w:r>
        <w:rPr>
          <w:rFonts w:eastAsia="Symbol"/>
          <w:lang w:val="en-GB"/>
        </w:rPr>
        <w:t>×</w:t>
      </w:r>
      <w:r>
        <w:rPr>
          <w:rFonts w:eastAsia="Symbol" w:cs="Symbol"/>
          <w:lang w:val="en-GB"/>
        </w:rPr>
        <w:t> 10</w:t>
      </w:r>
      <w:r w:rsidRPr="00D428BB">
        <w:rPr>
          <w:rFonts w:eastAsia="Symbol" w:cs="Symbol"/>
          <w:vertAlign w:val="superscript"/>
          <w:lang w:val="en-GB"/>
        </w:rPr>
        <w:t>10</w:t>
      </w:r>
      <w:r>
        <w:rPr>
          <w:rFonts w:eastAsia="Symbol" w:cs="Symbol"/>
          <w:lang w:val="en-GB"/>
        </w:rPr>
        <w:t> </w:t>
      </w:r>
      <w:r w:rsidRPr="00D428BB">
        <w:rPr>
          <w:rFonts w:eastAsia="Symbol" w:cs="Symbol"/>
          <w:lang w:val="en-GB"/>
        </w:rPr>
        <w:t>M</w:t>
      </w:r>
      <w:r w:rsidRPr="00D428BB">
        <w:rPr>
          <w:rFonts w:eastAsia="Symbol" w:cs="Symbol"/>
          <w:vertAlign w:val="superscript"/>
          <w:lang w:val="en-GB"/>
        </w:rPr>
        <w:noBreakHyphen/>
        <w:t>1</w:t>
      </w:r>
      <w:r>
        <w:rPr>
          <w:rFonts w:eastAsia="Symbol" w:cs="Symbol"/>
          <w:lang w:val="en-GB"/>
        </w:rPr>
        <w:t> s</w:t>
      </w:r>
      <w:r>
        <w:rPr>
          <w:rFonts w:eastAsia="Symbol" w:cs="Symbol"/>
          <w:vertAlign w:val="superscript"/>
          <w:lang w:val="en-GB"/>
        </w:rPr>
        <w:noBreakHyphen/>
        <w:t>1</w:t>
      </w:r>
      <w:r>
        <w:rPr>
          <w:spacing w:val="-3"/>
          <w:lang w:val="en-CA"/>
        </w:rPr>
        <w:t xml:space="preserve">) are both slightly lower than </w:t>
      </w:r>
      <w:r w:rsidR="001606AE">
        <w:rPr>
          <w:spacing w:val="-3"/>
          <w:lang w:val="en-CA"/>
        </w:rPr>
        <w:t>the present</w:t>
      </w:r>
      <w:r>
        <w:rPr>
          <w:spacing w:val="-3"/>
          <w:lang w:val="en-CA"/>
        </w:rPr>
        <w:t xml:space="preserve"> recommendation</w:t>
      </w:r>
      <w:r w:rsidR="004604BC">
        <w:rPr>
          <w:spacing w:val="-3"/>
          <w:lang w:val="en-CA"/>
        </w:rPr>
        <w:t xml:space="preserve"> after adjustment to the new reference rate constant by Zhou et al. (2003)</w:t>
      </w:r>
      <w:r>
        <w:rPr>
          <w:spacing w:val="-3"/>
          <w:lang w:val="en-CA"/>
        </w:rPr>
        <w:t xml:space="preserve">, but </w:t>
      </w:r>
      <w:r w:rsidR="00A273DD">
        <w:rPr>
          <w:spacing w:val="-3"/>
          <w:lang w:val="en-CA"/>
        </w:rPr>
        <w:t xml:space="preserve">they still </w:t>
      </w:r>
      <w:r>
        <w:rPr>
          <w:spacing w:val="-3"/>
          <w:lang w:val="en-CA"/>
        </w:rPr>
        <w:t>agree with it within error limits.</w:t>
      </w:r>
      <w:r w:rsidR="00F64B32">
        <w:rPr>
          <w:spacing w:val="-3"/>
          <w:lang w:val="en-CA"/>
        </w:rPr>
        <w:t xml:space="preserve"> The relative error of the recommended room temperature rate </w:t>
      </w:r>
      <w:r>
        <w:rPr>
          <w:spacing w:val="-3"/>
          <w:lang w:val="en-CA"/>
        </w:rPr>
        <w:t xml:space="preserve">coefficient </w:t>
      </w:r>
      <w:r w:rsidR="00F64B32">
        <w:rPr>
          <w:spacing w:val="-3"/>
          <w:lang w:val="en-CA"/>
        </w:rPr>
        <w:t xml:space="preserve">is </w:t>
      </w:r>
      <w:r>
        <w:rPr>
          <w:spacing w:val="-3"/>
          <w:lang w:val="en-CA"/>
        </w:rPr>
        <w:t>e</w:t>
      </w:r>
      <w:r w:rsidR="00F64B32">
        <w:rPr>
          <w:spacing w:val="-3"/>
          <w:lang w:val="en-CA"/>
        </w:rPr>
        <w:t xml:space="preserve">stimated </w:t>
      </w:r>
      <w:r>
        <w:rPr>
          <w:spacing w:val="-3"/>
          <w:lang w:val="en-CA"/>
        </w:rPr>
        <w:t>to be</w:t>
      </w:r>
      <w:r w:rsidR="00F64B32">
        <w:rPr>
          <w:spacing w:val="-3"/>
          <w:lang w:val="en-CA"/>
        </w:rPr>
        <w:t xml:space="preserve"> ±</w:t>
      </w:r>
      <w:r>
        <w:rPr>
          <w:spacing w:val="-3"/>
          <w:lang w:val="en-CA"/>
        </w:rPr>
        <w:t>33</w:t>
      </w:r>
      <w:r w:rsidR="00F64B32">
        <w:rPr>
          <w:spacing w:val="-3"/>
          <w:lang w:val="en-CA"/>
        </w:rPr>
        <w:t xml:space="preserve">% or </w:t>
      </w:r>
      <w:r w:rsidR="00F64B32" w:rsidRPr="008F5A1A">
        <w:rPr>
          <w:rFonts w:ascii="Times New Roman" w:hAnsi="Times New Roman" w:cs="Times New Roman"/>
          <w:color w:val="000000"/>
          <w:lang w:val="de-DE" w:eastAsia="de-DE"/>
        </w:rPr>
        <w:t>Δ</w:t>
      </w:r>
      <w:r w:rsidR="00F64B32" w:rsidRPr="002B69B0">
        <w:rPr>
          <w:rFonts w:ascii="Times New Roman" w:hAnsi="Times New Roman" w:cs="Times New Roman"/>
          <w:color w:val="000000"/>
          <w:lang w:val="en-US" w:eastAsia="de-DE"/>
        </w:rPr>
        <w:t xml:space="preserve"> log</w:t>
      </w:r>
      <w:r w:rsidR="00F64B32" w:rsidRPr="002B69B0">
        <w:rPr>
          <w:rFonts w:ascii="Times New Roman" w:hAnsi="Times New Roman" w:cs="Times New Roman"/>
          <w:i/>
          <w:color w:val="000000"/>
          <w:lang w:val="en-US" w:eastAsia="de-DE"/>
        </w:rPr>
        <w:t xml:space="preserve"> k</w:t>
      </w:r>
      <w:r w:rsidR="00F64B32">
        <w:rPr>
          <w:rFonts w:ascii="Times New Roman" w:hAnsi="Times New Roman" w:cs="Times New Roman"/>
          <w:i/>
          <w:color w:val="000000"/>
          <w:lang w:val="en-US" w:eastAsia="de-DE"/>
        </w:rPr>
        <w:t> </w:t>
      </w:r>
      <w:r w:rsidR="00F64B32">
        <w:rPr>
          <w:rFonts w:ascii="Times New Roman" w:hAnsi="Times New Roman" w:cs="Times New Roman"/>
          <w:color w:val="000000"/>
          <w:lang w:val="en-US" w:eastAsia="de-DE"/>
        </w:rPr>
        <w:t>= ±0.</w:t>
      </w:r>
      <w:r>
        <w:rPr>
          <w:rFonts w:ascii="Times New Roman" w:hAnsi="Times New Roman" w:cs="Times New Roman"/>
          <w:color w:val="000000"/>
          <w:lang w:val="en-US" w:eastAsia="de-DE"/>
        </w:rPr>
        <w:t>15</w:t>
      </w:r>
      <w:r w:rsidR="00F64B32">
        <w:rPr>
          <w:rFonts w:ascii="Times New Roman" w:hAnsi="Times New Roman" w:cs="Times New Roman"/>
          <w:color w:val="000000"/>
          <w:lang w:val="en-US" w:eastAsia="de-DE"/>
        </w:rPr>
        <w:t>.</w:t>
      </w:r>
    </w:p>
    <w:p w:rsidR="00D31521" w:rsidRDefault="00D31521" w:rsidP="00D31521">
      <w:pPr>
        <w:tabs>
          <w:tab w:val="left" w:pos="0"/>
          <w:tab w:val="left" w:pos="444"/>
          <w:tab w:val="left" w:pos="720"/>
        </w:tabs>
        <w:suppressAutoHyphens/>
        <w:spacing w:line="240" w:lineRule="atLeast"/>
        <w:rPr>
          <w:spacing w:val="-3"/>
          <w:lang w:val="en-CA"/>
        </w:rPr>
      </w:pPr>
    </w:p>
    <w:p w:rsidR="00821651" w:rsidRPr="007C1BA6" w:rsidRDefault="00821651" w:rsidP="00821651">
      <w:pPr>
        <w:tabs>
          <w:tab w:val="left" w:pos="0"/>
          <w:tab w:val="left" w:pos="444"/>
          <w:tab w:val="left" w:pos="720"/>
        </w:tabs>
        <w:suppressAutoHyphens/>
        <w:spacing w:line="240" w:lineRule="atLeast"/>
        <w:jc w:val="center"/>
        <w:rPr>
          <w:spacing w:val="-3"/>
          <w:lang w:val="en-CA"/>
        </w:rPr>
      </w:pPr>
      <w:r w:rsidRPr="007C1BA6">
        <w:rPr>
          <w:b/>
          <w:spacing w:val="-3"/>
          <w:lang w:val="en-CA"/>
        </w:rPr>
        <w:t>References</w:t>
      </w:r>
    </w:p>
    <w:p w:rsidR="0027580C" w:rsidRDefault="0027580C" w:rsidP="007813B8">
      <w:pPr>
        <w:tabs>
          <w:tab w:val="left" w:pos="288"/>
          <w:tab w:val="left" w:pos="426"/>
          <w:tab w:val="left" w:pos="720"/>
        </w:tabs>
        <w:suppressAutoHyphens/>
        <w:ind w:left="420" w:hanging="420"/>
        <w:jc w:val="both"/>
        <w:rPr>
          <w:spacing w:val="-3"/>
          <w:lang w:val="en-US"/>
        </w:rPr>
      </w:pPr>
    </w:p>
    <w:p w:rsidR="00EA674C" w:rsidRDefault="00D340E2" w:rsidP="007813B8">
      <w:pPr>
        <w:tabs>
          <w:tab w:val="left" w:pos="288"/>
          <w:tab w:val="left" w:pos="426"/>
          <w:tab w:val="left" w:pos="720"/>
        </w:tabs>
        <w:suppressAutoHyphens/>
        <w:ind w:left="420" w:hanging="420"/>
        <w:jc w:val="both"/>
        <w:rPr>
          <w:spacing w:val="-3"/>
          <w:lang w:val="en-US"/>
        </w:rPr>
      </w:pPr>
      <w:r w:rsidRPr="00D340E2">
        <w:rPr>
          <w:spacing w:val="-3"/>
          <w:lang w:val="en-US"/>
        </w:rPr>
        <w:t xml:space="preserve">Anbar, M., </w:t>
      </w:r>
      <w:proofErr w:type="spellStart"/>
      <w:r w:rsidRPr="00D340E2">
        <w:rPr>
          <w:spacing w:val="-3"/>
          <w:lang w:val="en-US"/>
        </w:rPr>
        <w:t>Meyerstein</w:t>
      </w:r>
      <w:proofErr w:type="spellEnd"/>
      <w:r w:rsidRPr="00D340E2">
        <w:rPr>
          <w:spacing w:val="-3"/>
          <w:lang w:val="en-US"/>
        </w:rPr>
        <w:t>, D. and Neta, P.: J. Chem. Soc. B, 742-747, 1966.</w:t>
      </w:r>
    </w:p>
    <w:p w:rsidR="00D340E2" w:rsidRDefault="00D340E2" w:rsidP="007813B8">
      <w:pPr>
        <w:tabs>
          <w:tab w:val="left" w:pos="288"/>
          <w:tab w:val="left" w:pos="426"/>
          <w:tab w:val="left" w:pos="720"/>
        </w:tabs>
        <w:suppressAutoHyphens/>
        <w:ind w:left="420" w:hanging="420"/>
        <w:jc w:val="both"/>
        <w:rPr>
          <w:spacing w:val="-3"/>
          <w:lang w:val="en-US"/>
        </w:rPr>
      </w:pPr>
    </w:p>
    <w:p w:rsidR="00014066" w:rsidRDefault="00D340E2" w:rsidP="007813B8">
      <w:pPr>
        <w:tabs>
          <w:tab w:val="left" w:pos="288"/>
          <w:tab w:val="left" w:pos="426"/>
          <w:tab w:val="left" w:pos="720"/>
        </w:tabs>
        <w:suppressAutoHyphens/>
        <w:ind w:left="420" w:hanging="420"/>
        <w:jc w:val="both"/>
        <w:rPr>
          <w:spacing w:val="-3"/>
          <w:lang w:val="en-US"/>
        </w:rPr>
      </w:pPr>
      <w:r w:rsidRPr="00D340E2">
        <w:rPr>
          <w:spacing w:val="-3"/>
          <w:lang w:val="en-US"/>
        </w:rPr>
        <w:t xml:space="preserve">Buxton, G. V., </w:t>
      </w:r>
      <w:proofErr w:type="spellStart"/>
      <w:r w:rsidRPr="00D340E2">
        <w:rPr>
          <w:spacing w:val="-3"/>
          <w:lang w:val="en-US"/>
        </w:rPr>
        <w:t>Greenstock</w:t>
      </w:r>
      <w:proofErr w:type="spellEnd"/>
      <w:r w:rsidRPr="00D340E2">
        <w:rPr>
          <w:spacing w:val="-3"/>
          <w:lang w:val="en-US"/>
        </w:rPr>
        <w:t>, C. L., Helman, W. P. and Ross, A. B.: J. Phys. Chem. Ref. Data, 12(2), 513 – 886, 1988.</w:t>
      </w:r>
    </w:p>
    <w:p w:rsidR="00D340E2" w:rsidRDefault="00D340E2" w:rsidP="007813B8">
      <w:pPr>
        <w:tabs>
          <w:tab w:val="left" w:pos="288"/>
          <w:tab w:val="left" w:pos="426"/>
          <w:tab w:val="left" w:pos="720"/>
        </w:tabs>
        <w:suppressAutoHyphens/>
        <w:ind w:left="420" w:hanging="420"/>
        <w:jc w:val="both"/>
        <w:rPr>
          <w:spacing w:val="-3"/>
          <w:lang w:val="en-US"/>
        </w:rPr>
      </w:pPr>
    </w:p>
    <w:p w:rsidR="00D340E2" w:rsidRDefault="00D340E2" w:rsidP="007813B8">
      <w:pPr>
        <w:tabs>
          <w:tab w:val="left" w:pos="288"/>
          <w:tab w:val="left" w:pos="426"/>
          <w:tab w:val="left" w:pos="720"/>
        </w:tabs>
        <w:suppressAutoHyphens/>
        <w:ind w:left="420" w:hanging="420"/>
        <w:jc w:val="both"/>
        <w:rPr>
          <w:spacing w:val="-3"/>
          <w:lang w:val="en-US"/>
        </w:rPr>
      </w:pPr>
      <w:r w:rsidRPr="00CE2E98">
        <w:rPr>
          <w:spacing w:val="-3"/>
          <w:lang w:val="de-DE"/>
        </w:rPr>
        <w:t xml:space="preserve">Hoffmann, D., Weigert, B., </w:t>
      </w:r>
      <w:proofErr w:type="spellStart"/>
      <w:r w:rsidRPr="00CE2E98">
        <w:rPr>
          <w:spacing w:val="-3"/>
          <w:lang w:val="de-DE"/>
        </w:rPr>
        <w:t>Barzaghi</w:t>
      </w:r>
      <w:proofErr w:type="spellEnd"/>
      <w:r w:rsidRPr="00CE2E98">
        <w:rPr>
          <w:spacing w:val="-3"/>
          <w:lang w:val="de-DE"/>
        </w:rPr>
        <w:t xml:space="preserve">, P. and Herrmann, H.: Phys. </w:t>
      </w:r>
      <w:r w:rsidRPr="00D340E2">
        <w:rPr>
          <w:spacing w:val="-3"/>
          <w:lang w:val="en-US"/>
        </w:rPr>
        <w:t>Chem. Chem. Phys., 11, 9351-9363, 2009.</w:t>
      </w:r>
    </w:p>
    <w:p w:rsidR="00D340E2" w:rsidRDefault="00D340E2" w:rsidP="007813B8">
      <w:pPr>
        <w:tabs>
          <w:tab w:val="left" w:pos="288"/>
          <w:tab w:val="left" w:pos="426"/>
          <w:tab w:val="left" w:pos="720"/>
        </w:tabs>
        <w:suppressAutoHyphens/>
        <w:ind w:left="420" w:hanging="420"/>
        <w:jc w:val="both"/>
        <w:rPr>
          <w:spacing w:val="-3"/>
          <w:lang w:val="en-US"/>
        </w:rPr>
      </w:pPr>
    </w:p>
    <w:p w:rsidR="00AB0CD0" w:rsidRPr="00AB0CD0" w:rsidRDefault="00AB0CD0" w:rsidP="00AB0CD0">
      <w:pPr>
        <w:jc w:val="both"/>
        <w:rPr>
          <w:rFonts w:cs="Times New Roman"/>
          <w:color w:val="000000"/>
          <w:lang w:val="en-CA" w:eastAsia="en-CA"/>
        </w:rPr>
      </w:pPr>
      <w:proofErr w:type="spellStart"/>
      <w:r w:rsidRPr="00AB0CD0">
        <w:rPr>
          <w:rFonts w:cs="Times New Roman"/>
          <w:color w:val="000000"/>
          <w:lang w:val="en-CA" w:eastAsia="en-CA"/>
        </w:rPr>
        <w:t>Kraljić</w:t>
      </w:r>
      <w:proofErr w:type="spellEnd"/>
      <w:r w:rsidRPr="00AB0CD0">
        <w:rPr>
          <w:rFonts w:cs="Times New Roman"/>
          <w:color w:val="000000"/>
          <w:lang w:val="en-CA" w:eastAsia="en-CA"/>
        </w:rPr>
        <w:t xml:space="preserve">, I. and </w:t>
      </w:r>
      <w:proofErr w:type="spellStart"/>
      <w:r w:rsidRPr="00AB0CD0">
        <w:rPr>
          <w:rFonts w:cs="Times New Roman"/>
          <w:color w:val="000000"/>
          <w:lang w:val="en-CA" w:eastAsia="en-CA"/>
        </w:rPr>
        <w:t>Trumbore</w:t>
      </w:r>
      <w:proofErr w:type="spellEnd"/>
      <w:r w:rsidRPr="00AB0CD0">
        <w:rPr>
          <w:rFonts w:cs="Times New Roman"/>
          <w:color w:val="000000"/>
          <w:lang w:val="en-CA" w:eastAsia="en-CA"/>
        </w:rPr>
        <w:t>, C. N.: J. Am. Chem. Soc. 87(12), 2547-2550, 1965.</w:t>
      </w:r>
    </w:p>
    <w:p w:rsidR="00D340E2" w:rsidRDefault="00D340E2" w:rsidP="007813B8">
      <w:pPr>
        <w:tabs>
          <w:tab w:val="left" w:pos="288"/>
          <w:tab w:val="left" w:pos="426"/>
          <w:tab w:val="left" w:pos="720"/>
        </w:tabs>
        <w:suppressAutoHyphens/>
        <w:ind w:left="420" w:hanging="420"/>
        <w:jc w:val="both"/>
        <w:rPr>
          <w:spacing w:val="-3"/>
          <w:lang w:val="en-US"/>
        </w:rPr>
      </w:pPr>
    </w:p>
    <w:p w:rsidR="00791862" w:rsidRDefault="00D340E2" w:rsidP="00A91F89">
      <w:pPr>
        <w:tabs>
          <w:tab w:val="left" w:pos="288"/>
          <w:tab w:val="left" w:pos="426"/>
          <w:tab w:val="left" w:pos="720"/>
        </w:tabs>
        <w:suppressAutoHyphens/>
        <w:ind w:left="420" w:hanging="420"/>
        <w:jc w:val="both"/>
        <w:rPr>
          <w:spacing w:val="-3"/>
          <w:lang w:val="en-US"/>
        </w:rPr>
      </w:pPr>
      <w:r w:rsidRPr="00D340E2">
        <w:rPr>
          <w:spacing w:val="-3"/>
          <w:lang w:val="en-US"/>
        </w:rPr>
        <w:t xml:space="preserve">Monod, A. and </w:t>
      </w:r>
      <w:proofErr w:type="spellStart"/>
      <w:r w:rsidRPr="00D340E2">
        <w:rPr>
          <w:spacing w:val="-3"/>
          <w:lang w:val="en-US"/>
        </w:rPr>
        <w:t>Doussin</w:t>
      </w:r>
      <w:proofErr w:type="spellEnd"/>
      <w:r w:rsidRPr="00D340E2">
        <w:rPr>
          <w:spacing w:val="-3"/>
          <w:lang w:val="en-US"/>
        </w:rPr>
        <w:t>, J. F.: Atmos. Environ., 42, 7611–7622, 2008.</w:t>
      </w:r>
    </w:p>
    <w:p w:rsidR="00D340E2" w:rsidRDefault="00D340E2" w:rsidP="00A91F89">
      <w:pPr>
        <w:tabs>
          <w:tab w:val="left" w:pos="288"/>
          <w:tab w:val="left" w:pos="426"/>
          <w:tab w:val="left" w:pos="720"/>
        </w:tabs>
        <w:suppressAutoHyphens/>
        <w:ind w:left="420" w:hanging="420"/>
        <w:jc w:val="both"/>
        <w:rPr>
          <w:spacing w:val="-3"/>
          <w:lang w:val="en-US"/>
        </w:rPr>
      </w:pPr>
    </w:p>
    <w:p w:rsidR="00820E29" w:rsidRPr="00820E29" w:rsidRDefault="00820E29" w:rsidP="00820E29">
      <w:pPr>
        <w:jc w:val="both"/>
        <w:rPr>
          <w:rFonts w:ascii="Times New Roman" w:hAnsi="Times New Roman" w:cs="Times New Roman"/>
          <w:color w:val="000000"/>
          <w:lang w:val="en-US"/>
        </w:rPr>
      </w:pPr>
      <w:r w:rsidRPr="00820E29">
        <w:rPr>
          <w:rFonts w:ascii="Times New Roman" w:hAnsi="Times New Roman" w:cs="Times New Roman"/>
          <w:color w:val="000000"/>
          <w:lang w:val="en-US"/>
        </w:rPr>
        <w:t xml:space="preserve">Zhu, L., </w:t>
      </w:r>
      <w:proofErr w:type="spellStart"/>
      <w:r w:rsidRPr="00820E29">
        <w:rPr>
          <w:rFonts w:ascii="Times New Roman" w:hAnsi="Times New Roman" w:cs="Times New Roman"/>
          <w:color w:val="000000"/>
          <w:lang w:val="en-US"/>
        </w:rPr>
        <w:t>Nicovich</w:t>
      </w:r>
      <w:proofErr w:type="spellEnd"/>
      <w:r w:rsidRPr="00820E29">
        <w:rPr>
          <w:rFonts w:ascii="Times New Roman" w:hAnsi="Times New Roman" w:cs="Times New Roman"/>
          <w:color w:val="000000"/>
          <w:lang w:val="en-US"/>
        </w:rPr>
        <w:t xml:space="preserve">, J. M. and Wine, P. H.: </w:t>
      </w:r>
      <w:proofErr w:type="spellStart"/>
      <w:r w:rsidRPr="00820E29">
        <w:rPr>
          <w:rFonts w:ascii="Times New Roman" w:hAnsi="Times New Roman" w:cs="Times New Roman"/>
          <w:color w:val="000000"/>
          <w:lang w:val="en-US"/>
        </w:rPr>
        <w:t>Aquat</w:t>
      </w:r>
      <w:proofErr w:type="spellEnd"/>
      <w:r w:rsidRPr="00820E29">
        <w:rPr>
          <w:rFonts w:ascii="Times New Roman" w:hAnsi="Times New Roman" w:cs="Times New Roman"/>
          <w:color w:val="000000"/>
          <w:lang w:val="en-US"/>
        </w:rPr>
        <w:t>. Sci., 65(4), 425-435, 2003.</w:t>
      </w:r>
    </w:p>
    <w:p w:rsidR="00820E29" w:rsidRDefault="00820E29" w:rsidP="00A91F89">
      <w:pPr>
        <w:tabs>
          <w:tab w:val="left" w:pos="288"/>
          <w:tab w:val="left" w:pos="426"/>
          <w:tab w:val="left" w:pos="720"/>
        </w:tabs>
        <w:suppressAutoHyphens/>
        <w:ind w:left="420" w:hanging="420"/>
        <w:jc w:val="both"/>
        <w:rPr>
          <w:spacing w:val="-3"/>
          <w:lang w:val="en-US"/>
        </w:rPr>
      </w:pPr>
    </w:p>
    <w:p w:rsidR="00791862" w:rsidRDefault="00832E58" w:rsidP="00A91F89">
      <w:pPr>
        <w:tabs>
          <w:tab w:val="left" w:pos="288"/>
          <w:tab w:val="left" w:pos="426"/>
          <w:tab w:val="left" w:pos="720"/>
        </w:tabs>
        <w:suppressAutoHyphens/>
        <w:ind w:left="420" w:hanging="420"/>
        <w:jc w:val="both"/>
        <w:rPr>
          <w:spacing w:val="-3"/>
          <w:lang w:val="en-US"/>
        </w:rPr>
      </w:pPr>
      <w:r>
        <w:rPr>
          <w:noProof/>
          <w:spacing w:val="-3"/>
          <w:lang w:val="en-US"/>
        </w:rPr>
        <w:lastRenderedPageBreak/>
        <w:drawing>
          <wp:inline distT="0" distB="0" distL="0" distR="0">
            <wp:extent cx="5762625" cy="4067175"/>
            <wp:effectExtent l="0" t="0" r="0" b="0"/>
            <wp:docPr id="1" name="Bild 1" descr="pentan-1,5-dio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n-1,5-diol+H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067175"/>
                    </a:xfrm>
                    <a:prstGeom prst="rect">
                      <a:avLst/>
                    </a:prstGeom>
                    <a:noFill/>
                    <a:ln>
                      <a:noFill/>
                    </a:ln>
                  </pic:spPr>
                </pic:pic>
              </a:graphicData>
            </a:graphic>
          </wp:inline>
        </w:drawing>
      </w:r>
    </w:p>
    <w:p w:rsidR="00D31521" w:rsidRDefault="00D31521" w:rsidP="00345F4E">
      <w:pPr>
        <w:rPr>
          <w:rFonts w:eastAsia="Symbol"/>
          <w:lang w:eastAsia="de-DE"/>
        </w:rPr>
      </w:pPr>
      <w:r>
        <w:rPr>
          <w:rFonts w:eastAsia="Symbol"/>
          <w:lang w:eastAsia="de-DE"/>
        </w:rPr>
        <w:t xml:space="preserve">T-dependent rate constants for the reaction of </w:t>
      </w:r>
      <w:r w:rsidR="00AB0CD0">
        <w:rPr>
          <w:rFonts w:eastAsia="Symbol"/>
          <w:lang w:eastAsia="de-DE"/>
        </w:rPr>
        <w:t>pent</w:t>
      </w:r>
      <w:r>
        <w:rPr>
          <w:rFonts w:eastAsia="Symbol"/>
          <w:lang w:eastAsia="de-DE"/>
        </w:rPr>
        <w:t>ane-1,</w:t>
      </w:r>
      <w:r w:rsidR="00AB0CD0">
        <w:rPr>
          <w:rFonts w:eastAsia="Symbol"/>
          <w:lang w:eastAsia="de-DE"/>
        </w:rPr>
        <w:t>5</w:t>
      </w:r>
      <w:r>
        <w:rPr>
          <w:rFonts w:eastAsia="Symbol"/>
          <w:lang w:eastAsia="de-DE"/>
        </w:rPr>
        <w:t>-diol with H</w:t>
      </w:r>
      <w:r w:rsidR="00D35830">
        <w:rPr>
          <w:rFonts w:eastAsia="Symbol"/>
          <w:lang w:eastAsia="de-DE"/>
        </w:rPr>
        <w:t>O</w:t>
      </w:r>
      <w:r>
        <w:rPr>
          <w:rFonts w:eastAsia="Symbol"/>
          <w:lang w:eastAsia="de-DE"/>
        </w:rPr>
        <w:t xml:space="preserve"> in aqueous solution. </w:t>
      </w:r>
      <w:r w:rsidR="00820E29">
        <w:rPr>
          <w:rFonts w:eastAsia="Symbol"/>
          <w:lang w:eastAsia="de-DE"/>
        </w:rPr>
        <w:t>All available data have been used for regression.</w:t>
      </w:r>
    </w:p>
    <w:p w:rsidR="00D31521" w:rsidRPr="00A91F89" w:rsidRDefault="00D31521" w:rsidP="00A91F89">
      <w:pPr>
        <w:tabs>
          <w:tab w:val="left" w:pos="288"/>
          <w:tab w:val="left" w:pos="426"/>
          <w:tab w:val="left" w:pos="720"/>
        </w:tabs>
        <w:suppressAutoHyphens/>
        <w:ind w:left="420" w:hanging="420"/>
        <w:jc w:val="both"/>
        <w:rPr>
          <w:spacing w:val="-3"/>
          <w:lang w:val="en-US"/>
        </w:rPr>
      </w:pPr>
    </w:p>
    <w:sectPr w:rsidR="00D31521" w:rsidRPr="00A91F89">
      <w:pgSz w:w="11907" w:h="16840" w:code="9"/>
      <w:pgMar w:top="964" w:right="1418" w:bottom="96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lowerLetter"/>
      <w:lvlText w:val="(%1)"/>
      <w:lvlJc w:val="left"/>
      <w:pPr>
        <w:tabs>
          <w:tab w:val="num" w:pos="0"/>
        </w:tabs>
        <w:ind w:left="360" w:hanging="360"/>
      </w:pPr>
      <w:rPr>
        <w:rFonts w:eastAsia="Symbol" w:cs="Symbol" w:hint="default"/>
        <w:spacing w:val="-2"/>
        <w:lang w:val="en-CA"/>
      </w:rPr>
    </w:lvl>
  </w:abstractNum>
  <w:abstractNum w:abstractNumId="1" w15:restartNumberingAfterBreak="0">
    <w:nsid w:val="1D810450"/>
    <w:multiLevelType w:val="singleLevel"/>
    <w:tmpl w:val="38F69570"/>
    <w:lvl w:ilvl="0">
      <w:start w:val="1"/>
      <w:numFmt w:val="lowerLetter"/>
      <w:lvlText w:val="(%1)"/>
      <w:lvlJc w:val="left"/>
      <w:pPr>
        <w:tabs>
          <w:tab w:val="num" w:pos="450"/>
        </w:tabs>
        <w:ind w:left="450" w:hanging="450"/>
      </w:pPr>
      <w:rPr>
        <w:rFonts w:hint="default"/>
      </w:rPr>
    </w:lvl>
  </w:abstractNum>
  <w:abstractNum w:abstractNumId="2" w15:restartNumberingAfterBreak="0">
    <w:nsid w:val="1E5D0349"/>
    <w:multiLevelType w:val="hybridMultilevel"/>
    <w:tmpl w:val="8EC47CD4"/>
    <w:lvl w:ilvl="0" w:tplc="00C293DA">
      <w:start w:val="1"/>
      <w:numFmt w:val="bullet"/>
      <w:lvlText w:val=""/>
      <w:lvlJc w:val="left"/>
      <w:pPr>
        <w:ind w:left="780" w:hanging="360"/>
      </w:pPr>
      <w:rPr>
        <w:rFonts w:ascii="Wingdings" w:eastAsia="Times New Roman" w:hAnsi="Wingdings" w:cs="Time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6D77BE"/>
    <w:multiLevelType w:val="hybridMultilevel"/>
    <w:tmpl w:val="DA2C769A"/>
    <w:lvl w:ilvl="0" w:tplc="E5F80E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F757B"/>
    <w:multiLevelType w:val="hybridMultilevel"/>
    <w:tmpl w:val="AED466DC"/>
    <w:lvl w:ilvl="0" w:tplc="3124AADE">
      <w:start w:val="13"/>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352D4D3C"/>
    <w:multiLevelType w:val="hybridMultilevel"/>
    <w:tmpl w:val="5AF4A246"/>
    <w:lvl w:ilvl="0" w:tplc="1C58B7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9060E0"/>
    <w:multiLevelType w:val="hybridMultilevel"/>
    <w:tmpl w:val="B9BE44A4"/>
    <w:lvl w:ilvl="0" w:tplc="A9ACC7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736BFA"/>
    <w:multiLevelType w:val="hybridMultilevel"/>
    <w:tmpl w:val="7F84760E"/>
    <w:lvl w:ilvl="0" w:tplc="C3504C6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897CA2"/>
    <w:multiLevelType w:val="hybridMultilevel"/>
    <w:tmpl w:val="C1FC7A20"/>
    <w:lvl w:ilvl="0" w:tplc="0D30309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6A9D5445"/>
    <w:multiLevelType w:val="hybridMultilevel"/>
    <w:tmpl w:val="982431BC"/>
    <w:lvl w:ilvl="0" w:tplc="C87A97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46010"/>
    <w:multiLevelType w:val="hybridMultilevel"/>
    <w:tmpl w:val="BE241D18"/>
    <w:lvl w:ilvl="0" w:tplc="0120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9"/>
  </w:num>
  <w:num w:numId="7">
    <w:abstractNumId w:val="6"/>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EF005A"/>
    <w:rsid w:val="00003186"/>
    <w:rsid w:val="000058F8"/>
    <w:rsid w:val="0000681C"/>
    <w:rsid w:val="000100DA"/>
    <w:rsid w:val="00014066"/>
    <w:rsid w:val="000142D0"/>
    <w:rsid w:val="000226C3"/>
    <w:rsid w:val="00032D98"/>
    <w:rsid w:val="00037BE6"/>
    <w:rsid w:val="00040EB8"/>
    <w:rsid w:val="00053A77"/>
    <w:rsid w:val="00053BFF"/>
    <w:rsid w:val="000623D4"/>
    <w:rsid w:val="00063311"/>
    <w:rsid w:val="00064D18"/>
    <w:rsid w:val="000702C3"/>
    <w:rsid w:val="00071A6F"/>
    <w:rsid w:val="00071AA3"/>
    <w:rsid w:val="00077A3A"/>
    <w:rsid w:val="00081DF2"/>
    <w:rsid w:val="000857CF"/>
    <w:rsid w:val="00090C16"/>
    <w:rsid w:val="000921DC"/>
    <w:rsid w:val="00097533"/>
    <w:rsid w:val="000977C2"/>
    <w:rsid w:val="000A162B"/>
    <w:rsid w:val="000A2FAF"/>
    <w:rsid w:val="000A50BC"/>
    <w:rsid w:val="000A71A1"/>
    <w:rsid w:val="000C3CAA"/>
    <w:rsid w:val="000C7F9F"/>
    <w:rsid w:val="000D37DF"/>
    <w:rsid w:val="000D65CF"/>
    <w:rsid w:val="000D78B2"/>
    <w:rsid w:val="000E03DB"/>
    <w:rsid w:val="000E3FE8"/>
    <w:rsid w:val="001010D8"/>
    <w:rsid w:val="00101645"/>
    <w:rsid w:val="00104CBF"/>
    <w:rsid w:val="00106A74"/>
    <w:rsid w:val="00112844"/>
    <w:rsid w:val="00120EED"/>
    <w:rsid w:val="00121AC9"/>
    <w:rsid w:val="001318D0"/>
    <w:rsid w:val="00133FEA"/>
    <w:rsid w:val="00145C54"/>
    <w:rsid w:val="001470D2"/>
    <w:rsid w:val="00152FD9"/>
    <w:rsid w:val="00153BFD"/>
    <w:rsid w:val="001574B6"/>
    <w:rsid w:val="00157A3A"/>
    <w:rsid w:val="001606AE"/>
    <w:rsid w:val="001637C3"/>
    <w:rsid w:val="00183FE4"/>
    <w:rsid w:val="0018490C"/>
    <w:rsid w:val="00192FCA"/>
    <w:rsid w:val="00195B6D"/>
    <w:rsid w:val="00197003"/>
    <w:rsid w:val="001977C2"/>
    <w:rsid w:val="001A1912"/>
    <w:rsid w:val="001B27BC"/>
    <w:rsid w:val="001C13B4"/>
    <w:rsid w:val="001D6CBA"/>
    <w:rsid w:val="001E1C70"/>
    <w:rsid w:val="001E4685"/>
    <w:rsid w:val="001F0D75"/>
    <w:rsid w:val="001F4EB5"/>
    <w:rsid w:val="001F5231"/>
    <w:rsid w:val="0020061C"/>
    <w:rsid w:val="002103C5"/>
    <w:rsid w:val="00213313"/>
    <w:rsid w:val="00213E99"/>
    <w:rsid w:val="00215F21"/>
    <w:rsid w:val="002162E9"/>
    <w:rsid w:val="00220181"/>
    <w:rsid w:val="00220DDF"/>
    <w:rsid w:val="00221A67"/>
    <w:rsid w:val="0022452F"/>
    <w:rsid w:val="00231335"/>
    <w:rsid w:val="00263497"/>
    <w:rsid w:val="00266D30"/>
    <w:rsid w:val="0027580C"/>
    <w:rsid w:val="002837BB"/>
    <w:rsid w:val="00284087"/>
    <w:rsid w:val="002862D6"/>
    <w:rsid w:val="002952DE"/>
    <w:rsid w:val="002979B8"/>
    <w:rsid w:val="002A1F8D"/>
    <w:rsid w:val="002A4717"/>
    <w:rsid w:val="002B10B1"/>
    <w:rsid w:val="002B127C"/>
    <w:rsid w:val="002B23A6"/>
    <w:rsid w:val="002B6012"/>
    <w:rsid w:val="002B69B0"/>
    <w:rsid w:val="002C5E16"/>
    <w:rsid w:val="002C7E9C"/>
    <w:rsid w:val="002D191B"/>
    <w:rsid w:val="0030119A"/>
    <w:rsid w:val="003016BE"/>
    <w:rsid w:val="00303330"/>
    <w:rsid w:val="00304465"/>
    <w:rsid w:val="00304CDC"/>
    <w:rsid w:val="00325D6F"/>
    <w:rsid w:val="003263B4"/>
    <w:rsid w:val="00336897"/>
    <w:rsid w:val="00345F4E"/>
    <w:rsid w:val="003515B2"/>
    <w:rsid w:val="00352F06"/>
    <w:rsid w:val="003570CC"/>
    <w:rsid w:val="003610F8"/>
    <w:rsid w:val="0036323E"/>
    <w:rsid w:val="00390D27"/>
    <w:rsid w:val="003A2660"/>
    <w:rsid w:val="003A3A5A"/>
    <w:rsid w:val="003A5A2D"/>
    <w:rsid w:val="003A71F8"/>
    <w:rsid w:val="003B1700"/>
    <w:rsid w:val="003B37E9"/>
    <w:rsid w:val="003B72AC"/>
    <w:rsid w:val="003C1AFE"/>
    <w:rsid w:val="003D0949"/>
    <w:rsid w:val="003D1543"/>
    <w:rsid w:val="003F1CCB"/>
    <w:rsid w:val="003F37D0"/>
    <w:rsid w:val="00402E8B"/>
    <w:rsid w:val="00404CD3"/>
    <w:rsid w:val="00405E8B"/>
    <w:rsid w:val="00410188"/>
    <w:rsid w:val="00410929"/>
    <w:rsid w:val="004117FE"/>
    <w:rsid w:val="004123DB"/>
    <w:rsid w:val="00420BAC"/>
    <w:rsid w:val="0042295A"/>
    <w:rsid w:val="00422D77"/>
    <w:rsid w:val="00430D02"/>
    <w:rsid w:val="00443E37"/>
    <w:rsid w:val="004450AB"/>
    <w:rsid w:val="00447665"/>
    <w:rsid w:val="00450818"/>
    <w:rsid w:val="004513F5"/>
    <w:rsid w:val="00455EA0"/>
    <w:rsid w:val="004604BC"/>
    <w:rsid w:val="00484C52"/>
    <w:rsid w:val="00486CBB"/>
    <w:rsid w:val="004A407F"/>
    <w:rsid w:val="004A7BA6"/>
    <w:rsid w:val="004C3213"/>
    <w:rsid w:val="004C4D3E"/>
    <w:rsid w:val="004C6446"/>
    <w:rsid w:val="004E7108"/>
    <w:rsid w:val="004F0504"/>
    <w:rsid w:val="004F7104"/>
    <w:rsid w:val="00501D48"/>
    <w:rsid w:val="00502F51"/>
    <w:rsid w:val="00505161"/>
    <w:rsid w:val="00505A10"/>
    <w:rsid w:val="00506140"/>
    <w:rsid w:val="00513019"/>
    <w:rsid w:val="00515086"/>
    <w:rsid w:val="00522F3B"/>
    <w:rsid w:val="0052608B"/>
    <w:rsid w:val="005372F4"/>
    <w:rsid w:val="00541F5E"/>
    <w:rsid w:val="005424C6"/>
    <w:rsid w:val="00560013"/>
    <w:rsid w:val="00565A6E"/>
    <w:rsid w:val="00571A09"/>
    <w:rsid w:val="0057662D"/>
    <w:rsid w:val="005A08E2"/>
    <w:rsid w:val="005A22EA"/>
    <w:rsid w:val="005A3363"/>
    <w:rsid w:val="005A3C28"/>
    <w:rsid w:val="005A7488"/>
    <w:rsid w:val="005B1152"/>
    <w:rsid w:val="005B3754"/>
    <w:rsid w:val="005B54D1"/>
    <w:rsid w:val="005B6EB1"/>
    <w:rsid w:val="005C3B60"/>
    <w:rsid w:val="005C5E6F"/>
    <w:rsid w:val="005D4CF6"/>
    <w:rsid w:val="005D731B"/>
    <w:rsid w:val="005E518D"/>
    <w:rsid w:val="00601BCA"/>
    <w:rsid w:val="00604D2C"/>
    <w:rsid w:val="00613C73"/>
    <w:rsid w:val="00615583"/>
    <w:rsid w:val="00636A12"/>
    <w:rsid w:val="0063704E"/>
    <w:rsid w:val="00652F32"/>
    <w:rsid w:val="00654098"/>
    <w:rsid w:val="00662045"/>
    <w:rsid w:val="00663250"/>
    <w:rsid w:val="00670889"/>
    <w:rsid w:val="00675054"/>
    <w:rsid w:val="00692339"/>
    <w:rsid w:val="006A1A56"/>
    <w:rsid w:val="006A2320"/>
    <w:rsid w:val="006A6692"/>
    <w:rsid w:val="006B1C76"/>
    <w:rsid w:val="006B2DDA"/>
    <w:rsid w:val="006C3974"/>
    <w:rsid w:val="006D2807"/>
    <w:rsid w:val="006D5DBD"/>
    <w:rsid w:val="006D6759"/>
    <w:rsid w:val="006E1881"/>
    <w:rsid w:val="006F54B5"/>
    <w:rsid w:val="00700A63"/>
    <w:rsid w:val="00701B76"/>
    <w:rsid w:val="00702C8F"/>
    <w:rsid w:val="00703732"/>
    <w:rsid w:val="007064B6"/>
    <w:rsid w:val="00710305"/>
    <w:rsid w:val="0071369E"/>
    <w:rsid w:val="00721569"/>
    <w:rsid w:val="00721AC4"/>
    <w:rsid w:val="007440D3"/>
    <w:rsid w:val="007468AA"/>
    <w:rsid w:val="00751CEC"/>
    <w:rsid w:val="00762860"/>
    <w:rsid w:val="00776BA1"/>
    <w:rsid w:val="00777324"/>
    <w:rsid w:val="0077768F"/>
    <w:rsid w:val="007813B8"/>
    <w:rsid w:val="00784793"/>
    <w:rsid w:val="00790A52"/>
    <w:rsid w:val="00791862"/>
    <w:rsid w:val="0079362F"/>
    <w:rsid w:val="00795528"/>
    <w:rsid w:val="007A2D7C"/>
    <w:rsid w:val="007A3298"/>
    <w:rsid w:val="007B0E88"/>
    <w:rsid w:val="007C0F73"/>
    <w:rsid w:val="007C1BA6"/>
    <w:rsid w:val="007C1E12"/>
    <w:rsid w:val="007E2DC4"/>
    <w:rsid w:val="007E5705"/>
    <w:rsid w:val="007E57D2"/>
    <w:rsid w:val="007E7B8E"/>
    <w:rsid w:val="007F017D"/>
    <w:rsid w:val="007F2089"/>
    <w:rsid w:val="007F2DF3"/>
    <w:rsid w:val="007F4C67"/>
    <w:rsid w:val="008061CF"/>
    <w:rsid w:val="00816FDF"/>
    <w:rsid w:val="00820E29"/>
    <w:rsid w:val="00821651"/>
    <w:rsid w:val="0082456F"/>
    <w:rsid w:val="008261BC"/>
    <w:rsid w:val="00832E58"/>
    <w:rsid w:val="008344BF"/>
    <w:rsid w:val="0083653B"/>
    <w:rsid w:val="0084193A"/>
    <w:rsid w:val="00842FAF"/>
    <w:rsid w:val="00853D83"/>
    <w:rsid w:val="008543D3"/>
    <w:rsid w:val="008549FA"/>
    <w:rsid w:val="00855918"/>
    <w:rsid w:val="008559B0"/>
    <w:rsid w:val="00860B72"/>
    <w:rsid w:val="0086602C"/>
    <w:rsid w:val="008725E9"/>
    <w:rsid w:val="008727AD"/>
    <w:rsid w:val="00875CB1"/>
    <w:rsid w:val="0088073C"/>
    <w:rsid w:val="00880F4E"/>
    <w:rsid w:val="00881D55"/>
    <w:rsid w:val="00884D99"/>
    <w:rsid w:val="00887539"/>
    <w:rsid w:val="00891F90"/>
    <w:rsid w:val="00893259"/>
    <w:rsid w:val="008A320C"/>
    <w:rsid w:val="008A4EE3"/>
    <w:rsid w:val="008A733A"/>
    <w:rsid w:val="008C32B2"/>
    <w:rsid w:val="008C3846"/>
    <w:rsid w:val="008C4819"/>
    <w:rsid w:val="008D16B0"/>
    <w:rsid w:val="008D271F"/>
    <w:rsid w:val="008F0755"/>
    <w:rsid w:val="008F63FC"/>
    <w:rsid w:val="009019D2"/>
    <w:rsid w:val="009027B1"/>
    <w:rsid w:val="009044BD"/>
    <w:rsid w:val="00913834"/>
    <w:rsid w:val="00921793"/>
    <w:rsid w:val="00923C28"/>
    <w:rsid w:val="00931B9D"/>
    <w:rsid w:val="00934A6A"/>
    <w:rsid w:val="00942081"/>
    <w:rsid w:val="009475A7"/>
    <w:rsid w:val="00954AD9"/>
    <w:rsid w:val="00955400"/>
    <w:rsid w:val="00955D52"/>
    <w:rsid w:val="00962DA4"/>
    <w:rsid w:val="0097499A"/>
    <w:rsid w:val="00976D47"/>
    <w:rsid w:val="00977BF1"/>
    <w:rsid w:val="0099441C"/>
    <w:rsid w:val="00994D88"/>
    <w:rsid w:val="009B21A3"/>
    <w:rsid w:val="009C37A2"/>
    <w:rsid w:val="009C4BE5"/>
    <w:rsid w:val="009C785D"/>
    <w:rsid w:val="009C7A1E"/>
    <w:rsid w:val="009D2B8F"/>
    <w:rsid w:val="009D3390"/>
    <w:rsid w:val="009E2EEE"/>
    <w:rsid w:val="009E5505"/>
    <w:rsid w:val="009F18E0"/>
    <w:rsid w:val="009F405B"/>
    <w:rsid w:val="00A005C1"/>
    <w:rsid w:val="00A10E56"/>
    <w:rsid w:val="00A11587"/>
    <w:rsid w:val="00A11D3C"/>
    <w:rsid w:val="00A12788"/>
    <w:rsid w:val="00A17123"/>
    <w:rsid w:val="00A23BD8"/>
    <w:rsid w:val="00A25342"/>
    <w:rsid w:val="00A273DD"/>
    <w:rsid w:val="00A27EE9"/>
    <w:rsid w:val="00A35C85"/>
    <w:rsid w:val="00A36C41"/>
    <w:rsid w:val="00A47C2F"/>
    <w:rsid w:val="00A528B3"/>
    <w:rsid w:val="00A57E5E"/>
    <w:rsid w:val="00A708D9"/>
    <w:rsid w:val="00A74455"/>
    <w:rsid w:val="00A7500E"/>
    <w:rsid w:val="00A80284"/>
    <w:rsid w:val="00A840F2"/>
    <w:rsid w:val="00A86F99"/>
    <w:rsid w:val="00A90959"/>
    <w:rsid w:val="00A91F89"/>
    <w:rsid w:val="00A93673"/>
    <w:rsid w:val="00AB0CD0"/>
    <w:rsid w:val="00AB3143"/>
    <w:rsid w:val="00AD0E6A"/>
    <w:rsid w:val="00AD4544"/>
    <w:rsid w:val="00AF2E74"/>
    <w:rsid w:val="00AF43D2"/>
    <w:rsid w:val="00AF52EF"/>
    <w:rsid w:val="00B01FBD"/>
    <w:rsid w:val="00B12B55"/>
    <w:rsid w:val="00B20C78"/>
    <w:rsid w:val="00B228B1"/>
    <w:rsid w:val="00B3156D"/>
    <w:rsid w:val="00B35123"/>
    <w:rsid w:val="00B52179"/>
    <w:rsid w:val="00B525A0"/>
    <w:rsid w:val="00B60173"/>
    <w:rsid w:val="00B61525"/>
    <w:rsid w:val="00B73CCE"/>
    <w:rsid w:val="00B7652E"/>
    <w:rsid w:val="00B84B46"/>
    <w:rsid w:val="00B85353"/>
    <w:rsid w:val="00B95A51"/>
    <w:rsid w:val="00BA1397"/>
    <w:rsid w:val="00BA71C5"/>
    <w:rsid w:val="00BB3581"/>
    <w:rsid w:val="00BB7807"/>
    <w:rsid w:val="00BB7992"/>
    <w:rsid w:val="00BC167C"/>
    <w:rsid w:val="00BD22BD"/>
    <w:rsid w:val="00BD2606"/>
    <w:rsid w:val="00BD451A"/>
    <w:rsid w:val="00BE50FB"/>
    <w:rsid w:val="00BF2B4D"/>
    <w:rsid w:val="00C00643"/>
    <w:rsid w:val="00C013BC"/>
    <w:rsid w:val="00C10304"/>
    <w:rsid w:val="00C11A68"/>
    <w:rsid w:val="00C11B77"/>
    <w:rsid w:val="00C17A31"/>
    <w:rsid w:val="00C22890"/>
    <w:rsid w:val="00C25093"/>
    <w:rsid w:val="00C568C5"/>
    <w:rsid w:val="00C57B22"/>
    <w:rsid w:val="00C60D61"/>
    <w:rsid w:val="00C648E1"/>
    <w:rsid w:val="00C67934"/>
    <w:rsid w:val="00C70E23"/>
    <w:rsid w:val="00C716CC"/>
    <w:rsid w:val="00C72D3C"/>
    <w:rsid w:val="00C75688"/>
    <w:rsid w:val="00C83626"/>
    <w:rsid w:val="00C90E43"/>
    <w:rsid w:val="00C94795"/>
    <w:rsid w:val="00C94ED5"/>
    <w:rsid w:val="00CB0B81"/>
    <w:rsid w:val="00CD1F98"/>
    <w:rsid w:val="00CD27A8"/>
    <w:rsid w:val="00CE2122"/>
    <w:rsid w:val="00CE24B0"/>
    <w:rsid w:val="00CE2E98"/>
    <w:rsid w:val="00D12D39"/>
    <w:rsid w:val="00D17C09"/>
    <w:rsid w:val="00D17F0E"/>
    <w:rsid w:val="00D2355F"/>
    <w:rsid w:val="00D25403"/>
    <w:rsid w:val="00D31521"/>
    <w:rsid w:val="00D340E2"/>
    <w:rsid w:val="00D35830"/>
    <w:rsid w:val="00D37F05"/>
    <w:rsid w:val="00D455A8"/>
    <w:rsid w:val="00D4710E"/>
    <w:rsid w:val="00D54A80"/>
    <w:rsid w:val="00D557B7"/>
    <w:rsid w:val="00D57222"/>
    <w:rsid w:val="00D57669"/>
    <w:rsid w:val="00D73025"/>
    <w:rsid w:val="00D76D1B"/>
    <w:rsid w:val="00D77C1D"/>
    <w:rsid w:val="00D90277"/>
    <w:rsid w:val="00D91F7F"/>
    <w:rsid w:val="00D93016"/>
    <w:rsid w:val="00DB2748"/>
    <w:rsid w:val="00DB53BB"/>
    <w:rsid w:val="00DB6F16"/>
    <w:rsid w:val="00DD1D44"/>
    <w:rsid w:val="00DD5CB6"/>
    <w:rsid w:val="00DE09D1"/>
    <w:rsid w:val="00DE439D"/>
    <w:rsid w:val="00DF64B2"/>
    <w:rsid w:val="00DF6645"/>
    <w:rsid w:val="00E00EDD"/>
    <w:rsid w:val="00E016CB"/>
    <w:rsid w:val="00E02483"/>
    <w:rsid w:val="00E16CA4"/>
    <w:rsid w:val="00E204AF"/>
    <w:rsid w:val="00E40753"/>
    <w:rsid w:val="00E50B31"/>
    <w:rsid w:val="00E54FE8"/>
    <w:rsid w:val="00E5686D"/>
    <w:rsid w:val="00E63EE2"/>
    <w:rsid w:val="00E75E9C"/>
    <w:rsid w:val="00E82DB1"/>
    <w:rsid w:val="00E913D0"/>
    <w:rsid w:val="00E9357E"/>
    <w:rsid w:val="00EA674C"/>
    <w:rsid w:val="00EC0F25"/>
    <w:rsid w:val="00EC593A"/>
    <w:rsid w:val="00EC61B0"/>
    <w:rsid w:val="00ED2B1A"/>
    <w:rsid w:val="00EE0A46"/>
    <w:rsid w:val="00EF005A"/>
    <w:rsid w:val="00EF080E"/>
    <w:rsid w:val="00EF196F"/>
    <w:rsid w:val="00F059A9"/>
    <w:rsid w:val="00F06A3D"/>
    <w:rsid w:val="00F06E5B"/>
    <w:rsid w:val="00F1021C"/>
    <w:rsid w:val="00F13C78"/>
    <w:rsid w:val="00F1682E"/>
    <w:rsid w:val="00F16B80"/>
    <w:rsid w:val="00F2273A"/>
    <w:rsid w:val="00F22DF5"/>
    <w:rsid w:val="00F249D1"/>
    <w:rsid w:val="00F264DD"/>
    <w:rsid w:val="00F35EF2"/>
    <w:rsid w:val="00F51B21"/>
    <w:rsid w:val="00F55117"/>
    <w:rsid w:val="00F62CD4"/>
    <w:rsid w:val="00F64725"/>
    <w:rsid w:val="00F64B32"/>
    <w:rsid w:val="00F726F5"/>
    <w:rsid w:val="00F74858"/>
    <w:rsid w:val="00F90411"/>
    <w:rsid w:val="00FA0C8D"/>
    <w:rsid w:val="00FA1715"/>
    <w:rsid w:val="00FA41C3"/>
    <w:rsid w:val="00FA5201"/>
    <w:rsid w:val="00FA5651"/>
    <w:rsid w:val="00FB53C1"/>
    <w:rsid w:val="00FB64DA"/>
    <w:rsid w:val="00FC186E"/>
    <w:rsid w:val="00FC798E"/>
    <w:rsid w:val="00FD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B383F"/>
  <w15:chartTrackingRefBased/>
  <w15:docId w15:val="{D019AF31-AA3C-4713-91C2-56658EB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1DC"/>
    <w:rPr>
      <w:rFonts w:ascii="Times" w:hAnsi="Times" w:cs="Times"/>
      <w:sz w:val="24"/>
      <w:szCs w:val="24"/>
      <w:lang w:val="en-AU"/>
    </w:rPr>
  </w:style>
  <w:style w:type="paragraph" w:styleId="berschrift1">
    <w:name w:val="heading 1"/>
    <w:basedOn w:val="Standard"/>
    <w:next w:val="Standard"/>
    <w:qFormat/>
    <w:pPr>
      <w:keepNext/>
      <w:spacing w:before="240" w:after="60" w:line="480" w:lineRule="auto"/>
      <w:outlineLvl w:val="0"/>
    </w:pPr>
    <w:rPr>
      <w:b/>
      <w:kern w:val="28"/>
    </w:rPr>
  </w:style>
  <w:style w:type="paragraph" w:styleId="berschrift2">
    <w:name w:val="heading 2"/>
    <w:basedOn w:val="Standard"/>
    <w:next w:val="Standard"/>
    <w:qFormat/>
    <w:rsid w:val="000921DC"/>
    <w:pPr>
      <w:spacing w:before="240" w:after="60" w:line="480" w:lineRule="auto"/>
      <w:outlineLvl w:val="1"/>
    </w:pPr>
    <w:rPr>
      <w:rFonts w:ascii="Times New Roman" w:hAnsi="Times New Roman" w:cs="Times New Roman"/>
      <w:b/>
      <w:i/>
      <w:szCs w:val="20"/>
      <w:lang w:val="en-GB"/>
    </w:rPr>
  </w:style>
  <w:style w:type="paragraph" w:styleId="berschrift3">
    <w:name w:val="heading 3"/>
    <w:basedOn w:val="Standard"/>
    <w:next w:val="Standard"/>
    <w:qFormat/>
    <w:rsid w:val="000921DC"/>
    <w:pPr>
      <w:keepNext/>
      <w:spacing w:before="240" w:after="60"/>
      <w:outlineLvl w:val="2"/>
    </w:pPr>
    <w:rPr>
      <w:rFonts w:ascii="Arial" w:hAnsi="Arial"/>
      <w:b/>
      <w:sz w:val="26"/>
      <w:szCs w:val="26"/>
    </w:rPr>
  </w:style>
  <w:style w:type="paragraph" w:styleId="berschrift4">
    <w:name w:val="heading 4"/>
    <w:basedOn w:val="Standard"/>
    <w:next w:val="Standard"/>
    <w:qFormat/>
    <w:rsid w:val="000921DC"/>
    <w:pPr>
      <w:keepNext/>
      <w:spacing w:before="120" w:line="264" w:lineRule="auto"/>
      <w:outlineLvl w:val="3"/>
    </w:pPr>
    <w:rPr>
      <w:rFonts w:ascii="Times New Roman" w:hAnsi="Times New Roman" w:cs="Times New Roman"/>
      <w:i/>
      <w:sz w:val="20"/>
      <w:szCs w:val="20"/>
      <w:lang w:val="en-GB"/>
    </w:rPr>
  </w:style>
  <w:style w:type="paragraph" w:styleId="berschrift5">
    <w:name w:val="heading 5"/>
    <w:basedOn w:val="Standard"/>
    <w:next w:val="Standard"/>
    <w:qFormat/>
    <w:pPr>
      <w:keepNext/>
      <w:tabs>
        <w:tab w:val="left" w:pos="-1440"/>
        <w:tab w:val="left" w:pos="-720"/>
        <w:tab w:val="left" w:pos="444"/>
      </w:tabs>
      <w:jc w:val="both"/>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ustified">
    <w:name w:val="Justified"/>
    <w:basedOn w:val="Standard"/>
    <w:pPr>
      <w:spacing w:after="100" w:line="360" w:lineRule="auto"/>
      <w:jc w:val="both"/>
    </w:pPr>
    <w:rPr>
      <w:lang w:val="en-US"/>
    </w:rPr>
  </w:style>
  <w:style w:type="paragraph" w:customStyle="1" w:styleId="table">
    <w:name w:val="table"/>
    <w:basedOn w:val="Verzeichnis1"/>
    <w:semiHidden/>
    <w:rsid w:val="000921DC"/>
    <w:pPr>
      <w:tabs>
        <w:tab w:val="left" w:pos="480"/>
        <w:tab w:val="left" w:pos="567"/>
        <w:tab w:val="left" w:pos="7938"/>
      </w:tabs>
    </w:pPr>
    <w:rPr>
      <w:rFonts w:ascii="Times New Roman" w:hAnsi="Times New Roman" w:cs="Times New Roman"/>
      <w:caps/>
      <w:noProof/>
      <w:sz w:val="20"/>
      <w:szCs w:val="20"/>
      <w:lang w:val="en-GB"/>
    </w:rPr>
  </w:style>
  <w:style w:type="paragraph" w:styleId="Textkrper-Zeileneinzug">
    <w:name w:val="Body Text Indent"/>
    <w:basedOn w:val="Standard"/>
    <w:pPr>
      <w:tabs>
        <w:tab w:val="left" w:pos="-1440"/>
        <w:tab w:val="left" w:pos="-720"/>
        <w:tab w:val="left" w:pos="444"/>
      </w:tabs>
      <w:ind w:firstLine="444"/>
      <w:jc w:val="both"/>
    </w:pPr>
  </w:style>
  <w:style w:type="paragraph" w:styleId="Verzeichnis1">
    <w:name w:val="toc 1"/>
    <w:basedOn w:val="Standard"/>
    <w:next w:val="Standard"/>
    <w:autoRedefine/>
    <w:semiHidden/>
    <w:rsid w:val="000921DC"/>
  </w:style>
  <w:style w:type="paragraph" w:styleId="Verzeichnis8">
    <w:name w:val="toc 8"/>
    <w:basedOn w:val="Standard"/>
    <w:next w:val="Standard"/>
    <w:semiHidden/>
    <w:pPr>
      <w:tabs>
        <w:tab w:val="right" w:leader="dot" w:pos="8618"/>
      </w:tabs>
      <w:ind w:left="1985" w:right="850"/>
      <w:jc w:val="center"/>
    </w:pPr>
    <w:rPr>
      <w:sz w:val="20"/>
    </w:rPr>
  </w:style>
  <w:style w:type="paragraph" w:customStyle="1" w:styleId="NewCenturySchl">
    <w:name w:val="New Century Schl"/>
    <w:basedOn w:val="Standard"/>
    <w:semiHidden/>
    <w:rsid w:val="000921DC"/>
    <w:pPr>
      <w:ind w:right="6"/>
      <w:jc w:val="center"/>
    </w:pPr>
    <w:rPr>
      <w:sz w:val="20"/>
      <w:szCs w:val="20"/>
    </w:rPr>
  </w:style>
  <w:style w:type="paragraph" w:styleId="Sprechblasentext">
    <w:name w:val="Balloon Text"/>
    <w:basedOn w:val="Standard"/>
    <w:semiHidden/>
    <w:rsid w:val="00EF005A"/>
    <w:rPr>
      <w:rFonts w:ascii="Tahoma" w:hAnsi="Tahoma" w:cs="Tahoma"/>
      <w:sz w:val="16"/>
      <w:szCs w:val="16"/>
    </w:rPr>
  </w:style>
  <w:style w:type="paragraph" w:styleId="Textkrper2">
    <w:name w:val="Body Text 2"/>
    <w:basedOn w:val="Standard"/>
    <w:pPr>
      <w:spacing w:after="120" w:line="480" w:lineRule="auto"/>
    </w:pPr>
  </w:style>
  <w:style w:type="paragraph" w:customStyle="1" w:styleId="IUPACtopparagraph">
    <w:name w:val="IUPAC top paragraph"/>
    <w:basedOn w:val="Standard"/>
    <w:autoRedefine/>
    <w:rsid w:val="000921DC"/>
    <w:pPr>
      <w:pBdr>
        <w:bottom w:val="single" w:sz="4" w:space="1" w:color="auto"/>
      </w:pBdr>
      <w:ind w:right="-7"/>
      <w:jc w:val="both"/>
    </w:pPr>
    <w:rPr>
      <w:rFonts w:ascii="Times New Roman" w:hAnsi="Times New Roman"/>
    </w:rPr>
  </w:style>
  <w:style w:type="character" w:styleId="Hyperlink">
    <w:name w:val="Hyperlink"/>
    <w:semiHidden/>
    <w:rsid w:val="000921DC"/>
    <w:rPr>
      <w:color w:val="0000FF"/>
      <w:u w:val="single"/>
    </w:rPr>
  </w:style>
  <w:style w:type="paragraph" w:styleId="Fuzeile">
    <w:name w:val="footer"/>
    <w:basedOn w:val="Standard"/>
    <w:semiHidden/>
    <w:rsid w:val="000921DC"/>
    <w:pPr>
      <w:tabs>
        <w:tab w:val="center" w:pos="4819"/>
        <w:tab w:val="right" w:pos="9071"/>
      </w:tabs>
    </w:pPr>
  </w:style>
  <w:style w:type="paragraph" w:customStyle="1" w:styleId="Reactions">
    <w:name w:val="Reactions"/>
    <w:semiHidden/>
    <w:rsid w:val="000921DC"/>
    <w:pPr>
      <w:tabs>
        <w:tab w:val="left" w:pos="1296"/>
        <w:tab w:val="left" w:pos="4320"/>
        <w:tab w:val="right" w:pos="8641"/>
      </w:tabs>
      <w:spacing w:before="72" w:after="72" w:line="336" w:lineRule="exact"/>
    </w:pPr>
    <w:rPr>
      <w:rFonts w:ascii="Times" w:hAnsi="Times"/>
      <w:sz w:val="24"/>
      <w:lang w:val="en-GB"/>
    </w:rPr>
  </w:style>
  <w:style w:type="paragraph" w:customStyle="1" w:styleId="IUPACheadline">
    <w:name w:val="IUPAC head line"/>
    <w:next w:val="Standard"/>
    <w:autoRedefine/>
    <w:rsid w:val="000921DC"/>
    <w:pPr>
      <w:spacing w:after="60"/>
    </w:pPr>
    <w:rPr>
      <w:rFonts w:cs="Times"/>
      <w:b/>
      <w:sz w:val="24"/>
      <w:szCs w:val="26"/>
      <w:lang w:val="en-AU"/>
    </w:rPr>
  </w:style>
  <w:style w:type="paragraph" w:customStyle="1" w:styleId="IUPACTitlereaction">
    <w:name w:val="IUPAC Title reaction"/>
    <w:next w:val="Standard"/>
    <w:autoRedefine/>
    <w:rsid w:val="00F726F5"/>
    <w:pPr>
      <w:spacing w:before="240" w:after="480"/>
      <w:jc w:val="center"/>
    </w:pPr>
    <w:rPr>
      <w:rFonts w:cs="Times"/>
      <w:b/>
      <w:sz w:val="24"/>
      <w:szCs w:val="24"/>
      <w:lang w:val="en-AU"/>
    </w:rPr>
  </w:style>
  <w:style w:type="paragraph" w:customStyle="1" w:styleId="IUPACTitle">
    <w:name w:val="IUPAC Title"/>
    <w:next w:val="Standard"/>
    <w:autoRedefine/>
    <w:rsid w:val="000921DC"/>
    <w:pPr>
      <w:keepNext/>
      <w:spacing w:before="240" w:after="120"/>
      <w:jc w:val="center"/>
    </w:pPr>
    <w:rPr>
      <w:rFonts w:cs="Times"/>
      <w:b/>
      <w:sz w:val="24"/>
      <w:szCs w:val="24"/>
      <w:lang w:val="en-AU"/>
    </w:rPr>
  </w:style>
  <w:style w:type="paragraph" w:customStyle="1" w:styleId="IUPACcommenttext">
    <w:name w:val="IUPAC comment text"/>
    <w:autoRedefine/>
    <w:rsid w:val="000921DC"/>
    <w:pPr>
      <w:spacing w:after="120"/>
      <w:ind w:left="425" w:hanging="425"/>
      <w:jc w:val="both"/>
    </w:pPr>
    <w:rPr>
      <w:rFonts w:cs="Times"/>
      <w:sz w:val="24"/>
      <w:szCs w:val="24"/>
      <w:lang w:val="en-AU"/>
    </w:rPr>
  </w:style>
  <w:style w:type="paragraph" w:customStyle="1" w:styleId="IUPACsubtitle">
    <w:name w:val="IUPAC subtitle"/>
    <w:rsid w:val="000921DC"/>
    <w:pPr>
      <w:keepNext/>
      <w:tabs>
        <w:tab w:val="left" w:pos="-1440"/>
        <w:tab w:val="left" w:pos="-720"/>
        <w:tab w:val="left" w:pos="444"/>
      </w:tabs>
      <w:spacing w:before="240" w:after="120"/>
      <w:jc w:val="both"/>
    </w:pPr>
    <w:rPr>
      <w:rFonts w:ascii="Times" w:hAnsi="Times" w:cs="Times"/>
      <w:i/>
      <w:sz w:val="24"/>
      <w:szCs w:val="24"/>
      <w:lang w:val="en-GB"/>
    </w:rPr>
  </w:style>
  <w:style w:type="paragraph" w:customStyle="1" w:styleId="IUPACreference">
    <w:name w:val="IUPAC reference"/>
    <w:autoRedefine/>
    <w:rsid w:val="000921DC"/>
    <w:pPr>
      <w:keepLines/>
      <w:spacing w:after="60"/>
      <w:ind w:left="142" w:hanging="142"/>
      <w:jc w:val="both"/>
    </w:pPr>
    <w:rPr>
      <w:rFonts w:cs="Times"/>
      <w:sz w:val="24"/>
      <w:lang w:val="en-AU"/>
    </w:rPr>
  </w:style>
  <w:style w:type="paragraph" w:customStyle="1" w:styleId="IUPACexpcommenttext">
    <w:name w:val="IUPAC exp comment text"/>
    <w:autoRedefine/>
    <w:rsid w:val="000921DC"/>
    <w:pPr>
      <w:spacing w:after="120"/>
      <w:ind w:left="425" w:hanging="425"/>
      <w:jc w:val="both"/>
    </w:pPr>
    <w:rPr>
      <w:rFonts w:cs="Times"/>
      <w:sz w:val="24"/>
      <w:szCs w:val="24"/>
      <w:lang w:val="en-AU"/>
    </w:rPr>
  </w:style>
  <w:style w:type="paragraph" w:customStyle="1" w:styleId="IUPACpreferredcommentstext">
    <w:name w:val="IUPAC preferred comments text"/>
    <w:basedOn w:val="Standard"/>
    <w:autoRedefine/>
    <w:rsid w:val="000921DC"/>
    <w:pPr>
      <w:spacing w:after="120"/>
      <w:jc w:val="both"/>
    </w:pPr>
    <w:rPr>
      <w:rFonts w:ascii="Times New Roman" w:hAnsi="Times New Roman" w:cs="Times New Roman"/>
    </w:rPr>
  </w:style>
  <w:style w:type="character" w:customStyle="1" w:styleId="BesuchterHyperlink">
    <w:name w:val="BesuchterHyperlink"/>
    <w:rsid w:val="00EF196F"/>
    <w:rPr>
      <w:color w:val="606420"/>
      <w:u w:val="single"/>
    </w:rPr>
  </w:style>
  <w:style w:type="table" w:styleId="Tabellenraster">
    <w:name w:val="Table Grid"/>
    <w:basedOn w:val="NormaleTabelle"/>
    <w:rsid w:val="003D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220181"/>
  </w:style>
  <w:style w:type="character" w:styleId="Fett">
    <w:name w:val="Strong"/>
    <w:uiPriority w:val="22"/>
    <w:qFormat/>
    <w:rsid w:val="00220181"/>
    <w:rPr>
      <w:b/>
      <w:bCs/>
    </w:rPr>
  </w:style>
  <w:style w:type="paragraph" w:customStyle="1" w:styleId="headertext">
    <w:name w:val="header_text"/>
    <w:basedOn w:val="Standard"/>
    <w:rsid w:val="00220181"/>
    <w:pPr>
      <w:spacing w:before="100" w:beforeAutospacing="1" w:after="100" w:afterAutospacing="1"/>
    </w:pPr>
    <w:rPr>
      <w:rFonts w:ascii="Times New Roman" w:hAnsi="Times New Roman" w:cs="Times New Roman"/>
      <w:lang w:val="en-CA" w:eastAsia="en-CA"/>
    </w:rPr>
  </w:style>
  <w:style w:type="character" w:customStyle="1" w:styleId="bold">
    <w:name w:val="bold"/>
    <w:rsid w:val="00220181"/>
  </w:style>
  <w:style w:type="character" w:styleId="Kommentarzeichen">
    <w:name w:val="annotation reference"/>
    <w:rsid w:val="001010D8"/>
    <w:rPr>
      <w:sz w:val="16"/>
      <w:szCs w:val="16"/>
    </w:rPr>
  </w:style>
  <w:style w:type="paragraph" w:styleId="Kommentartext">
    <w:name w:val="annotation text"/>
    <w:basedOn w:val="Standard"/>
    <w:link w:val="KommentartextZchn"/>
    <w:rsid w:val="001010D8"/>
    <w:rPr>
      <w:sz w:val="20"/>
      <w:szCs w:val="20"/>
    </w:rPr>
  </w:style>
  <w:style w:type="character" w:customStyle="1" w:styleId="KommentartextZchn">
    <w:name w:val="Kommentartext Zchn"/>
    <w:link w:val="Kommentartext"/>
    <w:rsid w:val="001010D8"/>
    <w:rPr>
      <w:rFonts w:ascii="Times" w:hAnsi="Times" w:cs="Times"/>
      <w:lang w:val="en-AU" w:eastAsia="en-US"/>
    </w:rPr>
  </w:style>
  <w:style w:type="paragraph" w:styleId="Kommentarthema">
    <w:name w:val="annotation subject"/>
    <w:basedOn w:val="Kommentartext"/>
    <w:next w:val="Kommentartext"/>
    <w:link w:val="KommentarthemaZchn"/>
    <w:rsid w:val="001010D8"/>
    <w:rPr>
      <w:b/>
      <w:bCs/>
    </w:rPr>
  </w:style>
  <w:style w:type="character" w:customStyle="1" w:styleId="KommentarthemaZchn">
    <w:name w:val="Kommentarthema Zchn"/>
    <w:link w:val="Kommentarthema"/>
    <w:rsid w:val="001010D8"/>
    <w:rPr>
      <w:rFonts w:ascii="Times" w:hAnsi="Times" w:cs="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6123">
      <w:bodyDiv w:val="1"/>
      <w:marLeft w:val="0"/>
      <w:marRight w:val="0"/>
      <w:marTop w:val="0"/>
      <w:marBottom w:val="0"/>
      <w:divBdr>
        <w:top w:val="none" w:sz="0" w:space="0" w:color="auto"/>
        <w:left w:val="none" w:sz="0" w:space="0" w:color="auto"/>
        <w:bottom w:val="none" w:sz="0" w:space="0" w:color="auto"/>
        <w:right w:val="none" w:sz="0" w:space="0" w:color="auto"/>
      </w:divBdr>
    </w:div>
    <w:div w:id="285504387">
      <w:bodyDiv w:val="1"/>
      <w:marLeft w:val="0"/>
      <w:marRight w:val="0"/>
      <w:marTop w:val="0"/>
      <w:marBottom w:val="0"/>
      <w:divBdr>
        <w:top w:val="none" w:sz="0" w:space="0" w:color="auto"/>
        <w:left w:val="none" w:sz="0" w:space="0" w:color="auto"/>
        <w:bottom w:val="none" w:sz="0" w:space="0" w:color="auto"/>
        <w:right w:val="none" w:sz="0" w:space="0" w:color="auto"/>
      </w:divBdr>
    </w:div>
    <w:div w:id="304160370">
      <w:bodyDiv w:val="1"/>
      <w:marLeft w:val="0"/>
      <w:marRight w:val="0"/>
      <w:marTop w:val="0"/>
      <w:marBottom w:val="0"/>
      <w:divBdr>
        <w:top w:val="none" w:sz="0" w:space="0" w:color="auto"/>
        <w:left w:val="none" w:sz="0" w:space="0" w:color="auto"/>
        <w:bottom w:val="none" w:sz="0" w:space="0" w:color="auto"/>
        <w:right w:val="none" w:sz="0" w:space="0" w:color="auto"/>
      </w:divBdr>
      <w:divsChild>
        <w:div w:id="1740861728">
          <w:marLeft w:val="0"/>
          <w:marRight w:val="0"/>
          <w:marTop w:val="0"/>
          <w:marBottom w:val="0"/>
          <w:divBdr>
            <w:top w:val="none" w:sz="0" w:space="0" w:color="auto"/>
            <w:left w:val="none" w:sz="0" w:space="0" w:color="auto"/>
            <w:bottom w:val="none" w:sz="0" w:space="0" w:color="auto"/>
            <w:right w:val="none" w:sz="0" w:space="0" w:color="auto"/>
          </w:divBdr>
        </w:div>
      </w:divsChild>
    </w:div>
    <w:div w:id="429204116">
      <w:bodyDiv w:val="1"/>
      <w:marLeft w:val="0"/>
      <w:marRight w:val="0"/>
      <w:marTop w:val="0"/>
      <w:marBottom w:val="0"/>
      <w:divBdr>
        <w:top w:val="none" w:sz="0" w:space="0" w:color="auto"/>
        <w:left w:val="none" w:sz="0" w:space="0" w:color="auto"/>
        <w:bottom w:val="none" w:sz="0" w:space="0" w:color="auto"/>
        <w:right w:val="none" w:sz="0" w:space="0" w:color="auto"/>
      </w:divBdr>
    </w:div>
    <w:div w:id="887257460">
      <w:bodyDiv w:val="1"/>
      <w:marLeft w:val="0"/>
      <w:marRight w:val="0"/>
      <w:marTop w:val="0"/>
      <w:marBottom w:val="0"/>
      <w:divBdr>
        <w:top w:val="none" w:sz="0" w:space="0" w:color="auto"/>
        <w:left w:val="none" w:sz="0" w:space="0" w:color="auto"/>
        <w:bottom w:val="none" w:sz="0" w:space="0" w:color="auto"/>
        <w:right w:val="none" w:sz="0" w:space="0" w:color="auto"/>
      </w:divBdr>
    </w:div>
    <w:div w:id="986133151">
      <w:bodyDiv w:val="1"/>
      <w:marLeft w:val="0"/>
      <w:marRight w:val="0"/>
      <w:marTop w:val="0"/>
      <w:marBottom w:val="0"/>
      <w:divBdr>
        <w:top w:val="none" w:sz="0" w:space="0" w:color="auto"/>
        <w:left w:val="none" w:sz="0" w:space="0" w:color="auto"/>
        <w:bottom w:val="none" w:sz="0" w:space="0" w:color="auto"/>
        <w:right w:val="none" w:sz="0" w:space="0" w:color="auto"/>
      </w:divBdr>
    </w:div>
    <w:div w:id="1256354865">
      <w:bodyDiv w:val="1"/>
      <w:marLeft w:val="0"/>
      <w:marRight w:val="0"/>
      <w:marTop w:val="0"/>
      <w:marBottom w:val="0"/>
      <w:divBdr>
        <w:top w:val="none" w:sz="0" w:space="0" w:color="auto"/>
        <w:left w:val="none" w:sz="0" w:space="0" w:color="auto"/>
        <w:bottom w:val="none" w:sz="0" w:space="0" w:color="auto"/>
        <w:right w:val="none" w:sz="0" w:space="0" w:color="auto"/>
      </w:divBdr>
    </w:div>
    <w:div w:id="1693875822">
      <w:bodyDiv w:val="1"/>
      <w:marLeft w:val="0"/>
      <w:marRight w:val="0"/>
      <w:marTop w:val="0"/>
      <w:marBottom w:val="0"/>
      <w:divBdr>
        <w:top w:val="none" w:sz="0" w:space="0" w:color="auto"/>
        <w:left w:val="none" w:sz="0" w:space="0" w:color="auto"/>
        <w:bottom w:val="none" w:sz="0" w:space="0" w:color="auto"/>
        <w:right w:val="none" w:sz="0" w:space="0" w:color="auto"/>
      </w:divBdr>
      <w:divsChild>
        <w:div w:id="1807047349">
          <w:marLeft w:val="0"/>
          <w:marRight w:val="0"/>
          <w:marTop w:val="0"/>
          <w:marBottom w:val="0"/>
          <w:divBdr>
            <w:top w:val="none" w:sz="0" w:space="0" w:color="auto"/>
            <w:left w:val="none" w:sz="0" w:space="0" w:color="auto"/>
            <w:bottom w:val="none" w:sz="0" w:space="0" w:color="auto"/>
            <w:right w:val="none" w:sz="0" w:space="0" w:color="auto"/>
          </w:divBdr>
        </w:div>
      </w:divsChild>
    </w:div>
    <w:div w:id="1900898209">
      <w:bodyDiv w:val="1"/>
      <w:marLeft w:val="0"/>
      <w:marRight w:val="0"/>
      <w:marTop w:val="0"/>
      <w:marBottom w:val="0"/>
      <w:divBdr>
        <w:top w:val="none" w:sz="0" w:space="0" w:color="auto"/>
        <w:left w:val="none" w:sz="0" w:space="0" w:color="auto"/>
        <w:bottom w:val="none" w:sz="0" w:space="0" w:color="auto"/>
        <w:right w:val="none" w:sz="0" w:space="0" w:color="auto"/>
      </w:divBdr>
      <w:divsChild>
        <w:div w:id="581917235">
          <w:marLeft w:val="0"/>
          <w:marRight w:val="0"/>
          <w:marTop w:val="0"/>
          <w:marBottom w:val="0"/>
          <w:divBdr>
            <w:top w:val="none" w:sz="0" w:space="0" w:color="auto"/>
            <w:left w:val="none" w:sz="0" w:space="0" w:color="auto"/>
            <w:bottom w:val="none" w:sz="0" w:space="0" w:color="auto"/>
            <w:right w:val="none" w:sz="0" w:space="0" w:color="auto"/>
          </w:divBdr>
        </w:div>
      </w:divsChild>
    </w:div>
    <w:div w:id="1924874638">
      <w:bodyDiv w:val="1"/>
      <w:marLeft w:val="0"/>
      <w:marRight w:val="0"/>
      <w:marTop w:val="0"/>
      <w:marBottom w:val="0"/>
      <w:divBdr>
        <w:top w:val="none" w:sz="0" w:space="0" w:color="auto"/>
        <w:left w:val="none" w:sz="0" w:space="0" w:color="auto"/>
        <w:bottom w:val="none" w:sz="0" w:space="0" w:color="auto"/>
        <w:right w:val="none" w:sz="0" w:space="0" w:color="auto"/>
      </w:divBdr>
      <w:divsChild>
        <w:div w:id="438372349">
          <w:marLeft w:val="0"/>
          <w:marRight w:val="0"/>
          <w:marTop w:val="0"/>
          <w:marBottom w:val="0"/>
          <w:divBdr>
            <w:top w:val="none" w:sz="0" w:space="0" w:color="auto"/>
            <w:left w:val="none" w:sz="0" w:space="0" w:color="auto"/>
            <w:bottom w:val="none" w:sz="0" w:space="0" w:color="auto"/>
            <w:right w:val="none" w:sz="0" w:space="0" w:color="auto"/>
          </w:divBdr>
        </w:div>
      </w:divsChild>
    </w:div>
    <w:div w:id="1935823467">
      <w:bodyDiv w:val="1"/>
      <w:marLeft w:val="0"/>
      <w:marRight w:val="0"/>
      <w:marTop w:val="0"/>
      <w:marBottom w:val="0"/>
      <w:divBdr>
        <w:top w:val="none" w:sz="0" w:space="0" w:color="auto"/>
        <w:left w:val="none" w:sz="0" w:space="0" w:color="auto"/>
        <w:bottom w:val="none" w:sz="0" w:space="0" w:color="auto"/>
        <w:right w:val="none" w:sz="0" w:space="0" w:color="auto"/>
      </w:divBdr>
      <w:divsChild>
        <w:div w:id="1555583605">
          <w:marLeft w:val="0"/>
          <w:marRight w:val="0"/>
          <w:marTop w:val="0"/>
          <w:marBottom w:val="0"/>
          <w:divBdr>
            <w:top w:val="none" w:sz="0" w:space="0" w:color="auto"/>
            <w:left w:val="none" w:sz="0" w:space="0" w:color="auto"/>
            <w:bottom w:val="none" w:sz="0" w:space="0" w:color="auto"/>
            <w:right w:val="none" w:sz="0" w:space="0" w:color="auto"/>
          </w:divBdr>
        </w:div>
      </w:divsChild>
    </w:div>
    <w:div w:id="21454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ook.nist.gov/cgi/cbook.cgi?ID=3352576&amp;Units=SI" TargetMode="External"/><Relationship Id="rId5" Type="http://schemas.openxmlformats.org/officeDocument/2006/relationships/hyperlink" Target="http://iupac.pole-ether.f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XP\IUPAC%20liquid%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IUPAC liquid template.dot</Template>
  <TotalTime>0</TotalTime>
  <Pages>3</Pages>
  <Words>548</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HONO  + mineral oxide (dust) surfaces</vt:lpstr>
      <vt:lpstr>HONO  + mineral oxide (dust) surfaces</vt:lpstr>
    </vt:vector>
  </TitlesOfParts>
  <Company>Paul Scherrer Institut</Company>
  <LinksUpToDate>false</LinksUpToDate>
  <CharactersWithSpaces>3665</CharactersWithSpaces>
  <SharedDoc>false</SharedDoc>
  <HLinks>
    <vt:vector size="12" baseType="variant">
      <vt:variant>
        <vt:i4>458823</vt:i4>
      </vt:variant>
      <vt:variant>
        <vt:i4>3</vt:i4>
      </vt:variant>
      <vt:variant>
        <vt:i4>0</vt:i4>
      </vt:variant>
      <vt:variant>
        <vt:i4>5</vt:i4>
      </vt:variant>
      <vt:variant>
        <vt:lpwstr>http://webbook.nist.gov/cgi/cbook.cgi?ID=3352576&amp;Units=SI</vt:lpwstr>
      </vt:variant>
      <vt:variant>
        <vt:lpwstr/>
      </vt: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  + mineral oxide (dust) surfaces</dc:title>
  <dc:subject/>
  <dc:creator>Markus Ammann</dc:creator>
  <cp:keywords/>
  <cp:lastModifiedBy>Daniel Kessler</cp:lastModifiedBy>
  <cp:revision>3</cp:revision>
  <cp:lastPrinted>2018-06-01T09:24:00Z</cp:lastPrinted>
  <dcterms:created xsi:type="dcterms:W3CDTF">2020-01-13T13:15:00Z</dcterms:created>
  <dcterms:modified xsi:type="dcterms:W3CDTF">2020-01-15T10:19:00Z</dcterms:modified>
</cp:coreProperties>
</file>