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192FD0">
        <w:t>AQ_OH_46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151D4A" w:rsidRPr="007F4C67">
        <w:t xml:space="preserve">The citation for this datasheet is: IUPAC Task Group on Atmospheric Chemical Kinetic Data Evaluation, </w:t>
      </w:r>
      <w:hyperlink r:id="rId5" w:history="1">
        <w:r w:rsidR="00151D4A" w:rsidRPr="007F4C67">
          <w:rPr>
            <w:rStyle w:val="Hyperlink"/>
          </w:rPr>
          <w:t>http://iupac.pole-ether.fr</w:t>
        </w:r>
      </w:hyperlink>
      <w:r w:rsidR="00151D4A" w:rsidRPr="007F4C67">
        <w:t>.</w:t>
      </w:r>
    </w:p>
    <w:p w:rsidR="00192FD0" w:rsidRPr="007F4C67" w:rsidRDefault="00192FD0" w:rsidP="00192FD0">
      <w:pPr>
        <w:pStyle w:val="IUPACtopparagraph"/>
      </w:pPr>
      <w:r w:rsidRPr="007F4C67">
        <w:t xml:space="preserve">This datasheet last evaluated: </w:t>
      </w:r>
      <w:r w:rsidR="00A96303">
        <w:t>June 2019</w:t>
      </w:r>
      <w:r w:rsidRPr="007F4C67">
        <w:t xml:space="preserve">; last change in preferred values: </w:t>
      </w:r>
      <w:r w:rsidR="00A96303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D548A5" w:rsidRDefault="009A739E" w:rsidP="00C03885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>HO</w:t>
      </w:r>
      <w:r w:rsidR="00C03885" w:rsidRPr="00455EA0">
        <w:rPr>
          <w:b/>
          <w:lang w:val="pt-BR"/>
        </w:rPr>
        <w:t xml:space="preserve">(aq) + </w:t>
      </w:r>
      <w:r w:rsidR="00C03885">
        <w:rPr>
          <w:b/>
          <w:lang w:val="pt-BR"/>
        </w:rPr>
        <w:t>CH</w:t>
      </w:r>
      <w:r w:rsidR="00C03885" w:rsidRPr="0032701C">
        <w:rPr>
          <w:b/>
          <w:vertAlign w:val="subscript"/>
          <w:lang w:val="pt-BR"/>
        </w:rPr>
        <w:t>3</w:t>
      </w:r>
      <w:r w:rsidR="006E3FC7" w:rsidRPr="006E3FC7">
        <w:rPr>
          <w:b/>
          <w:lang w:val="pt-BR"/>
        </w:rPr>
        <w:t>(</w:t>
      </w:r>
      <w:r w:rsidR="00C03885">
        <w:rPr>
          <w:b/>
          <w:lang w:val="pt-BR"/>
        </w:rPr>
        <w:t>CHOH</w:t>
      </w:r>
      <w:r w:rsidR="006E3FC7">
        <w:rPr>
          <w:b/>
          <w:lang w:val="pt-BR"/>
        </w:rPr>
        <w:t>)</w:t>
      </w:r>
      <w:r w:rsidR="006E3FC7" w:rsidRPr="006E3FC7">
        <w:rPr>
          <w:b/>
          <w:vertAlign w:val="subscript"/>
          <w:lang w:val="pt-BR"/>
        </w:rPr>
        <w:t>2</w:t>
      </w:r>
      <w:r w:rsidR="00C03885">
        <w:rPr>
          <w:b/>
          <w:lang w:val="pt-BR"/>
        </w:rPr>
        <w:t>CH</w:t>
      </w:r>
      <w:r w:rsidR="00C03885" w:rsidRPr="0032701C">
        <w:rPr>
          <w:b/>
          <w:vertAlign w:val="subscript"/>
          <w:lang w:val="pt-BR"/>
        </w:rPr>
        <w:t>3</w:t>
      </w:r>
      <w:r w:rsidR="00C03885" w:rsidRPr="00455EA0">
        <w:rPr>
          <w:b/>
          <w:lang w:val="pt-BR"/>
        </w:rPr>
        <w:t xml:space="preserve"> (aq) </w:t>
      </w:r>
      <w:r w:rsidR="00C03885" w:rsidRPr="00455EA0">
        <w:rPr>
          <w:b/>
        </w:rPr>
        <w:sym w:font="Symbol" w:char="F0AE"/>
      </w:r>
      <w:r w:rsidR="00776A85">
        <w:rPr>
          <w:b/>
          <w:lang w:val="pt-BR"/>
        </w:rPr>
        <w:tab/>
      </w:r>
      <w:r w:rsidR="00C03885">
        <w:rPr>
          <w:b/>
          <w:lang w:val="pt-BR"/>
        </w:rPr>
        <w:t>CH</w:t>
      </w:r>
      <w:r w:rsidR="00C03885" w:rsidRPr="0032701C">
        <w:rPr>
          <w:b/>
          <w:vertAlign w:val="subscript"/>
          <w:lang w:val="pt-BR"/>
        </w:rPr>
        <w:t>3</w:t>
      </w:r>
      <w:r w:rsidR="00C03885">
        <w:rPr>
          <w:b/>
          <w:lang w:val="pt-BR"/>
        </w:rPr>
        <w:t>COH</w:t>
      </w:r>
      <w:r w:rsidR="00C03885" w:rsidRPr="00455EA0">
        <w:rPr>
          <w:b/>
          <w:lang w:val="pt-BR"/>
        </w:rPr>
        <w:t>CHOH</w:t>
      </w:r>
      <w:r w:rsidR="00C03885">
        <w:rPr>
          <w:b/>
          <w:lang w:val="pt-BR"/>
        </w:rPr>
        <w:t>CH</w:t>
      </w:r>
      <w:r w:rsidR="00C03885" w:rsidRPr="0032701C">
        <w:rPr>
          <w:b/>
          <w:vertAlign w:val="subscript"/>
          <w:lang w:val="pt-BR"/>
        </w:rPr>
        <w:t>3</w:t>
      </w:r>
      <w:r w:rsidR="00C03885" w:rsidRPr="00F92C9D">
        <w:rPr>
          <w:b/>
          <w:lang w:val="pt-BR"/>
        </w:rPr>
        <w:t xml:space="preserve"> </w:t>
      </w:r>
    </w:p>
    <w:p w:rsidR="00D548A5" w:rsidRPr="00D548A5" w:rsidRDefault="00D548A5" w:rsidP="00D548A5">
      <w:pPr>
        <w:ind w:left="5040"/>
        <w:jc w:val="center"/>
        <w:rPr>
          <w:b/>
          <w:vertAlign w:val="subscript"/>
          <w:lang w:val="pt-BR"/>
        </w:rPr>
      </w:pPr>
      <w:r>
        <w:rPr>
          <w:b/>
          <w:lang w:val="pt-BR"/>
        </w:rPr>
        <w:t xml:space="preserve">   </w:t>
      </w:r>
      <w:r w:rsidR="00C03885">
        <w:rPr>
          <w:b/>
          <w:lang w:val="pt-BR"/>
        </w:rPr>
        <w:t>+ CH</w:t>
      </w:r>
      <w:r w:rsidR="00C03885">
        <w:rPr>
          <w:b/>
          <w:vertAlign w:val="subscript"/>
          <w:lang w:val="pt-BR"/>
        </w:rPr>
        <w:t>2</w:t>
      </w:r>
      <w:r w:rsidR="006E3FC7" w:rsidRPr="006E3FC7">
        <w:rPr>
          <w:b/>
          <w:lang w:val="pt-BR"/>
        </w:rPr>
        <w:t>(</w:t>
      </w:r>
      <w:r w:rsidR="006E3FC7">
        <w:rPr>
          <w:b/>
          <w:lang w:val="pt-BR"/>
        </w:rPr>
        <w:t>CHOH)</w:t>
      </w:r>
      <w:r w:rsidR="006E3FC7" w:rsidRPr="006E3FC7">
        <w:rPr>
          <w:b/>
          <w:vertAlign w:val="subscript"/>
          <w:lang w:val="pt-BR"/>
        </w:rPr>
        <w:t>2</w:t>
      </w:r>
      <w:r w:rsidR="00C03885">
        <w:rPr>
          <w:b/>
          <w:lang w:val="pt-BR"/>
        </w:rPr>
        <w:t>CH</w:t>
      </w:r>
      <w:r w:rsidR="00C03885" w:rsidRPr="0032701C">
        <w:rPr>
          <w:b/>
          <w:vertAlign w:val="subscript"/>
          <w:lang w:val="pt-BR"/>
        </w:rPr>
        <w:t>3</w:t>
      </w:r>
      <w:r w:rsidRPr="00D548A5">
        <w:rPr>
          <w:b/>
          <w:lang w:val="pt-BR"/>
        </w:rPr>
        <w:t xml:space="preserve"> </w:t>
      </w:r>
      <w:r w:rsidRPr="00F92C9D">
        <w:rPr>
          <w:b/>
          <w:lang w:val="pt-BR"/>
        </w:rPr>
        <w:t>+</w:t>
      </w:r>
      <w:r>
        <w:rPr>
          <w:b/>
          <w:lang w:val="pt-BR"/>
        </w:rPr>
        <w:t xml:space="preserve"> H</w:t>
      </w:r>
      <w:r w:rsidRPr="00F92C9D">
        <w:rPr>
          <w:b/>
          <w:vertAlign w:val="subscript"/>
          <w:lang w:val="pt-BR"/>
        </w:rPr>
        <w:t>2</w:t>
      </w:r>
      <w:r>
        <w:rPr>
          <w:b/>
          <w:lang w:val="pt-BR"/>
        </w:rPr>
        <w:t>O</w:t>
      </w:r>
    </w:p>
    <w:p w:rsidR="0000365D" w:rsidRDefault="0000365D" w:rsidP="009E6573">
      <w:pPr>
        <w:jc w:val="center"/>
        <w:rPr>
          <w:i/>
          <w:sz w:val="20"/>
          <w:szCs w:val="20"/>
          <w:lang w:val="pt-BR"/>
        </w:rPr>
      </w:pPr>
    </w:p>
    <w:p w:rsidR="009E6573" w:rsidRPr="0000365D" w:rsidRDefault="009E6573" w:rsidP="009E6573">
      <w:pPr>
        <w:jc w:val="center"/>
        <w:rPr>
          <w:i/>
          <w:sz w:val="20"/>
          <w:szCs w:val="20"/>
          <w:lang w:val="pt-BR"/>
        </w:rPr>
      </w:pPr>
      <w:r w:rsidRPr="0000365D">
        <w:rPr>
          <w:i/>
          <w:sz w:val="20"/>
          <w:szCs w:val="20"/>
          <w:lang w:val="pt-BR"/>
        </w:rPr>
        <w:t xml:space="preserve">(product distribution </w:t>
      </w:r>
      <w:r w:rsidR="00B03579">
        <w:rPr>
          <w:i/>
          <w:sz w:val="20"/>
          <w:szCs w:val="20"/>
          <w:lang w:val="pt-BR"/>
        </w:rPr>
        <w:t>suggested</w:t>
      </w:r>
      <w:r w:rsidR="00B03579" w:rsidRPr="0000365D">
        <w:rPr>
          <w:i/>
          <w:sz w:val="20"/>
          <w:szCs w:val="20"/>
          <w:lang w:val="pt-BR"/>
        </w:rPr>
        <w:t xml:space="preserve"> </w:t>
      </w:r>
      <w:r w:rsidRPr="0000365D">
        <w:rPr>
          <w:i/>
          <w:sz w:val="20"/>
          <w:szCs w:val="20"/>
          <w:lang w:val="pt-BR"/>
        </w:rPr>
        <w:t>by Buxton et al., 1988)</w:t>
      </w:r>
      <w:bookmarkStart w:id="0" w:name="_GoBack"/>
      <w:bookmarkEnd w:id="0"/>
    </w:p>
    <w:p w:rsidR="00604D2C" w:rsidRDefault="00604D2C" w:rsidP="007F4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745E6C" w:rsidTr="00745E6C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745E6C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45E6C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745E6C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745E6C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745E6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745E6C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745E6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45E6C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45E6C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745E6C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45E6C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745E6C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45E6C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745E6C">
              <w:rPr>
                <w:spacing w:val="-3"/>
                <w:lang w:val="en-US"/>
              </w:rPr>
              <w:t>I</w:t>
            </w:r>
            <w:r w:rsidRPr="00745E6C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745E6C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745E6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745E6C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745E6C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745E6C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45E6C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6E3FC7" w:rsidTr="00745E6C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C7" w:rsidRDefault="00A96303" w:rsidP="009A739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1.35</w:t>
            </w:r>
            <w:r w:rsidR="003A503E" w:rsidRPr="00AB48BD">
              <w:rPr>
                <w:rFonts w:eastAsia="Symbol" w:cs="Symbol"/>
                <w:lang w:val="en-GB"/>
              </w:rPr>
              <w:t> </w:t>
            </w:r>
            <w:r w:rsidR="003A503E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3A503E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9A739E">
              <w:rPr>
                <w:spacing w:val="-2"/>
                <w:lang w:val="en-US"/>
              </w:rPr>
              <w:t>10</w:t>
            </w:r>
            <w:r w:rsidR="009A739E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C7" w:rsidRDefault="00745E6C" w:rsidP="001D278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C7" w:rsidRDefault="0019707C" w:rsidP="001D278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C7" w:rsidRDefault="0019707C" w:rsidP="001D278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C7" w:rsidRDefault="006E3FC7" w:rsidP="001D2788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 et al., 1965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C7" w:rsidRPr="00197003" w:rsidRDefault="003A503E" w:rsidP="001D2788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6E3FC7">
              <w:t xml:space="preserve"> </w:t>
            </w:r>
            <w:r w:rsidR="006E3FC7" w:rsidRPr="00170263">
              <w:t>/</w:t>
            </w:r>
            <w:r w:rsidR="006E3FC7">
              <w:t xml:space="preserve"> </w:t>
            </w:r>
            <w:r w:rsidR="006E3FC7" w:rsidRPr="00170263">
              <w:t>UV-Vis</w:t>
            </w:r>
            <w:r w:rsidR="006E3FC7">
              <w:t xml:space="preserve"> </w:t>
            </w:r>
            <w:r w:rsidR="006E3FC7">
              <w:rPr>
                <w:spacing w:val="-2"/>
                <w:lang w:val="en-US"/>
              </w:rPr>
              <w:t>(a)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9A739E" w:rsidRDefault="009A739E" w:rsidP="009A739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9A739E" w:rsidRDefault="009A739E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3A503E" w:rsidRDefault="006E3FC7" w:rsidP="00581031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7B0B18">
        <w:rPr>
          <w:rFonts w:eastAsia="Symbol" w:cs="Symbol"/>
          <w:spacing w:val="-2"/>
          <w:lang w:val="en-GB"/>
        </w:rPr>
        <w:t>R</w:t>
      </w:r>
      <w:r w:rsidR="009A739E" w:rsidRPr="00AB48BD">
        <w:rPr>
          <w:rFonts w:eastAsia="Symbol" w:cs="Symbol"/>
          <w:spacing w:val="-2"/>
          <w:lang w:val="en-GB"/>
        </w:rPr>
        <w:t xml:space="preserve">eference </w:t>
      </w:r>
      <w:r w:rsidR="009A739E">
        <w:rPr>
          <w:rFonts w:eastAsia="Symbol" w:cs="Symbol"/>
          <w:spacing w:val="-2"/>
          <w:lang w:val="en-GB"/>
        </w:rPr>
        <w:t>reaction HO + SCN</w:t>
      </w:r>
      <w:r w:rsidR="009A739E">
        <w:rPr>
          <w:rFonts w:eastAsia="Symbol" w:cs="Symbol"/>
          <w:spacing w:val="-2"/>
          <w:vertAlign w:val="superscript"/>
          <w:lang w:val="en-GB"/>
        </w:rPr>
        <w:noBreakHyphen/>
      </w:r>
      <w:r w:rsidR="009A739E">
        <w:rPr>
          <w:rFonts w:eastAsia="Symbol" w:cs="Symbol"/>
          <w:spacing w:val="-2"/>
          <w:lang w:val="en-GB"/>
        </w:rPr>
        <w:t xml:space="preserve"> with</w:t>
      </w:r>
      <w:r w:rsidR="003A503E" w:rsidRPr="00AB48BD">
        <w:rPr>
          <w:rFonts w:eastAsia="Symbol" w:cs="Symbol"/>
          <w:spacing w:val="-2"/>
          <w:lang w:val="en-GB"/>
        </w:rPr>
        <w:t xml:space="preserve"> </w:t>
      </w:r>
      <w:proofErr w:type="gramStart"/>
      <w:r w:rsidR="003A503E" w:rsidRPr="00AB48BD">
        <w:rPr>
          <w:rFonts w:eastAsia="Symbol" w:cs="Symbol"/>
          <w:i/>
          <w:lang w:val="en-GB"/>
        </w:rPr>
        <w:t>k</w:t>
      </w:r>
      <w:r w:rsidR="003A503E">
        <w:rPr>
          <w:rFonts w:eastAsia="Symbol" w:cs="Symbol"/>
          <w:lang w:val="en-GB"/>
        </w:rPr>
        <w:t>(</w:t>
      </w:r>
      <w:proofErr w:type="gramEnd"/>
      <w:r w:rsidR="009A739E">
        <w:rPr>
          <w:rFonts w:eastAsia="Symbol" w:cs="Symbol"/>
          <w:lang w:val="en-GB"/>
        </w:rPr>
        <w:t>HO</w:t>
      </w:r>
      <w:r w:rsidR="003A503E" w:rsidRPr="00AB48BD">
        <w:rPr>
          <w:rFonts w:eastAsia="Symbol" w:cs="Symbol"/>
          <w:lang w:val="en-GB"/>
        </w:rPr>
        <w:t>+ SCN</w:t>
      </w:r>
      <w:r w:rsidR="003A503E" w:rsidRPr="00AB48BD">
        <w:rPr>
          <w:rFonts w:eastAsia="Symbol" w:cs="Symbol"/>
          <w:vertAlign w:val="superscript"/>
          <w:lang w:val="en-GB"/>
        </w:rPr>
        <w:t>-</w:t>
      </w:r>
      <w:r w:rsidR="003A503E" w:rsidRPr="00AB48BD">
        <w:rPr>
          <w:rFonts w:eastAsia="Symbol" w:cs="Symbol"/>
          <w:lang w:val="en-GB"/>
        </w:rPr>
        <w:t>) = 6.6 </w:t>
      </w:r>
      <w:r w:rsidR="003A503E" w:rsidRPr="00AB48BD">
        <w:rPr>
          <w:rFonts w:ascii="Symbol" w:eastAsia="Symbol" w:hAnsi="Symbol" w:cs="Symbol"/>
          <w:spacing w:val="-3"/>
          <w:lang w:val="en-GB"/>
        </w:rPr>
        <w:t></w:t>
      </w:r>
      <w:r w:rsidR="003A503E" w:rsidRPr="00AB48BD">
        <w:rPr>
          <w:rFonts w:eastAsia="Symbol" w:cs="Symbol"/>
          <w:spacing w:val="-2"/>
          <w:lang w:val="en-GB"/>
        </w:rPr>
        <w:t xml:space="preserve"> 10</w:t>
      </w:r>
      <w:r w:rsidR="003A503E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3A503E" w:rsidRPr="00AB48BD">
        <w:rPr>
          <w:rFonts w:eastAsia="Symbol" w:cs="Symbol"/>
          <w:spacing w:val="-2"/>
          <w:lang w:val="en-GB"/>
        </w:rPr>
        <w:t xml:space="preserve"> M</w:t>
      </w:r>
      <w:r w:rsidR="003A503E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3A503E" w:rsidRPr="00AB48BD">
        <w:rPr>
          <w:rFonts w:eastAsia="Symbol" w:cs="Symbol"/>
          <w:spacing w:val="-2"/>
          <w:lang w:val="en-GB"/>
        </w:rPr>
        <w:t>s</w:t>
      </w:r>
      <w:r w:rsidR="003A503E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3A503E" w:rsidRPr="00AB48BD">
        <w:rPr>
          <w:rFonts w:eastAsia="Symbol" w:cs="Symbol"/>
          <w:spacing w:val="-2"/>
          <w:lang w:val="en-GB"/>
        </w:rPr>
        <w:t>;</w:t>
      </w:r>
      <w:r w:rsidR="009A739E">
        <w:rPr>
          <w:rFonts w:eastAsia="Symbol" w:cs="Symbol"/>
          <w:spacing w:val="-2"/>
          <w:lang w:val="en-GB"/>
        </w:rPr>
        <w:t xml:space="preserve"> </w:t>
      </w:r>
      <w:r w:rsidR="00793757">
        <w:rPr>
          <w:rFonts w:eastAsia="Symbol" w:cs="Symbol"/>
          <w:spacing w:val="-2"/>
          <w:lang w:val="en-GB"/>
        </w:rPr>
        <w:t xml:space="preserve">the </w:t>
      </w:r>
      <w:r w:rsidR="009A739E">
        <w:rPr>
          <w:rFonts w:eastAsia="Symbol" w:cs="Symbol"/>
          <w:spacing w:val="-2"/>
          <w:lang w:val="en-GB"/>
        </w:rPr>
        <w:t xml:space="preserve">selected reference rate constant </w:t>
      </w:r>
      <w:r w:rsidR="009A739E">
        <w:rPr>
          <w:rFonts w:eastAsia="Symbol" w:cs="Symbol"/>
          <w:i/>
          <w:spacing w:val="-2"/>
          <w:lang w:val="en-GB"/>
        </w:rPr>
        <w:t>k</w:t>
      </w:r>
      <w:r w:rsidR="009A739E">
        <w:rPr>
          <w:rFonts w:eastAsia="Symbol" w:cs="Symbol"/>
          <w:spacing w:val="-2"/>
          <w:lang w:val="en-GB"/>
        </w:rPr>
        <w:t> = 1.</w:t>
      </w:r>
      <w:r w:rsidR="009C3203">
        <w:rPr>
          <w:rFonts w:eastAsia="Symbol" w:cs="Symbol"/>
          <w:spacing w:val="-2"/>
          <w:lang w:val="en-GB"/>
        </w:rPr>
        <w:t>10</w:t>
      </w:r>
      <w:r w:rsidR="009A739E">
        <w:rPr>
          <w:rFonts w:eastAsia="Symbol" w:cs="Symbol"/>
          <w:spacing w:val="-2"/>
          <w:lang w:val="en-GB"/>
        </w:rPr>
        <w:t xml:space="preserve"> × 10</w:t>
      </w:r>
      <w:r w:rsidR="009A739E">
        <w:rPr>
          <w:rFonts w:eastAsia="Symbol" w:cs="Symbol"/>
          <w:spacing w:val="-2"/>
          <w:vertAlign w:val="superscript"/>
          <w:lang w:val="en-GB"/>
        </w:rPr>
        <w:t>10</w:t>
      </w:r>
      <w:r w:rsidR="009A739E">
        <w:rPr>
          <w:rFonts w:eastAsia="Symbol" w:cs="Symbol"/>
          <w:spacing w:val="-2"/>
          <w:lang w:val="en-GB"/>
        </w:rPr>
        <w:t> M</w:t>
      </w:r>
      <w:r w:rsidR="009A739E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A739E">
        <w:rPr>
          <w:rFonts w:eastAsia="Symbol" w:cs="Symbol"/>
          <w:spacing w:val="-2"/>
          <w:lang w:val="en-GB"/>
        </w:rPr>
        <w:t>s</w:t>
      </w:r>
      <w:r w:rsidR="009A739E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9A739E">
        <w:rPr>
          <w:rFonts w:eastAsia="Symbol" w:cs="Symbol"/>
          <w:spacing w:val="-2"/>
          <w:lang w:val="en-GB"/>
        </w:rPr>
        <w:t xml:space="preserve"> was used for recalculation</w:t>
      </w:r>
      <w:r w:rsidR="00745E6C">
        <w:rPr>
          <w:rFonts w:eastAsia="Symbol" w:cs="Symbol"/>
          <w:spacing w:val="-2"/>
          <w:lang w:val="en-GB"/>
        </w:rPr>
        <w:t xml:space="preserve"> (Zhu et al., 2003)</w:t>
      </w:r>
      <w:r w:rsidR="009A739E">
        <w:rPr>
          <w:rFonts w:eastAsia="Symbol" w:cs="Symbol"/>
          <w:spacing w:val="-2"/>
          <w:lang w:val="en-GB"/>
        </w:rPr>
        <w:t>;</w:t>
      </w:r>
      <w:r w:rsidR="003A503E" w:rsidRPr="00AB48BD">
        <w:rPr>
          <w:rFonts w:eastAsia="Symbol" w:cs="Symbol"/>
          <w:spacing w:val="-2"/>
          <w:lang w:val="en-GB"/>
        </w:rPr>
        <w:t xml:space="preserve"> No exact value is given for the initial concentrations of the reactants</w:t>
      </w:r>
      <w:r w:rsidR="003A503E">
        <w:rPr>
          <w:rFonts w:eastAsia="Symbol" w:cs="Symbol"/>
          <w:spacing w:val="-2"/>
          <w:lang w:val="en-GB"/>
        </w:rPr>
        <w:t>; pH is given as natural</w:t>
      </w:r>
      <w:r w:rsidR="009A739E">
        <w:rPr>
          <w:lang w:val="en-CA"/>
        </w:rPr>
        <w:t xml:space="preserve">; </w:t>
      </w:r>
      <w:r w:rsidR="00793757">
        <w:rPr>
          <w:lang w:val="en-CA"/>
        </w:rPr>
        <w:t>as no temperature is given in their publication, for room temperature of T = 294 K is assumed</w:t>
      </w:r>
      <w:r w:rsidR="009A739E">
        <w:rPr>
          <w:lang w:val="en-CA"/>
        </w:rPr>
        <w:t>.</w:t>
      </w:r>
      <w:r w:rsidR="003A503E">
        <w:rPr>
          <w:lang w:val="en-CA"/>
        </w:rPr>
        <w:t xml:space="preserve"> </w:t>
      </w:r>
    </w:p>
    <w:p w:rsidR="00C94ED5" w:rsidRPr="005D4CF6" w:rsidRDefault="00C94ED5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577D14" w:rsidRDefault="007F4C67" w:rsidP="007F4C67">
      <w:pPr>
        <w:widowControl w:val="0"/>
        <w:rPr>
          <w:rFonts w:ascii="Times New Roman" w:hAnsi="Times New Roman" w:cs="Times New Roman"/>
          <w:color w:val="00000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9E6573" w:rsidTr="00604D2C">
        <w:tc>
          <w:tcPr>
            <w:tcW w:w="2059" w:type="dxa"/>
          </w:tcPr>
          <w:p w:rsidR="007F4C67" w:rsidRPr="009E6573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9E6573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9E6573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9E6573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9E6573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9E6573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9E6573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9E6573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9E6573" w:rsidRDefault="009E6573" w:rsidP="009A739E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1.3</w:t>
            </w:r>
            <w:r w:rsidR="00745E6C">
              <w:rPr>
                <w:rFonts w:ascii="Times New Roman" w:hAnsi="Times New Roman" w:cs="Times New Roman"/>
                <w:color w:val="000000"/>
                <w:lang w:val="en-US" w:eastAsia="de-DE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 × 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9E6573" w:rsidRDefault="00745E6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:rsidR="006A0169" w:rsidRDefault="006A0169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</w:p>
    <w:p w:rsidR="007F4C67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  <w:r w:rsidRPr="009E6573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p w:rsidR="006A0169" w:rsidRPr="009E6573" w:rsidRDefault="006A0169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9E6573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9E6573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9E6573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9E6573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9E6573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9E6573" w:rsidRDefault="00CB6AEC" w:rsidP="00C34B04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 0.</w:t>
            </w:r>
            <w:r w:rsidR="00C34B04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9E6573" w:rsidRDefault="00745E6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:rsidR="00577D14" w:rsidRPr="00577D14" w:rsidRDefault="00577D14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404CD3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412FDF" w:rsidRPr="00A2068D" w:rsidRDefault="009A739E" w:rsidP="00A2068D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 w:rsidRPr="00A2068D">
        <w:rPr>
          <w:spacing w:val="-3"/>
          <w:lang w:val="en-CA"/>
        </w:rPr>
        <w:t>The</w:t>
      </w:r>
      <w:r w:rsidR="00412FDF" w:rsidRPr="00A2068D">
        <w:rPr>
          <w:spacing w:val="-3"/>
          <w:lang w:val="en-CA"/>
        </w:rPr>
        <w:t xml:space="preserve"> only available rate constant determined by Adams et al. (1965)</w:t>
      </w:r>
      <w:r w:rsidRPr="00A2068D">
        <w:rPr>
          <w:spacing w:val="-3"/>
          <w:lang w:val="en-CA"/>
        </w:rPr>
        <w:t xml:space="preserve">, has been recalculated using </w:t>
      </w:r>
      <w:r w:rsidR="00F61CDD" w:rsidRPr="00A2068D">
        <w:rPr>
          <w:spacing w:val="-3"/>
          <w:lang w:val="en-CA"/>
        </w:rPr>
        <w:t xml:space="preserve">the recommended </w:t>
      </w:r>
      <w:r w:rsidRPr="00A2068D">
        <w:rPr>
          <w:spacing w:val="-3"/>
          <w:lang w:val="en-CA"/>
        </w:rPr>
        <w:t>rate constant for the reference reaction</w:t>
      </w:r>
      <w:r w:rsidR="00412FDF" w:rsidRPr="00A2068D">
        <w:rPr>
          <w:spacing w:val="-3"/>
          <w:lang w:val="en-CA"/>
        </w:rPr>
        <w:t>.</w:t>
      </w:r>
      <w:r w:rsidRPr="00A2068D">
        <w:rPr>
          <w:spacing w:val="-3"/>
          <w:lang w:val="en-CA"/>
        </w:rPr>
        <w:t xml:space="preserve"> The recommended value of the rate constant for the reaction, given by Buxton et al. in 1988 also agrees very good with our recommendation</w:t>
      </w:r>
      <w:r w:rsidR="00F61CDD" w:rsidRPr="00A2068D">
        <w:rPr>
          <w:spacing w:val="-3"/>
          <w:lang w:val="en-CA"/>
        </w:rPr>
        <w:t xml:space="preserve"> when adjusted for the new reference rate constant</w:t>
      </w:r>
      <w:r w:rsidRPr="00A2068D">
        <w:rPr>
          <w:spacing w:val="-3"/>
          <w:lang w:val="en-CA"/>
        </w:rPr>
        <w:t>.</w:t>
      </w:r>
      <w:r w:rsidR="00412FDF" w:rsidRPr="00A2068D">
        <w:rPr>
          <w:spacing w:val="-3"/>
          <w:lang w:val="en-CA"/>
        </w:rPr>
        <w:t xml:space="preserve"> The </w:t>
      </w:r>
      <w:r w:rsidR="00CB6AEC" w:rsidRPr="00A2068D">
        <w:rPr>
          <w:spacing w:val="-3"/>
          <w:lang w:val="en-CA"/>
        </w:rPr>
        <w:t xml:space="preserve">relative error </w:t>
      </w:r>
      <w:r w:rsidR="00F61CDD" w:rsidRPr="00A2068D">
        <w:rPr>
          <w:spacing w:val="-3"/>
          <w:lang w:val="en-CA"/>
        </w:rPr>
        <w:t xml:space="preserve">of the recommended rate constant </w:t>
      </w:r>
      <w:r w:rsidRPr="00A2068D">
        <w:rPr>
          <w:spacing w:val="-3"/>
          <w:lang w:val="en-CA"/>
        </w:rPr>
        <w:t xml:space="preserve">is estimated as </w:t>
      </w:r>
      <w:r w:rsidR="00CB6AEC" w:rsidRPr="00A2068D">
        <w:rPr>
          <w:spacing w:val="-3"/>
          <w:lang w:val="en-CA"/>
        </w:rPr>
        <w:t>±</w:t>
      </w:r>
      <w:r w:rsidR="00745E6C" w:rsidRPr="00A2068D">
        <w:rPr>
          <w:spacing w:val="-3"/>
          <w:lang w:val="en-CA"/>
        </w:rPr>
        <w:t>33</w:t>
      </w:r>
      <w:r w:rsidR="00CB6AEC" w:rsidRPr="00A2068D">
        <w:rPr>
          <w:spacing w:val="-3"/>
          <w:lang w:val="en-CA"/>
        </w:rPr>
        <w:t xml:space="preserve">% or </w:t>
      </w:r>
      <w:proofErr w:type="spellStart"/>
      <w:r w:rsidR="00CB6AEC" w:rsidRPr="00A2068D">
        <w:rPr>
          <w:spacing w:val="-3"/>
          <w:lang w:val="en-CA"/>
        </w:rPr>
        <w:t>Δlog</w:t>
      </w:r>
      <w:proofErr w:type="spellEnd"/>
      <w:r w:rsidR="00CB6AEC" w:rsidRPr="00A2068D">
        <w:rPr>
          <w:spacing w:val="-3"/>
          <w:lang w:val="en-CA"/>
        </w:rPr>
        <w:t xml:space="preserve"> </w:t>
      </w:r>
      <w:r w:rsidR="00CB6AEC" w:rsidRPr="00A2068D">
        <w:rPr>
          <w:i/>
          <w:spacing w:val="-3"/>
          <w:lang w:val="en-CA"/>
        </w:rPr>
        <w:t>k</w:t>
      </w:r>
      <w:r w:rsidR="00CB6AEC" w:rsidRPr="00A2068D">
        <w:rPr>
          <w:spacing w:val="-3"/>
          <w:lang w:val="en-CA"/>
        </w:rPr>
        <w:t xml:space="preserve"> = 0.</w:t>
      </w:r>
      <w:r w:rsidRPr="00A2068D">
        <w:rPr>
          <w:spacing w:val="-3"/>
          <w:lang w:val="en-CA"/>
        </w:rPr>
        <w:t>15</w:t>
      </w:r>
      <w:r w:rsidR="00CB6AEC" w:rsidRPr="00A2068D">
        <w:rPr>
          <w:spacing w:val="-3"/>
          <w:lang w:val="en-CA"/>
        </w:rPr>
        <w:t>.</w:t>
      </w:r>
      <w:r w:rsidR="00793757" w:rsidRPr="00A2068D">
        <w:rPr>
          <w:spacing w:val="-3"/>
          <w:lang w:val="en-CA"/>
        </w:rPr>
        <w:t xml:space="preserve"> </w:t>
      </w:r>
      <w:r w:rsidR="00793757" w:rsidRPr="009C1DEB">
        <w:rPr>
          <w:rFonts w:eastAsia="Symbol"/>
          <w:color w:val="000000"/>
          <w:lang w:eastAsia="de-DE"/>
        </w:rPr>
        <w:t>It should be noted that this rate coefficient refers to room temperature, which we estimate as T = 294 K</w:t>
      </w:r>
    </w:p>
    <w:p w:rsidR="00D548A5" w:rsidRDefault="00D548A5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82165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7C1BA6">
        <w:rPr>
          <w:b/>
          <w:spacing w:val="-3"/>
          <w:lang w:val="en-CA"/>
        </w:rPr>
        <w:lastRenderedPageBreak/>
        <w:t>References</w:t>
      </w:r>
    </w:p>
    <w:p w:rsidR="0069390D" w:rsidRPr="007C1BA6" w:rsidRDefault="0069390D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</w:p>
    <w:p w:rsidR="00192FD0" w:rsidRDefault="00192FD0" w:rsidP="0000365D">
      <w:pPr>
        <w:tabs>
          <w:tab w:val="left" w:pos="0"/>
          <w:tab w:val="left" w:pos="720"/>
        </w:tabs>
        <w:suppressAutoHyphens/>
        <w:jc w:val="both"/>
      </w:pPr>
      <w:r w:rsidRPr="00AB1D0C">
        <w:t xml:space="preserve">Adams, G.E.; </w:t>
      </w:r>
      <w:proofErr w:type="spellStart"/>
      <w:r w:rsidRPr="00AB1D0C">
        <w:t>Boag</w:t>
      </w:r>
      <w:proofErr w:type="spellEnd"/>
      <w:r w:rsidRPr="00AB1D0C">
        <w:t>, J.W.; Currant, J. and Michael, B.D., Pulse Radiolysis, Ebert, M.; Keene, J.P.; Swallow, A.J. and Baxendale, J.H. (eds.): Academic Press, New York, p.131-143, 1965.</w:t>
      </w:r>
    </w:p>
    <w:p w:rsidR="0027580C" w:rsidRDefault="0027580C" w:rsidP="0000365D">
      <w:pPr>
        <w:tabs>
          <w:tab w:val="left" w:pos="0"/>
          <w:tab w:val="left" w:pos="720"/>
        </w:tabs>
        <w:suppressAutoHyphens/>
        <w:jc w:val="both"/>
        <w:rPr>
          <w:spacing w:val="-3"/>
          <w:lang w:val="en-US"/>
        </w:rPr>
      </w:pPr>
    </w:p>
    <w:p w:rsidR="00192FD0" w:rsidRDefault="00192FD0" w:rsidP="0000365D">
      <w:pPr>
        <w:tabs>
          <w:tab w:val="left" w:pos="0"/>
          <w:tab w:val="left" w:pos="720"/>
        </w:tabs>
        <w:suppressAutoHyphens/>
        <w:jc w:val="both"/>
        <w:rPr>
          <w:spacing w:val="-3"/>
          <w:lang w:val="en-US"/>
        </w:rPr>
      </w:pPr>
      <w:r w:rsidRPr="00AB1D0C">
        <w:rPr>
          <w:spacing w:val="-3"/>
          <w:lang w:val="en-US"/>
        </w:rPr>
        <w:t xml:space="preserve">Buxton, G. V., </w:t>
      </w:r>
      <w:proofErr w:type="spellStart"/>
      <w:r w:rsidRPr="00AB1D0C">
        <w:rPr>
          <w:spacing w:val="-3"/>
          <w:lang w:val="en-US"/>
        </w:rPr>
        <w:t>Greenstock</w:t>
      </w:r>
      <w:proofErr w:type="spellEnd"/>
      <w:r w:rsidRPr="00AB1D0C">
        <w:rPr>
          <w:spacing w:val="-3"/>
          <w:lang w:val="en-US"/>
        </w:rPr>
        <w:t>, C. L., Helman, W. P. and Ross, A. B.: J. Phys. Chem. Ref. Data, 12(2), 513 – 886, 1988.</w:t>
      </w:r>
    </w:p>
    <w:p w:rsidR="0069390D" w:rsidRDefault="0069390D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745E6C" w:rsidRPr="00745E6C" w:rsidRDefault="00745E6C" w:rsidP="00745E6C">
      <w:pPr>
        <w:jc w:val="both"/>
        <w:rPr>
          <w:rFonts w:ascii="Times New Roman" w:hAnsi="Times New Roman" w:cs="Times New Roman"/>
          <w:color w:val="000000"/>
          <w:lang w:val="en-US"/>
        </w:rPr>
      </w:pPr>
      <w:bookmarkStart w:id="1" w:name="_Hlk11416414"/>
      <w:r w:rsidRPr="00745E6C">
        <w:rPr>
          <w:rFonts w:ascii="Times New Roman" w:hAnsi="Times New Roman" w:cs="Times New Roman"/>
          <w:color w:val="000000"/>
          <w:lang w:val="en-US"/>
        </w:rPr>
        <w:t xml:space="preserve">Zhu, L., </w:t>
      </w:r>
      <w:proofErr w:type="spellStart"/>
      <w:r w:rsidRPr="00745E6C">
        <w:rPr>
          <w:rFonts w:ascii="Times New Roman" w:hAnsi="Times New Roman" w:cs="Times New Roman"/>
          <w:color w:val="000000"/>
          <w:lang w:val="en-US"/>
        </w:rPr>
        <w:t>Nicovich</w:t>
      </w:r>
      <w:proofErr w:type="spellEnd"/>
      <w:r w:rsidRPr="00745E6C">
        <w:rPr>
          <w:rFonts w:ascii="Times New Roman" w:hAnsi="Times New Roman" w:cs="Times New Roman"/>
          <w:color w:val="000000"/>
          <w:lang w:val="en-US"/>
        </w:rPr>
        <w:t xml:space="preserve">, J. M. and Wine, P. H.: </w:t>
      </w:r>
      <w:proofErr w:type="spellStart"/>
      <w:r w:rsidRPr="00745E6C">
        <w:rPr>
          <w:rFonts w:ascii="Times New Roman" w:hAnsi="Times New Roman" w:cs="Times New Roman"/>
          <w:color w:val="000000"/>
          <w:lang w:val="en-US"/>
        </w:rPr>
        <w:t>Aquat</w:t>
      </w:r>
      <w:proofErr w:type="spellEnd"/>
      <w:r w:rsidRPr="00745E6C">
        <w:rPr>
          <w:rFonts w:ascii="Times New Roman" w:hAnsi="Times New Roman" w:cs="Times New Roman"/>
          <w:color w:val="000000"/>
          <w:lang w:val="en-US"/>
        </w:rPr>
        <w:t>. Sci., 65(4), 425-435, 2003.</w:t>
      </w:r>
    </w:p>
    <w:bookmarkEnd w:id="1"/>
    <w:p w:rsidR="00745E6C" w:rsidRDefault="00745E6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sectPr w:rsidR="00745E6C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05A"/>
    <w:rsid w:val="00003186"/>
    <w:rsid w:val="0000365D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C3CAA"/>
    <w:rsid w:val="000C7F9F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AC9"/>
    <w:rsid w:val="00125573"/>
    <w:rsid w:val="001318D0"/>
    <w:rsid w:val="00133FEA"/>
    <w:rsid w:val="00145C54"/>
    <w:rsid w:val="00151D4A"/>
    <w:rsid w:val="00152FD9"/>
    <w:rsid w:val="00153BFD"/>
    <w:rsid w:val="00156DDE"/>
    <w:rsid w:val="001574B6"/>
    <w:rsid w:val="00157A3A"/>
    <w:rsid w:val="001637C3"/>
    <w:rsid w:val="0018490C"/>
    <w:rsid w:val="00192FCA"/>
    <w:rsid w:val="00192FD0"/>
    <w:rsid w:val="00195B6D"/>
    <w:rsid w:val="00197003"/>
    <w:rsid w:val="0019707C"/>
    <w:rsid w:val="001977C2"/>
    <w:rsid w:val="001A1912"/>
    <w:rsid w:val="001A3798"/>
    <w:rsid w:val="001B27BC"/>
    <w:rsid w:val="001C1FEE"/>
    <w:rsid w:val="001D2788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63497"/>
    <w:rsid w:val="00266D30"/>
    <w:rsid w:val="0027580C"/>
    <w:rsid w:val="002837BB"/>
    <w:rsid w:val="00284087"/>
    <w:rsid w:val="002862D6"/>
    <w:rsid w:val="002952DE"/>
    <w:rsid w:val="002979B8"/>
    <w:rsid w:val="002A1F8D"/>
    <w:rsid w:val="002A32AA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2E659D"/>
    <w:rsid w:val="0030119A"/>
    <w:rsid w:val="003016BE"/>
    <w:rsid w:val="00303330"/>
    <w:rsid w:val="00304CDC"/>
    <w:rsid w:val="00325D6F"/>
    <w:rsid w:val="003263B4"/>
    <w:rsid w:val="00336897"/>
    <w:rsid w:val="003515B2"/>
    <w:rsid w:val="00352F06"/>
    <w:rsid w:val="00353C35"/>
    <w:rsid w:val="003570CC"/>
    <w:rsid w:val="003610F8"/>
    <w:rsid w:val="0036323E"/>
    <w:rsid w:val="00390D27"/>
    <w:rsid w:val="003A2660"/>
    <w:rsid w:val="003A3A5A"/>
    <w:rsid w:val="003A503E"/>
    <w:rsid w:val="003A5A2D"/>
    <w:rsid w:val="003A71F8"/>
    <w:rsid w:val="003B37E9"/>
    <w:rsid w:val="003B72AC"/>
    <w:rsid w:val="003D0949"/>
    <w:rsid w:val="003D1543"/>
    <w:rsid w:val="003D6781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12FDF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84C52"/>
    <w:rsid w:val="00486CBB"/>
    <w:rsid w:val="004A407F"/>
    <w:rsid w:val="004A7BA6"/>
    <w:rsid w:val="004C3213"/>
    <w:rsid w:val="004C4D3E"/>
    <w:rsid w:val="004C6446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60013"/>
    <w:rsid w:val="00565A6E"/>
    <w:rsid w:val="00571A09"/>
    <w:rsid w:val="0057662D"/>
    <w:rsid w:val="00577D14"/>
    <w:rsid w:val="00580679"/>
    <w:rsid w:val="00581031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D2C"/>
    <w:rsid w:val="00613C73"/>
    <w:rsid w:val="00615583"/>
    <w:rsid w:val="00636A12"/>
    <w:rsid w:val="0063704E"/>
    <w:rsid w:val="00652F32"/>
    <w:rsid w:val="00654098"/>
    <w:rsid w:val="00663250"/>
    <w:rsid w:val="00670889"/>
    <w:rsid w:val="00675054"/>
    <w:rsid w:val="00692339"/>
    <w:rsid w:val="0069390D"/>
    <w:rsid w:val="006A0169"/>
    <w:rsid w:val="006A1A56"/>
    <w:rsid w:val="006A2320"/>
    <w:rsid w:val="006A6692"/>
    <w:rsid w:val="006B1C76"/>
    <w:rsid w:val="006B2DDA"/>
    <w:rsid w:val="006D2807"/>
    <w:rsid w:val="006D5DBD"/>
    <w:rsid w:val="006D6759"/>
    <w:rsid w:val="006E1881"/>
    <w:rsid w:val="006E3FC7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440D3"/>
    <w:rsid w:val="00745E6C"/>
    <w:rsid w:val="007468AA"/>
    <w:rsid w:val="00751CEC"/>
    <w:rsid w:val="00762860"/>
    <w:rsid w:val="00776A85"/>
    <w:rsid w:val="00776BA1"/>
    <w:rsid w:val="00777324"/>
    <w:rsid w:val="0077768F"/>
    <w:rsid w:val="007813B8"/>
    <w:rsid w:val="00784793"/>
    <w:rsid w:val="00790A52"/>
    <w:rsid w:val="0079362F"/>
    <w:rsid w:val="00793757"/>
    <w:rsid w:val="00795528"/>
    <w:rsid w:val="007A2D7C"/>
    <w:rsid w:val="007A3298"/>
    <w:rsid w:val="007B0B1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D6329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441C"/>
    <w:rsid w:val="00994D88"/>
    <w:rsid w:val="009A739E"/>
    <w:rsid w:val="009B21A3"/>
    <w:rsid w:val="009C1DEB"/>
    <w:rsid w:val="009C3203"/>
    <w:rsid w:val="009C37A2"/>
    <w:rsid w:val="009C4BE5"/>
    <w:rsid w:val="009C785D"/>
    <w:rsid w:val="009C7A1E"/>
    <w:rsid w:val="009D2B8F"/>
    <w:rsid w:val="009D3390"/>
    <w:rsid w:val="009E2EEE"/>
    <w:rsid w:val="009E5505"/>
    <w:rsid w:val="009E6573"/>
    <w:rsid w:val="009F18E0"/>
    <w:rsid w:val="009F405B"/>
    <w:rsid w:val="00A005C1"/>
    <w:rsid w:val="00A11587"/>
    <w:rsid w:val="00A12788"/>
    <w:rsid w:val="00A17123"/>
    <w:rsid w:val="00A2068D"/>
    <w:rsid w:val="00A23BD8"/>
    <w:rsid w:val="00A25342"/>
    <w:rsid w:val="00A27EE9"/>
    <w:rsid w:val="00A35C85"/>
    <w:rsid w:val="00A36C41"/>
    <w:rsid w:val="00A47C2F"/>
    <w:rsid w:val="00A528B3"/>
    <w:rsid w:val="00A57E5E"/>
    <w:rsid w:val="00A708D9"/>
    <w:rsid w:val="00A74455"/>
    <w:rsid w:val="00A7500E"/>
    <w:rsid w:val="00A80284"/>
    <w:rsid w:val="00A840F2"/>
    <w:rsid w:val="00A86F99"/>
    <w:rsid w:val="00A90959"/>
    <w:rsid w:val="00A91F89"/>
    <w:rsid w:val="00A96303"/>
    <w:rsid w:val="00AB3143"/>
    <w:rsid w:val="00AD0E6A"/>
    <w:rsid w:val="00AD4544"/>
    <w:rsid w:val="00AF2E74"/>
    <w:rsid w:val="00AF43D2"/>
    <w:rsid w:val="00AF52EF"/>
    <w:rsid w:val="00B01FBD"/>
    <w:rsid w:val="00B03579"/>
    <w:rsid w:val="00B12B55"/>
    <w:rsid w:val="00B20C78"/>
    <w:rsid w:val="00B228B1"/>
    <w:rsid w:val="00B3156D"/>
    <w:rsid w:val="00B35123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0F5F"/>
    <w:rsid w:val="00BD22BD"/>
    <w:rsid w:val="00BD2606"/>
    <w:rsid w:val="00BD451A"/>
    <w:rsid w:val="00BE50FB"/>
    <w:rsid w:val="00BF2B4D"/>
    <w:rsid w:val="00C00643"/>
    <w:rsid w:val="00C013BC"/>
    <w:rsid w:val="00C03885"/>
    <w:rsid w:val="00C10304"/>
    <w:rsid w:val="00C11A68"/>
    <w:rsid w:val="00C17A31"/>
    <w:rsid w:val="00C22890"/>
    <w:rsid w:val="00C25093"/>
    <w:rsid w:val="00C34B04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94ED5"/>
    <w:rsid w:val="00CB0B81"/>
    <w:rsid w:val="00CB6AEC"/>
    <w:rsid w:val="00CD1F98"/>
    <w:rsid w:val="00CD27A8"/>
    <w:rsid w:val="00CE2122"/>
    <w:rsid w:val="00CE24B0"/>
    <w:rsid w:val="00D12D39"/>
    <w:rsid w:val="00D17C09"/>
    <w:rsid w:val="00D17F0E"/>
    <w:rsid w:val="00D2355F"/>
    <w:rsid w:val="00D25403"/>
    <w:rsid w:val="00D37F05"/>
    <w:rsid w:val="00D455A8"/>
    <w:rsid w:val="00D4710E"/>
    <w:rsid w:val="00D548A5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B2748"/>
    <w:rsid w:val="00DB53BB"/>
    <w:rsid w:val="00DB6F16"/>
    <w:rsid w:val="00DD1D44"/>
    <w:rsid w:val="00DD5CB6"/>
    <w:rsid w:val="00DE09D1"/>
    <w:rsid w:val="00DE2A8D"/>
    <w:rsid w:val="00DE439D"/>
    <w:rsid w:val="00DF64B2"/>
    <w:rsid w:val="00DF6645"/>
    <w:rsid w:val="00E00EDD"/>
    <w:rsid w:val="00E016CB"/>
    <w:rsid w:val="00E02483"/>
    <w:rsid w:val="00E16CA4"/>
    <w:rsid w:val="00E204AF"/>
    <w:rsid w:val="00E40753"/>
    <w:rsid w:val="00E50B31"/>
    <w:rsid w:val="00E54FE8"/>
    <w:rsid w:val="00E5686D"/>
    <w:rsid w:val="00E57C47"/>
    <w:rsid w:val="00E63EE2"/>
    <w:rsid w:val="00E75E9C"/>
    <w:rsid w:val="00E82DB1"/>
    <w:rsid w:val="00E913D0"/>
    <w:rsid w:val="00E92E8C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50B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61CDD"/>
    <w:rsid w:val="00F62CD4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31C84"/>
  <w15:chartTrackingRefBased/>
  <w15:docId w15:val="{A82D7D52-5223-494D-ABEA-CAEDD77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9E65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6573"/>
    <w:rPr>
      <w:sz w:val="20"/>
      <w:szCs w:val="20"/>
    </w:rPr>
  </w:style>
  <w:style w:type="character" w:customStyle="1" w:styleId="KommentartextZchn">
    <w:name w:val="Kommentartext Zchn"/>
    <w:link w:val="Kommentartext"/>
    <w:rsid w:val="009E6573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9E6573"/>
    <w:rPr>
      <w:b/>
      <w:bCs/>
    </w:rPr>
  </w:style>
  <w:style w:type="character" w:customStyle="1" w:styleId="KommentarthemaZchn">
    <w:name w:val="Kommentarthema Zchn"/>
    <w:link w:val="Kommentarthema"/>
    <w:rsid w:val="009E6573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2394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4</cp:revision>
  <cp:lastPrinted>2016-09-06T09:14:00Z</cp:lastPrinted>
  <dcterms:created xsi:type="dcterms:W3CDTF">2020-01-13T13:15:00Z</dcterms:created>
  <dcterms:modified xsi:type="dcterms:W3CDTF">2020-01-15T10:12:00Z</dcterms:modified>
</cp:coreProperties>
</file>