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3A9E" w:rsidRPr="00643BD9" w:rsidRDefault="00083A9E" w:rsidP="00083A9E">
      <w:pPr>
        <w:pStyle w:val="BodyTextIndent"/>
        <w:ind w:left="0"/>
        <w:rPr>
          <w:szCs w:val="24"/>
        </w:rPr>
      </w:pPr>
      <w:r w:rsidRPr="00643BD9">
        <w:rPr>
          <w:b/>
          <w:szCs w:val="24"/>
        </w:rPr>
        <w:t xml:space="preserve">IUPAC Task Group on Atmospheric Chemical Kinetic Data Evaluation – Data Sheet </w:t>
      </w:r>
      <w:r w:rsidR="00643BD9" w:rsidRPr="00643BD9">
        <w:rPr>
          <w:b/>
          <w:szCs w:val="24"/>
        </w:rPr>
        <w:t>CGI</w:t>
      </w:r>
      <w:r w:rsidRPr="00643BD9">
        <w:rPr>
          <w:b/>
          <w:szCs w:val="24"/>
        </w:rPr>
        <w:t>_</w:t>
      </w:r>
      <w:r w:rsidR="0086328E">
        <w:rPr>
          <w:b/>
          <w:szCs w:val="24"/>
        </w:rPr>
        <w:t>23</w:t>
      </w:r>
    </w:p>
    <w:p w:rsidR="00083A9E" w:rsidRDefault="00083A9E" w:rsidP="00083A9E">
      <w:pPr>
        <w:ind w:right="680"/>
        <w:jc w:val="both"/>
        <w:rPr>
          <w:szCs w:val="24"/>
        </w:rPr>
      </w:pPr>
      <w:r>
        <w:rPr>
          <w:szCs w:val="24"/>
        </w:rPr>
        <w:t>Datasheets can be downloaded for personal use only and must not be retransmitted or disseminated either electronically or in hardcopy without explicit written permission. The citation for this data sheet is: IUPAC Task Group on Atmospheric Chemical Kinetic Data Evaluation, (</w:t>
      </w:r>
      <w:hyperlink r:id="rId9" w:history="1">
        <w:r>
          <w:rPr>
            <w:rStyle w:val="Hyperlink"/>
            <w:szCs w:val="24"/>
          </w:rPr>
          <w:t>http://iupac.pole-ether.fr</w:t>
        </w:r>
      </w:hyperlink>
      <w:r>
        <w:rPr>
          <w:szCs w:val="24"/>
        </w:rPr>
        <w:t xml:space="preserve">). </w:t>
      </w:r>
    </w:p>
    <w:p w:rsidR="00083A9E" w:rsidRDefault="00083A9E" w:rsidP="00083A9E">
      <w:pPr>
        <w:ind w:right="525"/>
        <w:jc w:val="both"/>
      </w:pPr>
      <w:r>
        <w:rPr>
          <w:szCs w:val="24"/>
        </w:rPr>
        <w:t xml:space="preserve">This datasheet last evaluated: </w:t>
      </w:r>
      <w:r w:rsidR="0086328E">
        <w:rPr>
          <w:szCs w:val="24"/>
        </w:rPr>
        <w:t>July 2017</w:t>
      </w:r>
      <w:r>
        <w:rPr>
          <w:szCs w:val="24"/>
        </w:rPr>
        <w:t xml:space="preserve">; last change in preferred values: </w:t>
      </w:r>
      <w:r w:rsidR="0086328E">
        <w:rPr>
          <w:szCs w:val="24"/>
        </w:rPr>
        <w:t>July 2017</w:t>
      </w:r>
    </w:p>
    <w:p w:rsidR="00667891" w:rsidRDefault="0015180B">
      <w:pPr>
        <w:ind w:right="332"/>
      </w:pPr>
      <w:r>
        <w:pict>
          <v:line id="_x0000_s1026" style="position:absolute;z-index:1" from="-67.05pt,11.4pt" to="528.2pt,11.4pt" strokeweight=".26mm">
            <v:stroke joinstyle="miter" endcap="square"/>
          </v:line>
        </w:pict>
      </w:r>
    </w:p>
    <w:p w:rsidR="00667891" w:rsidRDefault="00667891">
      <w:pPr>
        <w:tabs>
          <w:tab w:val="center" w:pos="4680"/>
        </w:tabs>
        <w:jc w:val="center"/>
      </w:pPr>
    </w:p>
    <w:p w:rsidR="00083A9E" w:rsidRPr="001D3940" w:rsidRDefault="00643BD9" w:rsidP="00083A9E">
      <w:pPr>
        <w:tabs>
          <w:tab w:val="center" w:pos="4680"/>
        </w:tabs>
        <w:jc w:val="center"/>
        <w:rPr>
          <w:color w:val="auto"/>
        </w:rPr>
      </w:pPr>
      <w:r>
        <w:rPr>
          <w:b/>
        </w:rPr>
        <w:t>CH</w:t>
      </w:r>
      <w:r>
        <w:rPr>
          <w:b/>
          <w:vertAlign w:val="subscript"/>
        </w:rPr>
        <w:t>2</w:t>
      </w:r>
      <w:r>
        <w:rPr>
          <w:b/>
        </w:rPr>
        <w:t xml:space="preserve">OO + </w:t>
      </w:r>
      <w:r w:rsidR="0086328E">
        <w:rPr>
          <w:b/>
        </w:rPr>
        <w:t>CF</w:t>
      </w:r>
      <w:r w:rsidR="0086328E" w:rsidRPr="0086328E">
        <w:rPr>
          <w:b/>
          <w:vertAlign w:val="subscript"/>
        </w:rPr>
        <w:t>3</w:t>
      </w:r>
      <w:r w:rsidR="000731BE">
        <w:rPr>
          <w:b/>
        </w:rPr>
        <w:t>C(O)</w:t>
      </w:r>
      <w:r w:rsidR="00D139A2">
        <w:rPr>
          <w:b/>
        </w:rPr>
        <w:t>OH</w:t>
      </w:r>
      <w:r>
        <w:rPr>
          <w:b/>
        </w:rPr>
        <w:t xml:space="preserve"> </w:t>
      </w:r>
      <w:r>
        <w:rPr>
          <w:b/>
        </w:rPr>
        <w:sym w:font="Symbol" w:char="F0AE"/>
      </w:r>
      <w:r>
        <w:rPr>
          <w:b/>
        </w:rPr>
        <w:t xml:space="preserve"> </w:t>
      </w:r>
      <w:r w:rsidR="000731BE">
        <w:rPr>
          <w:b/>
        </w:rPr>
        <w:t>products</w:t>
      </w:r>
    </w:p>
    <w:p w:rsidR="00083A9E" w:rsidRPr="001D3940" w:rsidRDefault="00083A9E" w:rsidP="00083A9E">
      <w:pPr>
        <w:tabs>
          <w:tab w:val="left" w:pos="-1440"/>
          <w:tab w:val="left" w:pos="-720"/>
          <w:tab w:val="left" w:pos="288"/>
        </w:tabs>
        <w:jc w:val="both"/>
        <w:rPr>
          <w:color w:val="auto"/>
        </w:rPr>
      </w:pPr>
    </w:p>
    <w:p w:rsidR="00083A9E" w:rsidRPr="001D3940" w:rsidRDefault="00083A9E" w:rsidP="00083A9E">
      <w:pPr>
        <w:pStyle w:val="Heading2"/>
        <w:rPr>
          <w:color w:val="auto"/>
        </w:rPr>
      </w:pPr>
      <w:r w:rsidRPr="001D3940">
        <w:rPr>
          <w:rFonts w:ascii="Times New Roman" w:hAnsi="Times New Roman" w:cs="Times New Roman"/>
          <w:color w:val="auto"/>
        </w:rPr>
        <w:t>Rate coefficient data</w:t>
      </w:r>
    </w:p>
    <w:p w:rsidR="00083A9E" w:rsidRPr="001D3940" w:rsidRDefault="00083A9E" w:rsidP="00083A9E">
      <w:pPr>
        <w:tabs>
          <w:tab w:val="center" w:pos="4680"/>
        </w:tabs>
        <w:jc w:val="both"/>
        <w:rPr>
          <w:b/>
          <w:color w:val="auto"/>
        </w:rPr>
      </w:pPr>
    </w:p>
    <w:tbl>
      <w:tblPr>
        <w:tblW w:w="0" w:type="auto"/>
        <w:tblInd w:w="578" w:type="dxa"/>
        <w:tblLayout w:type="fixed"/>
        <w:tblLook w:val="0000" w:firstRow="0" w:lastRow="0" w:firstColumn="0" w:lastColumn="0" w:noHBand="0" w:noVBand="0"/>
      </w:tblPr>
      <w:tblGrid>
        <w:gridCol w:w="3499"/>
        <w:gridCol w:w="993"/>
        <w:gridCol w:w="2551"/>
        <w:gridCol w:w="1985"/>
      </w:tblGrid>
      <w:tr w:rsidR="00083A9E" w:rsidRPr="001D3940" w:rsidTr="0056590C">
        <w:tc>
          <w:tcPr>
            <w:tcW w:w="3499" w:type="dxa"/>
            <w:tcBorders>
              <w:top w:val="double" w:sz="1" w:space="0" w:color="000000"/>
              <w:bottom w:val="single" w:sz="4" w:space="0" w:color="000000"/>
            </w:tcBorders>
            <w:shd w:val="clear" w:color="auto" w:fill="auto"/>
          </w:tcPr>
          <w:p w:rsidR="00083A9E" w:rsidRPr="001D3940" w:rsidRDefault="00083A9E" w:rsidP="00722811">
            <w:pPr>
              <w:tabs>
                <w:tab w:val="center" w:pos="4680"/>
              </w:tabs>
              <w:snapToGrid w:val="0"/>
              <w:spacing w:before="120" w:after="120"/>
              <w:jc w:val="both"/>
              <w:rPr>
                <w:color w:val="auto"/>
                <w:sz w:val="20"/>
              </w:rPr>
            </w:pPr>
            <w:r w:rsidRPr="001D3940">
              <w:rPr>
                <w:i/>
                <w:color w:val="auto"/>
                <w:sz w:val="20"/>
              </w:rPr>
              <w:t>k</w:t>
            </w:r>
            <w:r w:rsidRPr="001D3940">
              <w:rPr>
                <w:color w:val="auto"/>
                <w:sz w:val="20"/>
              </w:rPr>
              <w:t>/cm</w:t>
            </w:r>
            <w:r w:rsidRPr="001D3940">
              <w:rPr>
                <w:color w:val="auto"/>
                <w:sz w:val="20"/>
                <w:vertAlign w:val="superscript"/>
              </w:rPr>
              <w:t>3</w:t>
            </w:r>
            <w:r w:rsidRPr="001D3940">
              <w:rPr>
                <w:color w:val="auto"/>
                <w:sz w:val="20"/>
              </w:rPr>
              <w:t xml:space="preserve"> molecule</w:t>
            </w:r>
            <w:r w:rsidRPr="001D3940">
              <w:rPr>
                <w:color w:val="auto"/>
                <w:sz w:val="20"/>
                <w:vertAlign w:val="superscript"/>
              </w:rPr>
              <w:t>-1</w:t>
            </w:r>
            <w:r w:rsidRPr="001D3940">
              <w:rPr>
                <w:color w:val="auto"/>
                <w:sz w:val="20"/>
              </w:rPr>
              <w:t xml:space="preserve"> s</w:t>
            </w:r>
            <w:r w:rsidRPr="001D3940">
              <w:rPr>
                <w:color w:val="auto"/>
                <w:sz w:val="20"/>
                <w:vertAlign w:val="superscript"/>
              </w:rPr>
              <w:t>-1</w:t>
            </w:r>
          </w:p>
        </w:tc>
        <w:tc>
          <w:tcPr>
            <w:tcW w:w="993" w:type="dxa"/>
            <w:tcBorders>
              <w:top w:val="double" w:sz="1" w:space="0" w:color="000000"/>
              <w:bottom w:val="single" w:sz="4" w:space="0" w:color="000000"/>
            </w:tcBorders>
            <w:shd w:val="clear" w:color="auto" w:fill="auto"/>
          </w:tcPr>
          <w:p w:rsidR="00083A9E" w:rsidRPr="001D3940" w:rsidRDefault="00083A9E" w:rsidP="00722811">
            <w:pPr>
              <w:tabs>
                <w:tab w:val="center" w:pos="4680"/>
              </w:tabs>
              <w:snapToGrid w:val="0"/>
              <w:spacing w:before="120" w:after="120"/>
              <w:jc w:val="both"/>
              <w:rPr>
                <w:color w:val="auto"/>
                <w:sz w:val="20"/>
              </w:rPr>
            </w:pPr>
            <w:r w:rsidRPr="001D3940">
              <w:rPr>
                <w:color w:val="auto"/>
                <w:sz w:val="20"/>
              </w:rPr>
              <w:t>Temp./K</w:t>
            </w:r>
          </w:p>
        </w:tc>
        <w:tc>
          <w:tcPr>
            <w:tcW w:w="2551" w:type="dxa"/>
            <w:tcBorders>
              <w:top w:val="double" w:sz="1" w:space="0" w:color="000000"/>
              <w:bottom w:val="single" w:sz="4" w:space="0" w:color="000000"/>
            </w:tcBorders>
            <w:shd w:val="clear" w:color="auto" w:fill="auto"/>
          </w:tcPr>
          <w:p w:rsidR="00083A9E" w:rsidRPr="001D3940" w:rsidRDefault="00083A9E" w:rsidP="00722811">
            <w:pPr>
              <w:tabs>
                <w:tab w:val="center" w:pos="4680"/>
              </w:tabs>
              <w:snapToGrid w:val="0"/>
              <w:spacing w:before="120" w:after="120"/>
              <w:jc w:val="both"/>
              <w:rPr>
                <w:color w:val="auto"/>
                <w:sz w:val="20"/>
              </w:rPr>
            </w:pPr>
            <w:r w:rsidRPr="001D3940">
              <w:rPr>
                <w:color w:val="auto"/>
                <w:sz w:val="20"/>
              </w:rPr>
              <w:t>Reference</w:t>
            </w:r>
          </w:p>
        </w:tc>
        <w:tc>
          <w:tcPr>
            <w:tcW w:w="1985" w:type="dxa"/>
            <w:tcBorders>
              <w:top w:val="double" w:sz="1" w:space="0" w:color="000000"/>
              <w:bottom w:val="single" w:sz="4" w:space="0" w:color="000000"/>
            </w:tcBorders>
            <w:shd w:val="clear" w:color="auto" w:fill="auto"/>
          </w:tcPr>
          <w:p w:rsidR="00083A9E" w:rsidRPr="001D3940" w:rsidRDefault="00083A9E" w:rsidP="00D8581C">
            <w:pPr>
              <w:tabs>
                <w:tab w:val="center" w:pos="4680"/>
              </w:tabs>
              <w:snapToGrid w:val="0"/>
              <w:spacing w:before="120" w:after="120"/>
              <w:ind w:left="-108"/>
              <w:jc w:val="both"/>
              <w:rPr>
                <w:color w:val="auto"/>
              </w:rPr>
            </w:pPr>
            <w:r w:rsidRPr="001D3940">
              <w:rPr>
                <w:color w:val="auto"/>
                <w:sz w:val="20"/>
              </w:rPr>
              <w:t>Technique/Comments</w:t>
            </w:r>
          </w:p>
        </w:tc>
      </w:tr>
      <w:tr w:rsidR="00083A9E" w:rsidRPr="00CA56DB" w:rsidTr="0056590C">
        <w:tc>
          <w:tcPr>
            <w:tcW w:w="3499" w:type="dxa"/>
            <w:tcBorders>
              <w:top w:val="single" w:sz="4" w:space="0" w:color="000000"/>
            </w:tcBorders>
            <w:shd w:val="clear" w:color="auto" w:fill="auto"/>
          </w:tcPr>
          <w:p w:rsidR="00083A9E" w:rsidRPr="00713905" w:rsidRDefault="00083A9E" w:rsidP="008D7B6A">
            <w:pPr>
              <w:spacing w:before="120"/>
              <w:rPr>
                <w:i/>
                <w:sz w:val="20"/>
              </w:rPr>
            </w:pPr>
            <w:r w:rsidRPr="00713905">
              <w:rPr>
                <w:i/>
                <w:sz w:val="20"/>
              </w:rPr>
              <w:t>Absolute Rate Coefficients</w:t>
            </w:r>
          </w:p>
        </w:tc>
        <w:tc>
          <w:tcPr>
            <w:tcW w:w="993" w:type="dxa"/>
            <w:tcBorders>
              <w:top w:val="single" w:sz="4" w:space="0" w:color="000000"/>
            </w:tcBorders>
            <w:shd w:val="clear" w:color="auto" w:fill="auto"/>
          </w:tcPr>
          <w:p w:rsidR="00083A9E" w:rsidRPr="00CA56DB" w:rsidRDefault="00083A9E" w:rsidP="008D7B6A">
            <w:pPr>
              <w:tabs>
                <w:tab w:val="center" w:pos="4680"/>
              </w:tabs>
              <w:snapToGrid w:val="0"/>
              <w:jc w:val="both"/>
              <w:rPr>
                <w:color w:val="auto"/>
                <w:sz w:val="20"/>
              </w:rPr>
            </w:pPr>
          </w:p>
        </w:tc>
        <w:tc>
          <w:tcPr>
            <w:tcW w:w="2551" w:type="dxa"/>
            <w:tcBorders>
              <w:top w:val="single" w:sz="4" w:space="0" w:color="000000"/>
            </w:tcBorders>
            <w:shd w:val="clear" w:color="auto" w:fill="auto"/>
          </w:tcPr>
          <w:p w:rsidR="00083A9E" w:rsidRPr="00CA56DB" w:rsidRDefault="00083A9E" w:rsidP="008D7B6A">
            <w:pPr>
              <w:tabs>
                <w:tab w:val="center" w:pos="4680"/>
              </w:tabs>
              <w:snapToGrid w:val="0"/>
              <w:jc w:val="both"/>
              <w:rPr>
                <w:color w:val="auto"/>
                <w:sz w:val="20"/>
              </w:rPr>
            </w:pPr>
          </w:p>
        </w:tc>
        <w:tc>
          <w:tcPr>
            <w:tcW w:w="1985" w:type="dxa"/>
            <w:tcBorders>
              <w:top w:val="single" w:sz="4" w:space="0" w:color="000000"/>
            </w:tcBorders>
            <w:shd w:val="clear" w:color="auto" w:fill="auto"/>
          </w:tcPr>
          <w:p w:rsidR="00083A9E" w:rsidRPr="00CA56DB" w:rsidRDefault="00083A9E" w:rsidP="008D7B6A">
            <w:pPr>
              <w:tabs>
                <w:tab w:val="center" w:pos="4680"/>
              </w:tabs>
              <w:snapToGrid w:val="0"/>
              <w:jc w:val="both"/>
              <w:rPr>
                <w:color w:val="auto"/>
                <w:sz w:val="20"/>
              </w:rPr>
            </w:pPr>
          </w:p>
        </w:tc>
      </w:tr>
      <w:tr w:rsidR="009D0BDF" w:rsidRPr="001D3940" w:rsidTr="0056590C">
        <w:tc>
          <w:tcPr>
            <w:tcW w:w="3499" w:type="dxa"/>
            <w:shd w:val="clear" w:color="auto" w:fill="auto"/>
          </w:tcPr>
          <w:p w:rsidR="00D139A2" w:rsidRPr="0086328E" w:rsidRDefault="009D0BDF" w:rsidP="0029304F">
            <w:pPr>
              <w:ind w:right="-612"/>
              <w:jc w:val="both"/>
              <w:rPr>
                <w:sz w:val="20"/>
                <w:vertAlign w:val="superscript"/>
              </w:rPr>
            </w:pPr>
            <w:r>
              <w:rPr>
                <w:sz w:val="20"/>
              </w:rPr>
              <w:t>(</w:t>
            </w:r>
            <w:r w:rsidR="0086328E">
              <w:rPr>
                <w:sz w:val="20"/>
              </w:rPr>
              <w:t>3.</w:t>
            </w:r>
            <w:r w:rsidR="0029304F">
              <w:rPr>
                <w:sz w:val="20"/>
              </w:rPr>
              <w:t>4</w:t>
            </w:r>
            <w:r>
              <w:rPr>
                <w:sz w:val="20"/>
              </w:rPr>
              <w:t xml:space="preserve"> ± 0.</w:t>
            </w:r>
            <w:r w:rsidR="0086328E">
              <w:rPr>
                <w:sz w:val="20"/>
              </w:rPr>
              <w:t>3</w:t>
            </w:r>
            <w:r>
              <w:rPr>
                <w:sz w:val="20"/>
              </w:rPr>
              <w:t xml:space="preserve">) </w:t>
            </w:r>
            <w:r w:rsidRPr="00CA56DB">
              <w:rPr>
                <w:rFonts w:ascii="Symbol" w:eastAsia="Symbol" w:hAnsi="Symbol" w:cs="Symbol"/>
                <w:sz w:val="20"/>
              </w:rPr>
              <w:t></w:t>
            </w:r>
            <w:r>
              <w:rPr>
                <w:sz w:val="20"/>
              </w:rPr>
              <w:t xml:space="preserve"> 10</w:t>
            </w:r>
            <w:r>
              <w:rPr>
                <w:sz w:val="20"/>
                <w:vertAlign w:val="superscript"/>
              </w:rPr>
              <w:t>-1</w:t>
            </w:r>
            <w:r w:rsidR="00D139A2">
              <w:rPr>
                <w:sz w:val="20"/>
                <w:vertAlign w:val="superscript"/>
              </w:rPr>
              <w:t>0</w:t>
            </w:r>
          </w:p>
        </w:tc>
        <w:tc>
          <w:tcPr>
            <w:tcW w:w="993" w:type="dxa"/>
            <w:shd w:val="clear" w:color="auto" w:fill="auto"/>
          </w:tcPr>
          <w:p w:rsidR="00D139A2" w:rsidRPr="0086328E" w:rsidRDefault="0086328E" w:rsidP="0086328E">
            <w:pPr>
              <w:ind w:right="-610"/>
              <w:rPr>
                <w:sz w:val="20"/>
              </w:rPr>
            </w:pPr>
            <w:r>
              <w:rPr>
                <w:sz w:val="20"/>
              </w:rPr>
              <w:t>294</w:t>
            </w:r>
          </w:p>
        </w:tc>
        <w:tc>
          <w:tcPr>
            <w:tcW w:w="2551" w:type="dxa"/>
            <w:shd w:val="clear" w:color="auto" w:fill="auto"/>
          </w:tcPr>
          <w:p w:rsidR="009D0BDF" w:rsidRDefault="0086328E" w:rsidP="0086328E">
            <w:pPr>
              <w:ind w:right="-610"/>
              <w:rPr>
                <w:kern w:val="2"/>
                <w:sz w:val="20"/>
                <w:szCs w:val="24"/>
                <w:lang w:eastAsia="en-US"/>
              </w:rPr>
            </w:pPr>
            <w:r>
              <w:rPr>
                <w:sz w:val="20"/>
              </w:rPr>
              <w:t>Chhantyal-Pun et al.</w:t>
            </w:r>
            <w:r w:rsidR="009D0BDF">
              <w:rPr>
                <w:sz w:val="20"/>
              </w:rPr>
              <w:t>, 201</w:t>
            </w:r>
            <w:r>
              <w:rPr>
                <w:sz w:val="20"/>
              </w:rPr>
              <w:t>7</w:t>
            </w:r>
          </w:p>
        </w:tc>
        <w:tc>
          <w:tcPr>
            <w:tcW w:w="1985" w:type="dxa"/>
            <w:shd w:val="clear" w:color="auto" w:fill="auto"/>
          </w:tcPr>
          <w:p w:rsidR="00D139A2" w:rsidRPr="0086328E" w:rsidRDefault="0086328E" w:rsidP="0086328E">
            <w:pPr>
              <w:ind w:right="-610"/>
              <w:jc w:val="both"/>
              <w:rPr>
                <w:sz w:val="20"/>
              </w:rPr>
            </w:pPr>
            <w:r>
              <w:rPr>
                <w:sz w:val="20"/>
              </w:rPr>
              <w:t>PLP-CRDS (a)</w:t>
            </w:r>
          </w:p>
        </w:tc>
      </w:tr>
      <w:tr w:rsidR="0086328E" w:rsidRPr="001D3940" w:rsidTr="0056590C">
        <w:tc>
          <w:tcPr>
            <w:tcW w:w="3499" w:type="dxa"/>
            <w:tcBorders>
              <w:bottom w:val="single" w:sz="4" w:space="0" w:color="auto"/>
            </w:tcBorders>
            <w:shd w:val="clear" w:color="auto" w:fill="auto"/>
          </w:tcPr>
          <w:p w:rsidR="0086328E" w:rsidRDefault="0086328E" w:rsidP="0086328E">
            <w:pPr>
              <w:ind w:right="-612"/>
              <w:jc w:val="both"/>
              <w:rPr>
                <w:sz w:val="20"/>
              </w:rPr>
            </w:pPr>
            <w:r>
              <w:rPr>
                <w:sz w:val="20"/>
              </w:rPr>
              <w:t xml:space="preserve">3.8 </w:t>
            </w:r>
            <w:r w:rsidRPr="00CA56DB">
              <w:rPr>
                <w:rFonts w:ascii="Symbol" w:eastAsia="Symbol" w:hAnsi="Symbol" w:cs="Symbol"/>
                <w:sz w:val="20"/>
              </w:rPr>
              <w:t></w:t>
            </w:r>
            <w:r>
              <w:rPr>
                <w:sz w:val="20"/>
              </w:rPr>
              <w:t xml:space="preserve"> 10</w:t>
            </w:r>
            <w:r>
              <w:rPr>
                <w:sz w:val="20"/>
                <w:vertAlign w:val="superscript"/>
              </w:rPr>
              <w:t>-18</w:t>
            </w:r>
            <w:r>
              <w:rPr>
                <w:sz w:val="20"/>
              </w:rPr>
              <w:t xml:space="preserve"> </w:t>
            </w:r>
            <w:r>
              <w:rPr>
                <w:i/>
                <w:sz w:val="20"/>
              </w:rPr>
              <w:t>T</w:t>
            </w:r>
            <w:r w:rsidRPr="0086328E">
              <w:rPr>
                <w:sz w:val="20"/>
                <w:vertAlign w:val="superscript"/>
              </w:rPr>
              <w:t>2</w:t>
            </w:r>
            <w:r>
              <w:rPr>
                <w:sz w:val="20"/>
                <w:vertAlign w:val="superscript"/>
              </w:rPr>
              <w:t xml:space="preserve"> </w:t>
            </w:r>
            <w:r>
              <w:rPr>
                <w:sz w:val="20"/>
              </w:rPr>
              <w:t>exp[(1620 ± 180)/</w:t>
            </w:r>
            <w:r>
              <w:rPr>
                <w:i/>
                <w:sz w:val="20"/>
              </w:rPr>
              <w:t>T</w:t>
            </w:r>
            <w:r>
              <w:rPr>
                <w:sz w:val="20"/>
              </w:rPr>
              <w:t>]</w:t>
            </w:r>
          </w:p>
          <w:p w:rsidR="0086328E" w:rsidRDefault="0056590C" w:rsidP="0086328E">
            <w:pPr>
              <w:spacing w:after="120"/>
              <w:ind w:right="-612"/>
              <w:jc w:val="both"/>
              <w:rPr>
                <w:sz w:val="20"/>
              </w:rPr>
            </w:pPr>
            <w:r>
              <w:rPr>
                <w:sz w:val="20"/>
              </w:rPr>
              <w:t xml:space="preserve"> </w:t>
            </w:r>
            <w:r w:rsidR="0086328E">
              <w:rPr>
                <w:sz w:val="20"/>
              </w:rPr>
              <w:t xml:space="preserve">+ 2.5 </w:t>
            </w:r>
            <w:r w:rsidR="0086328E" w:rsidRPr="00CA56DB">
              <w:rPr>
                <w:rFonts w:ascii="Symbol" w:eastAsia="Symbol" w:hAnsi="Symbol" w:cs="Symbol"/>
                <w:sz w:val="20"/>
              </w:rPr>
              <w:t></w:t>
            </w:r>
            <w:r w:rsidR="0086328E">
              <w:rPr>
                <w:sz w:val="20"/>
              </w:rPr>
              <w:t xml:space="preserve"> 10</w:t>
            </w:r>
            <w:r w:rsidR="0086328E">
              <w:rPr>
                <w:sz w:val="20"/>
                <w:vertAlign w:val="superscript"/>
              </w:rPr>
              <w:t>-10</w:t>
            </w:r>
          </w:p>
        </w:tc>
        <w:tc>
          <w:tcPr>
            <w:tcW w:w="993" w:type="dxa"/>
            <w:tcBorders>
              <w:bottom w:val="single" w:sz="4" w:space="0" w:color="auto"/>
            </w:tcBorders>
            <w:shd w:val="clear" w:color="auto" w:fill="auto"/>
          </w:tcPr>
          <w:p w:rsidR="0086328E" w:rsidRDefault="0086328E" w:rsidP="0086328E">
            <w:pPr>
              <w:ind w:right="-610"/>
              <w:rPr>
                <w:sz w:val="20"/>
              </w:rPr>
            </w:pPr>
            <w:r>
              <w:rPr>
                <w:sz w:val="20"/>
              </w:rPr>
              <w:t>240-340</w:t>
            </w:r>
          </w:p>
        </w:tc>
        <w:tc>
          <w:tcPr>
            <w:tcW w:w="2551" w:type="dxa"/>
            <w:tcBorders>
              <w:bottom w:val="single" w:sz="4" w:space="0" w:color="auto"/>
            </w:tcBorders>
            <w:shd w:val="clear" w:color="auto" w:fill="auto"/>
          </w:tcPr>
          <w:p w:rsidR="0086328E" w:rsidRDefault="0086328E" w:rsidP="0086328E">
            <w:pPr>
              <w:ind w:right="-610"/>
              <w:rPr>
                <w:sz w:val="20"/>
              </w:rPr>
            </w:pPr>
          </w:p>
        </w:tc>
        <w:tc>
          <w:tcPr>
            <w:tcW w:w="1985" w:type="dxa"/>
            <w:tcBorders>
              <w:bottom w:val="single" w:sz="4" w:space="0" w:color="auto"/>
            </w:tcBorders>
            <w:shd w:val="clear" w:color="auto" w:fill="auto"/>
          </w:tcPr>
          <w:p w:rsidR="0086328E" w:rsidRDefault="0086328E" w:rsidP="0086328E">
            <w:pPr>
              <w:ind w:right="-610"/>
              <w:jc w:val="both"/>
              <w:rPr>
                <w:sz w:val="20"/>
              </w:rPr>
            </w:pPr>
          </w:p>
        </w:tc>
      </w:tr>
    </w:tbl>
    <w:p w:rsidR="00F340B1" w:rsidRPr="001D3940" w:rsidRDefault="00F340B1" w:rsidP="00F340B1">
      <w:pPr>
        <w:tabs>
          <w:tab w:val="center" w:pos="4680"/>
        </w:tabs>
        <w:jc w:val="both"/>
        <w:rPr>
          <w:color w:val="auto"/>
        </w:rPr>
      </w:pPr>
    </w:p>
    <w:p w:rsidR="00F340B1" w:rsidRPr="001D3940" w:rsidRDefault="00F340B1" w:rsidP="00F340B1">
      <w:pPr>
        <w:pStyle w:val="Heading5"/>
        <w:rPr>
          <w:color w:val="auto"/>
        </w:rPr>
      </w:pPr>
      <w:r w:rsidRPr="001D3940">
        <w:rPr>
          <w:color w:val="auto"/>
        </w:rPr>
        <w:t>Comments</w:t>
      </w:r>
    </w:p>
    <w:p w:rsidR="00F340B1" w:rsidRPr="001D3940" w:rsidRDefault="00F340B1" w:rsidP="00F340B1">
      <w:pPr>
        <w:tabs>
          <w:tab w:val="left" w:pos="-1440"/>
          <w:tab w:val="left" w:pos="-720"/>
          <w:tab w:val="left" w:pos="444"/>
        </w:tabs>
        <w:jc w:val="both"/>
        <w:rPr>
          <w:color w:val="auto"/>
        </w:rPr>
      </w:pPr>
    </w:p>
    <w:p w:rsidR="0029304F" w:rsidRPr="002711B0" w:rsidRDefault="0029304F" w:rsidP="00ED24D0">
      <w:pPr>
        <w:numPr>
          <w:ilvl w:val="0"/>
          <w:numId w:val="3"/>
        </w:numPr>
        <w:tabs>
          <w:tab w:val="left" w:pos="-1440"/>
          <w:tab w:val="left" w:pos="-720"/>
          <w:tab w:val="left" w:pos="426"/>
        </w:tabs>
        <w:jc w:val="both"/>
        <w:rPr>
          <w:color w:val="auto"/>
          <w:spacing w:val="-3"/>
        </w:rPr>
      </w:pPr>
      <w:r>
        <w:t>CH</w:t>
      </w:r>
      <w:r>
        <w:rPr>
          <w:vertAlign w:val="subscript"/>
        </w:rPr>
        <w:t>2</w:t>
      </w:r>
      <w:r>
        <w:t>OO (formaldehyde oxide) was produced by the reaction of CH</w:t>
      </w:r>
      <w:r>
        <w:rPr>
          <w:vertAlign w:val="subscript"/>
        </w:rPr>
        <w:t>2</w:t>
      </w:r>
      <w:r>
        <w:t>I + O</w:t>
      </w:r>
      <w:r>
        <w:rPr>
          <w:vertAlign w:val="subscript"/>
        </w:rPr>
        <w:t>2</w:t>
      </w:r>
      <w:r>
        <w:t>. CH</w:t>
      </w:r>
      <w:r>
        <w:rPr>
          <w:vertAlign w:val="subscript"/>
        </w:rPr>
        <w:t>2</w:t>
      </w:r>
      <w:r>
        <w:t>I was generated by 248-nm laser photolysis of diiodomethane, CH</w:t>
      </w:r>
      <w:r>
        <w:rPr>
          <w:vertAlign w:val="subscript"/>
        </w:rPr>
        <w:t>2</w:t>
      </w:r>
      <w:r>
        <w:t>I</w:t>
      </w:r>
      <w:r>
        <w:rPr>
          <w:vertAlign w:val="subscript"/>
        </w:rPr>
        <w:t>2</w:t>
      </w:r>
      <w:r>
        <w:t>.  Time-resolved direct detection of CH</w:t>
      </w:r>
      <w:r>
        <w:rPr>
          <w:vertAlign w:val="subscript"/>
        </w:rPr>
        <w:t>2</w:t>
      </w:r>
      <w:r>
        <w:t>OO by CRDS at 355 nm in the temperature range 240 – 340 K.  The measured decay constant of CH</w:t>
      </w:r>
      <w:r>
        <w:rPr>
          <w:vertAlign w:val="subscript"/>
        </w:rPr>
        <w:t>2</w:t>
      </w:r>
      <w:r>
        <w:t xml:space="preserve">OO, which was linearly dependent on (excess) concentrations of trifluoroacetic acid (up to 3.6 </w:t>
      </w:r>
      <w:r w:rsidRPr="001D3940">
        <w:rPr>
          <w:rFonts w:ascii="Symbol" w:hAnsi="Symbol" w:cs="Symbol"/>
          <w:color w:val="auto"/>
        </w:rPr>
        <w:t></w:t>
      </w:r>
      <w:r>
        <w:t xml:space="preserve"> 10</w:t>
      </w:r>
      <w:r>
        <w:rPr>
          <w:vertAlign w:val="superscript"/>
        </w:rPr>
        <w:t>14</w:t>
      </w:r>
      <w:r>
        <w:t xml:space="preserve"> molecule cm</w:t>
      </w:r>
      <w:r>
        <w:rPr>
          <w:vertAlign w:val="superscript"/>
        </w:rPr>
        <w:t>-3</w:t>
      </w:r>
      <w:r>
        <w:t xml:space="preserve">), was used to determine the rate coefficient. The uncertainty limits are 95% from an unweighted linear fit to decay lifetime plots. The rate coefficients were independent of pressure over the range 13 – 130 mbar and H/D substitution had no effect on </w:t>
      </w:r>
      <w:r>
        <w:rPr>
          <w:i/>
        </w:rPr>
        <w:t>k</w:t>
      </w:r>
      <w:r>
        <w:t xml:space="preserve"> at all temperatures in the range studied.</w:t>
      </w:r>
    </w:p>
    <w:p w:rsidR="00263004" w:rsidRPr="00CA56DB" w:rsidRDefault="00263004" w:rsidP="008D7B6A">
      <w:pPr>
        <w:tabs>
          <w:tab w:val="left" w:pos="-1440"/>
          <w:tab w:val="left" w:pos="-720"/>
        </w:tabs>
        <w:ind w:left="360"/>
        <w:jc w:val="both"/>
        <w:rPr>
          <w:color w:val="auto"/>
        </w:rPr>
      </w:pPr>
    </w:p>
    <w:p w:rsidR="00ED24D0" w:rsidRDefault="00ED24D0">
      <w:pPr>
        <w:tabs>
          <w:tab w:val="left" w:pos="-1440"/>
          <w:tab w:val="left" w:pos="-720"/>
          <w:tab w:val="left" w:pos="444"/>
        </w:tabs>
        <w:jc w:val="both"/>
      </w:pPr>
    </w:p>
    <w:p w:rsidR="00796BA6" w:rsidRPr="001D3940" w:rsidRDefault="00796BA6" w:rsidP="00796BA6">
      <w:pPr>
        <w:pStyle w:val="Heading5"/>
        <w:tabs>
          <w:tab w:val="clear" w:pos="4867"/>
          <w:tab w:val="clear" w:pos="7982"/>
          <w:tab w:val="clear" w:pos="8395"/>
          <w:tab w:val="clear" w:pos="8812"/>
        </w:tabs>
        <w:rPr>
          <w:color w:val="auto"/>
        </w:rPr>
      </w:pPr>
      <w:r w:rsidRPr="001D3940">
        <w:rPr>
          <w:color w:val="auto"/>
        </w:rPr>
        <w:t>Preferred Values</w:t>
      </w:r>
    </w:p>
    <w:p w:rsidR="00796BA6" w:rsidRPr="001D3940" w:rsidRDefault="00796BA6" w:rsidP="00796BA6">
      <w:pPr>
        <w:tabs>
          <w:tab w:val="left" w:pos="-1440"/>
          <w:tab w:val="left" w:pos="-720"/>
          <w:tab w:val="left" w:pos="444"/>
        </w:tabs>
        <w:jc w:val="both"/>
        <w:rPr>
          <w:color w:val="auto"/>
        </w:rPr>
      </w:pPr>
    </w:p>
    <w:tbl>
      <w:tblPr>
        <w:tblW w:w="0" w:type="auto"/>
        <w:tblInd w:w="454" w:type="dxa"/>
        <w:tblLayout w:type="fixed"/>
        <w:tblLook w:val="0000" w:firstRow="0" w:lastRow="0" w:firstColumn="0" w:lastColumn="0" w:noHBand="0" w:noVBand="0"/>
      </w:tblPr>
      <w:tblGrid>
        <w:gridCol w:w="3100"/>
        <w:gridCol w:w="4067"/>
        <w:gridCol w:w="1843"/>
      </w:tblGrid>
      <w:tr w:rsidR="00796BA6" w:rsidRPr="001D3940" w:rsidTr="00555829">
        <w:tc>
          <w:tcPr>
            <w:tcW w:w="3100" w:type="dxa"/>
            <w:tcBorders>
              <w:top w:val="single" w:sz="4" w:space="0" w:color="000000"/>
              <w:bottom w:val="single" w:sz="4" w:space="0" w:color="000000"/>
            </w:tcBorders>
            <w:shd w:val="clear" w:color="auto" w:fill="auto"/>
          </w:tcPr>
          <w:p w:rsidR="00796BA6" w:rsidRPr="001D3940" w:rsidRDefault="00796BA6" w:rsidP="00CA62A7">
            <w:pPr>
              <w:tabs>
                <w:tab w:val="left" w:pos="0"/>
                <w:tab w:val="left" w:pos="444"/>
                <w:tab w:val="left" w:pos="720"/>
              </w:tabs>
              <w:spacing w:line="240" w:lineRule="atLeast"/>
              <w:jc w:val="center"/>
              <w:rPr>
                <w:b/>
                <w:color w:val="auto"/>
                <w:spacing w:val="-3"/>
                <w:szCs w:val="24"/>
              </w:rPr>
            </w:pPr>
            <w:r w:rsidRPr="001D3940">
              <w:rPr>
                <w:b/>
                <w:color w:val="auto"/>
                <w:spacing w:val="-3"/>
                <w:szCs w:val="24"/>
              </w:rPr>
              <w:t>Parameter</w:t>
            </w:r>
          </w:p>
        </w:tc>
        <w:tc>
          <w:tcPr>
            <w:tcW w:w="4067" w:type="dxa"/>
            <w:tcBorders>
              <w:top w:val="single" w:sz="4" w:space="0" w:color="000000"/>
              <w:bottom w:val="single" w:sz="4" w:space="0" w:color="000000"/>
            </w:tcBorders>
            <w:shd w:val="clear" w:color="auto" w:fill="auto"/>
          </w:tcPr>
          <w:p w:rsidR="00796BA6" w:rsidRPr="001D3940" w:rsidRDefault="00796BA6" w:rsidP="00CA62A7">
            <w:pPr>
              <w:tabs>
                <w:tab w:val="left" w:pos="0"/>
                <w:tab w:val="left" w:pos="444"/>
                <w:tab w:val="left" w:pos="720"/>
              </w:tabs>
              <w:spacing w:line="240" w:lineRule="atLeast"/>
              <w:jc w:val="center"/>
              <w:rPr>
                <w:b/>
                <w:color w:val="auto"/>
                <w:spacing w:val="-3"/>
                <w:szCs w:val="24"/>
              </w:rPr>
            </w:pPr>
            <w:r w:rsidRPr="001D3940">
              <w:rPr>
                <w:b/>
                <w:color w:val="auto"/>
                <w:spacing w:val="-3"/>
                <w:szCs w:val="24"/>
              </w:rPr>
              <w:t>Value</w:t>
            </w:r>
          </w:p>
        </w:tc>
        <w:tc>
          <w:tcPr>
            <w:tcW w:w="1843" w:type="dxa"/>
            <w:tcBorders>
              <w:top w:val="single" w:sz="4" w:space="0" w:color="000000"/>
              <w:bottom w:val="single" w:sz="4" w:space="0" w:color="000000"/>
            </w:tcBorders>
            <w:shd w:val="clear" w:color="auto" w:fill="auto"/>
          </w:tcPr>
          <w:p w:rsidR="00796BA6" w:rsidRPr="001D3940" w:rsidRDefault="00796BA6" w:rsidP="00CA62A7">
            <w:pPr>
              <w:tabs>
                <w:tab w:val="left" w:pos="0"/>
                <w:tab w:val="left" w:pos="444"/>
                <w:tab w:val="left" w:pos="720"/>
              </w:tabs>
              <w:spacing w:line="240" w:lineRule="atLeast"/>
              <w:jc w:val="center"/>
              <w:rPr>
                <w:color w:val="auto"/>
              </w:rPr>
            </w:pPr>
            <w:r w:rsidRPr="001D3940">
              <w:rPr>
                <w:b/>
                <w:color w:val="auto"/>
                <w:spacing w:val="-3"/>
                <w:szCs w:val="24"/>
              </w:rPr>
              <w:t>T/K</w:t>
            </w:r>
          </w:p>
        </w:tc>
      </w:tr>
      <w:tr w:rsidR="00796BA6" w:rsidRPr="001D3940" w:rsidTr="00555829">
        <w:tc>
          <w:tcPr>
            <w:tcW w:w="3100" w:type="dxa"/>
            <w:tcBorders>
              <w:top w:val="single" w:sz="4" w:space="0" w:color="000000"/>
            </w:tcBorders>
            <w:shd w:val="clear" w:color="auto" w:fill="auto"/>
          </w:tcPr>
          <w:p w:rsidR="00796BA6" w:rsidRPr="001D3940" w:rsidRDefault="00796BA6" w:rsidP="00CA62A7">
            <w:pPr>
              <w:tabs>
                <w:tab w:val="left" w:pos="0"/>
                <w:tab w:val="left" w:pos="444"/>
                <w:tab w:val="left" w:pos="720"/>
              </w:tabs>
              <w:snapToGrid w:val="0"/>
              <w:spacing w:line="240" w:lineRule="atLeast"/>
              <w:jc w:val="center"/>
              <w:rPr>
                <w:i/>
                <w:color w:val="auto"/>
                <w:spacing w:val="-3"/>
                <w:szCs w:val="24"/>
              </w:rPr>
            </w:pPr>
          </w:p>
        </w:tc>
        <w:tc>
          <w:tcPr>
            <w:tcW w:w="4067" w:type="dxa"/>
            <w:tcBorders>
              <w:top w:val="single" w:sz="4" w:space="0" w:color="000000"/>
            </w:tcBorders>
            <w:shd w:val="clear" w:color="auto" w:fill="auto"/>
          </w:tcPr>
          <w:p w:rsidR="00796BA6" w:rsidRPr="001D3940" w:rsidRDefault="00796BA6" w:rsidP="00CA62A7">
            <w:pPr>
              <w:tabs>
                <w:tab w:val="left" w:pos="0"/>
                <w:tab w:val="left" w:pos="444"/>
                <w:tab w:val="left" w:pos="720"/>
              </w:tabs>
              <w:snapToGrid w:val="0"/>
              <w:spacing w:line="240" w:lineRule="atLeast"/>
              <w:rPr>
                <w:color w:val="auto"/>
                <w:spacing w:val="-3"/>
                <w:szCs w:val="24"/>
              </w:rPr>
            </w:pPr>
          </w:p>
        </w:tc>
        <w:tc>
          <w:tcPr>
            <w:tcW w:w="1843" w:type="dxa"/>
            <w:tcBorders>
              <w:top w:val="single" w:sz="4" w:space="0" w:color="000000"/>
            </w:tcBorders>
            <w:shd w:val="clear" w:color="auto" w:fill="auto"/>
          </w:tcPr>
          <w:p w:rsidR="00796BA6" w:rsidRPr="001D3940" w:rsidRDefault="00796BA6" w:rsidP="00CA62A7">
            <w:pPr>
              <w:tabs>
                <w:tab w:val="left" w:pos="0"/>
                <w:tab w:val="left" w:pos="444"/>
                <w:tab w:val="left" w:pos="720"/>
              </w:tabs>
              <w:snapToGrid w:val="0"/>
              <w:spacing w:line="240" w:lineRule="atLeast"/>
              <w:jc w:val="center"/>
              <w:rPr>
                <w:color w:val="auto"/>
                <w:spacing w:val="-3"/>
                <w:szCs w:val="24"/>
              </w:rPr>
            </w:pPr>
          </w:p>
        </w:tc>
      </w:tr>
      <w:tr w:rsidR="00796BA6" w:rsidRPr="001D3940" w:rsidTr="00555829">
        <w:tc>
          <w:tcPr>
            <w:tcW w:w="3100" w:type="dxa"/>
            <w:shd w:val="clear" w:color="auto" w:fill="auto"/>
          </w:tcPr>
          <w:p w:rsidR="00796BA6" w:rsidRPr="001D3940" w:rsidRDefault="00796BA6" w:rsidP="00CA62A7">
            <w:pPr>
              <w:tabs>
                <w:tab w:val="left" w:pos="0"/>
                <w:tab w:val="left" w:pos="444"/>
                <w:tab w:val="left" w:pos="720"/>
              </w:tabs>
              <w:spacing w:line="240" w:lineRule="atLeast"/>
              <w:jc w:val="center"/>
              <w:rPr>
                <w:color w:val="auto"/>
                <w:spacing w:val="-3"/>
              </w:rPr>
            </w:pPr>
            <w:r w:rsidRPr="001D3940">
              <w:rPr>
                <w:i/>
                <w:color w:val="auto"/>
                <w:spacing w:val="-3"/>
                <w:szCs w:val="24"/>
              </w:rPr>
              <w:t>k</w:t>
            </w:r>
            <w:r w:rsidRPr="001D3940">
              <w:rPr>
                <w:color w:val="auto"/>
                <w:spacing w:val="-3"/>
                <w:szCs w:val="24"/>
              </w:rPr>
              <w:t xml:space="preserve"> /cm</w:t>
            </w:r>
            <w:r w:rsidRPr="001D3940">
              <w:rPr>
                <w:color w:val="auto"/>
                <w:spacing w:val="-3"/>
                <w:szCs w:val="24"/>
                <w:vertAlign w:val="superscript"/>
              </w:rPr>
              <w:t>3</w:t>
            </w:r>
            <w:r w:rsidRPr="001D3940">
              <w:rPr>
                <w:color w:val="auto"/>
                <w:spacing w:val="-3"/>
                <w:szCs w:val="24"/>
              </w:rPr>
              <w:t xml:space="preserve"> molecule</w:t>
            </w:r>
            <w:r w:rsidRPr="001D3940">
              <w:rPr>
                <w:color w:val="auto"/>
                <w:spacing w:val="-3"/>
                <w:szCs w:val="24"/>
                <w:vertAlign w:val="superscript"/>
              </w:rPr>
              <w:t>-1</w:t>
            </w:r>
            <w:r w:rsidRPr="001D3940">
              <w:rPr>
                <w:color w:val="auto"/>
                <w:spacing w:val="-3"/>
                <w:szCs w:val="24"/>
              </w:rPr>
              <w:t xml:space="preserve"> s</w:t>
            </w:r>
            <w:r w:rsidRPr="001D3940">
              <w:rPr>
                <w:color w:val="auto"/>
                <w:spacing w:val="-3"/>
                <w:szCs w:val="24"/>
                <w:vertAlign w:val="superscript"/>
              </w:rPr>
              <w:t>-1</w:t>
            </w:r>
          </w:p>
        </w:tc>
        <w:tc>
          <w:tcPr>
            <w:tcW w:w="4067" w:type="dxa"/>
            <w:shd w:val="clear" w:color="auto" w:fill="auto"/>
          </w:tcPr>
          <w:p w:rsidR="00796BA6" w:rsidRPr="001D3940" w:rsidRDefault="0029304F" w:rsidP="001E31F8">
            <w:pPr>
              <w:tabs>
                <w:tab w:val="left" w:pos="0"/>
                <w:tab w:val="left" w:pos="444"/>
                <w:tab w:val="left" w:pos="720"/>
              </w:tabs>
              <w:spacing w:line="240" w:lineRule="atLeast"/>
              <w:jc w:val="center"/>
              <w:rPr>
                <w:color w:val="auto"/>
                <w:spacing w:val="-3"/>
                <w:szCs w:val="24"/>
              </w:rPr>
            </w:pPr>
            <w:r>
              <w:t>3.3</w:t>
            </w:r>
            <w:r w:rsidR="00796BA6">
              <w:t xml:space="preserve"> </w:t>
            </w:r>
            <w:r w:rsidR="00796BA6" w:rsidRPr="001D3940">
              <w:rPr>
                <w:rFonts w:ascii="Symbol" w:hAnsi="Symbol" w:cs="Symbol"/>
                <w:color w:val="auto"/>
              </w:rPr>
              <w:t></w:t>
            </w:r>
            <w:r w:rsidR="00796BA6">
              <w:t xml:space="preserve"> 10</w:t>
            </w:r>
            <w:r w:rsidR="00796BA6">
              <w:rPr>
                <w:vertAlign w:val="superscript"/>
              </w:rPr>
              <w:t>-1</w:t>
            </w:r>
            <w:r w:rsidR="00D139A2">
              <w:rPr>
                <w:vertAlign w:val="superscript"/>
              </w:rPr>
              <w:t>0</w:t>
            </w:r>
          </w:p>
        </w:tc>
        <w:tc>
          <w:tcPr>
            <w:tcW w:w="1843" w:type="dxa"/>
            <w:shd w:val="clear" w:color="auto" w:fill="auto"/>
          </w:tcPr>
          <w:p w:rsidR="00796BA6" w:rsidRPr="001D3940" w:rsidRDefault="00796BA6" w:rsidP="00CA62A7">
            <w:pPr>
              <w:tabs>
                <w:tab w:val="left" w:pos="0"/>
                <w:tab w:val="left" w:pos="444"/>
                <w:tab w:val="left" w:pos="720"/>
              </w:tabs>
              <w:spacing w:line="240" w:lineRule="atLeast"/>
              <w:jc w:val="center"/>
              <w:rPr>
                <w:color w:val="auto"/>
              </w:rPr>
            </w:pPr>
            <w:r w:rsidRPr="001D3940">
              <w:rPr>
                <w:color w:val="auto"/>
                <w:spacing w:val="-3"/>
                <w:szCs w:val="24"/>
              </w:rPr>
              <w:t>298</w:t>
            </w:r>
          </w:p>
        </w:tc>
      </w:tr>
      <w:tr w:rsidR="00555829" w:rsidRPr="001D3940" w:rsidTr="00555829">
        <w:tc>
          <w:tcPr>
            <w:tcW w:w="3100" w:type="dxa"/>
            <w:shd w:val="clear" w:color="auto" w:fill="auto"/>
          </w:tcPr>
          <w:p w:rsidR="00555829" w:rsidRPr="001D3940" w:rsidRDefault="00555829" w:rsidP="00CA62A7">
            <w:pPr>
              <w:tabs>
                <w:tab w:val="left" w:pos="0"/>
                <w:tab w:val="left" w:pos="444"/>
                <w:tab w:val="left" w:pos="720"/>
              </w:tabs>
              <w:spacing w:line="240" w:lineRule="atLeast"/>
              <w:jc w:val="center"/>
              <w:rPr>
                <w:i/>
                <w:color w:val="auto"/>
                <w:spacing w:val="-3"/>
                <w:szCs w:val="24"/>
              </w:rPr>
            </w:pPr>
            <w:r w:rsidRPr="001D3940">
              <w:rPr>
                <w:i/>
                <w:color w:val="auto"/>
                <w:spacing w:val="-3"/>
                <w:szCs w:val="24"/>
              </w:rPr>
              <w:t>k</w:t>
            </w:r>
            <w:r w:rsidRPr="001D3940">
              <w:rPr>
                <w:color w:val="auto"/>
                <w:spacing w:val="-3"/>
                <w:szCs w:val="24"/>
              </w:rPr>
              <w:t xml:space="preserve"> /cm</w:t>
            </w:r>
            <w:r w:rsidRPr="001D3940">
              <w:rPr>
                <w:color w:val="auto"/>
                <w:spacing w:val="-3"/>
                <w:szCs w:val="24"/>
                <w:vertAlign w:val="superscript"/>
              </w:rPr>
              <w:t>3</w:t>
            </w:r>
            <w:r w:rsidRPr="001D3940">
              <w:rPr>
                <w:color w:val="auto"/>
                <w:spacing w:val="-3"/>
                <w:szCs w:val="24"/>
              </w:rPr>
              <w:t xml:space="preserve"> molecule</w:t>
            </w:r>
            <w:r w:rsidRPr="001D3940">
              <w:rPr>
                <w:color w:val="auto"/>
                <w:spacing w:val="-3"/>
                <w:szCs w:val="24"/>
                <w:vertAlign w:val="superscript"/>
              </w:rPr>
              <w:t>-1</w:t>
            </w:r>
            <w:r w:rsidRPr="001D3940">
              <w:rPr>
                <w:color w:val="auto"/>
                <w:spacing w:val="-3"/>
                <w:szCs w:val="24"/>
              </w:rPr>
              <w:t xml:space="preserve"> s</w:t>
            </w:r>
            <w:r w:rsidRPr="001D3940">
              <w:rPr>
                <w:color w:val="auto"/>
                <w:spacing w:val="-3"/>
                <w:szCs w:val="24"/>
                <w:vertAlign w:val="superscript"/>
              </w:rPr>
              <w:t>-1</w:t>
            </w:r>
          </w:p>
        </w:tc>
        <w:tc>
          <w:tcPr>
            <w:tcW w:w="4067" w:type="dxa"/>
            <w:shd w:val="clear" w:color="auto" w:fill="auto"/>
          </w:tcPr>
          <w:p w:rsidR="00555829" w:rsidRDefault="00555829" w:rsidP="00555829">
            <w:pPr>
              <w:ind w:right="-612"/>
              <w:jc w:val="both"/>
            </w:pPr>
            <w:r w:rsidRPr="00555829">
              <w:rPr>
                <w:szCs w:val="24"/>
              </w:rPr>
              <w:t xml:space="preserve">3.8 </w:t>
            </w:r>
            <w:r w:rsidRPr="00555829">
              <w:rPr>
                <w:rFonts w:ascii="Symbol" w:eastAsia="Symbol" w:hAnsi="Symbol" w:cs="Symbol"/>
                <w:szCs w:val="24"/>
              </w:rPr>
              <w:t></w:t>
            </w:r>
            <w:r w:rsidRPr="00555829">
              <w:rPr>
                <w:szCs w:val="24"/>
              </w:rPr>
              <w:t xml:space="preserve"> 10</w:t>
            </w:r>
            <w:r w:rsidRPr="00555829">
              <w:rPr>
                <w:szCs w:val="24"/>
                <w:vertAlign w:val="superscript"/>
              </w:rPr>
              <w:t>-18</w:t>
            </w:r>
            <w:r w:rsidRPr="00555829">
              <w:rPr>
                <w:szCs w:val="24"/>
              </w:rPr>
              <w:t xml:space="preserve"> </w:t>
            </w:r>
            <w:r w:rsidRPr="00555829">
              <w:rPr>
                <w:i/>
                <w:szCs w:val="24"/>
              </w:rPr>
              <w:t>T</w:t>
            </w:r>
            <w:r w:rsidRPr="00555829">
              <w:rPr>
                <w:szCs w:val="24"/>
                <w:vertAlign w:val="superscript"/>
              </w:rPr>
              <w:t xml:space="preserve">2 </w:t>
            </w:r>
            <w:r w:rsidRPr="00555829">
              <w:rPr>
                <w:szCs w:val="24"/>
              </w:rPr>
              <w:t>exp(1620/</w:t>
            </w:r>
            <w:r w:rsidRPr="00555829">
              <w:rPr>
                <w:i/>
                <w:szCs w:val="24"/>
              </w:rPr>
              <w:t>T</w:t>
            </w:r>
            <w:r>
              <w:rPr>
                <w:szCs w:val="24"/>
              </w:rPr>
              <w:t>)</w:t>
            </w:r>
            <w:r w:rsidRPr="00555829">
              <w:rPr>
                <w:szCs w:val="24"/>
              </w:rPr>
              <w:t xml:space="preserve"> + 2.5 </w:t>
            </w:r>
            <w:r w:rsidRPr="00555829">
              <w:rPr>
                <w:rFonts w:ascii="Symbol" w:eastAsia="Symbol" w:hAnsi="Symbol" w:cs="Symbol"/>
                <w:szCs w:val="24"/>
              </w:rPr>
              <w:t></w:t>
            </w:r>
            <w:r w:rsidRPr="00555829">
              <w:rPr>
                <w:szCs w:val="24"/>
              </w:rPr>
              <w:t xml:space="preserve"> 10</w:t>
            </w:r>
            <w:r w:rsidRPr="00555829">
              <w:rPr>
                <w:szCs w:val="24"/>
                <w:vertAlign w:val="superscript"/>
              </w:rPr>
              <w:t>-10</w:t>
            </w:r>
          </w:p>
        </w:tc>
        <w:tc>
          <w:tcPr>
            <w:tcW w:w="1843" w:type="dxa"/>
            <w:shd w:val="clear" w:color="auto" w:fill="auto"/>
          </w:tcPr>
          <w:p w:rsidR="00555829" w:rsidRPr="001D3940" w:rsidRDefault="00555829" w:rsidP="00CA62A7">
            <w:pPr>
              <w:tabs>
                <w:tab w:val="left" w:pos="0"/>
                <w:tab w:val="left" w:pos="444"/>
                <w:tab w:val="left" w:pos="720"/>
              </w:tabs>
              <w:spacing w:line="240" w:lineRule="atLeast"/>
              <w:jc w:val="center"/>
              <w:rPr>
                <w:color w:val="auto"/>
                <w:spacing w:val="-3"/>
                <w:szCs w:val="24"/>
              </w:rPr>
            </w:pPr>
            <w:r>
              <w:rPr>
                <w:color w:val="auto"/>
                <w:spacing w:val="-3"/>
                <w:szCs w:val="24"/>
              </w:rPr>
              <w:t>240-340</w:t>
            </w:r>
          </w:p>
        </w:tc>
      </w:tr>
      <w:tr w:rsidR="0029304F" w:rsidRPr="001D3940" w:rsidTr="00555829">
        <w:tc>
          <w:tcPr>
            <w:tcW w:w="3100" w:type="dxa"/>
            <w:shd w:val="clear" w:color="auto" w:fill="auto"/>
          </w:tcPr>
          <w:p w:rsidR="0029304F" w:rsidRPr="001D3940" w:rsidRDefault="0029304F" w:rsidP="00CA62A7">
            <w:pPr>
              <w:tabs>
                <w:tab w:val="left" w:pos="0"/>
                <w:tab w:val="left" w:pos="444"/>
                <w:tab w:val="left" w:pos="720"/>
              </w:tabs>
              <w:spacing w:line="240" w:lineRule="atLeast"/>
              <w:jc w:val="center"/>
              <w:rPr>
                <w:i/>
                <w:color w:val="auto"/>
                <w:spacing w:val="-3"/>
                <w:szCs w:val="24"/>
              </w:rPr>
            </w:pPr>
          </w:p>
        </w:tc>
        <w:tc>
          <w:tcPr>
            <w:tcW w:w="4067" w:type="dxa"/>
            <w:shd w:val="clear" w:color="auto" w:fill="auto"/>
          </w:tcPr>
          <w:p w:rsidR="0029304F" w:rsidRDefault="0029304F" w:rsidP="001E31F8">
            <w:pPr>
              <w:tabs>
                <w:tab w:val="left" w:pos="0"/>
                <w:tab w:val="left" w:pos="444"/>
                <w:tab w:val="left" w:pos="720"/>
              </w:tabs>
              <w:spacing w:line="240" w:lineRule="atLeast"/>
              <w:jc w:val="center"/>
            </w:pPr>
          </w:p>
        </w:tc>
        <w:tc>
          <w:tcPr>
            <w:tcW w:w="1843" w:type="dxa"/>
            <w:shd w:val="clear" w:color="auto" w:fill="auto"/>
          </w:tcPr>
          <w:p w:rsidR="0029304F" w:rsidRPr="001D3940" w:rsidRDefault="0029304F" w:rsidP="00CA62A7">
            <w:pPr>
              <w:tabs>
                <w:tab w:val="left" w:pos="0"/>
                <w:tab w:val="left" w:pos="444"/>
                <w:tab w:val="left" w:pos="720"/>
              </w:tabs>
              <w:spacing w:line="240" w:lineRule="atLeast"/>
              <w:jc w:val="center"/>
              <w:rPr>
                <w:color w:val="auto"/>
                <w:spacing w:val="-3"/>
                <w:szCs w:val="24"/>
              </w:rPr>
            </w:pPr>
          </w:p>
        </w:tc>
      </w:tr>
    </w:tbl>
    <w:p w:rsidR="00796BA6" w:rsidRPr="001D3940" w:rsidRDefault="00796BA6" w:rsidP="00796BA6">
      <w:pPr>
        <w:tabs>
          <w:tab w:val="left" w:pos="0"/>
          <w:tab w:val="left" w:pos="444"/>
          <w:tab w:val="left" w:pos="720"/>
        </w:tabs>
        <w:spacing w:line="240" w:lineRule="atLeast"/>
        <w:jc w:val="both"/>
        <w:rPr>
          <w:color w:val="auto"/>
        </w:rPr>
      </w:pPr>
    </w:p>
    <w:p w:rsidR="00796BA6" w:rsidRPr="001D3940" w:rsidRDefault="00796BA6" w:rsidP="00796BA6">
      <w:pPr>
        <w:tabs>
          <w:tab w:val="left" w:pos="0"/>
          <w:tab w:val="left" w:pos="444"/>
          <w:tab w:val="left" w:pos="720"/>
        </w:tabs>
        <w:spacing w:line="240" w:lineRule="atLeast"/>
        <w:jc w:val="both"/>
        <w:rPr>
          <w:rFonts w:ascii="Symbol" w:hAnsi="Symbol"/>
          <w:color w:val="auto"/>
          <w:spacing w:val="-3"/>
          <w:szCs w:val="24"/>
        </w:rPr>
      </w:pPr>
      <w:r w:rsidRPr="001D3940">
        <w:rPr>
          <w:i/>
          <w:color w:val="auto"/>
          <w:spacing w:val="-3"/>
          <w:szCs w:val="24"/>
        </w:rPr>
        <w:t>Reliability</w:t>
      </w:r>
    </w:p>
    <w:tbl>
      <w:tblPr>
        <w:tblW w:w="0" w:type="auto"/>
        <w:tblInd w:w="454" w:type="dxa"/>
        <w:tblLayout w:type="fixed"/>
        <w:tblLook w:val="0000" w:firstRow="0" w:lastRow="0" w:firstColumn="0" w:lastColumn="0" w:noHBand="0" w:noVBand="0"/>
      </w:tblPr>
      <w:tblGrid>
        <w:gridCol w:w="3056"/>
        <w:gridCol w:w="4111"/>
        <w:gridCol w:w="1843"/>
      </w:tblGrid>
      <w:tr w:rsidR="00796BA6" w:rsidRPr="001D3940" w:rsidTr="004F1B71">
        <w:tc>
          <w:tcPr>
            <w:tcW w:w="3056" w:type="dxa"/>
            <w:shd w:val="clear" w:color="auto" w:fill="auto"/>
          </w:tcPr>
          <w:p w:rsidR="00796BA6" w:rsidRPr="001D3940" w:rsidRDefault="00796BA6" w:rsidP="004F1B71">
            <w:pPr>
              <w:tabs>
                <w:tab w:val="left" w:pos="0"/>
                <w:tab w:val="left" w:pos="444"/>
                <w:tab w:val="left" w:pos="720"/>
              </w:tabs>
              <w:spacing w:line="240" w:lineRule="atLeast"/>
              <w:jc w:val="center"/>
              <w:rPr>
                <w:color w:val="auto"/>
                <w:spacing w:val="-3"/>
                <w:szCs w:val="24"/>
              </w:rPr>
            </w:pPr>
            <w:bookmarkStart w:id="0" w:name="_GoBack" w:colFirst="0" w:colLast="2"/>
            <w:r w:rsidRPr="001D3940">
              <w:rPr>
                <w:rFonts w:ascii="Symbol" w:hAnsi="Symbol"/>
                <w:color w:val="auto"/>
                <w:spacing w:val="-3"/>
                <w:szCs w:val="24"/>
              </w:rPr>
              <w:t></w:t>
            </w:r>
            <w:r w:rsidRPr="001D3940">
              <w:rPr>
                <w:color w:val="auto"/>
                <w:spacing w:val="-3"/>
                <w:szCs w:val="24"/>
              </w:rPr>
              <w:t xml:space="preserve"> log</w:t>
            </w:r>
            <w:r w:rsidRPr="001D3940">
              <w:rPr>
                <w:i/>
                <w:color w:val="auto"/>
                <w:spacing w:val="-3"/>
                <w:szCs w:val="24"/>
              </w:rPr>
              <w:t xml:space="preserve"> k</w:t>
            </w:r>
          </w:p>
        </w:tc>
        <w:tc>
          <w:tcPr>
            <w:tcW w:w="4111" w:type="dxa"/>
            <w:shd w:val="clear" w:color="auto" w:fill="auto"/>
          </w:tcPr>
          <w:p w:rsidR="00796BA6" w:rsidRPr="001D3940" w:rsidRDefault="00796BA6" w:rsidP="004F1B71">
            <w:pPr>
              <w:tabs>
                <w:tab w:val="left" w:pos="0"/>
                <w:tab w:val="left" w:pos="444"/>
                <w:tab w:val="left" w:pos="720"/>
              </w:tabs>
              <w:spacing w:line="240" w:lineRule="atLeast"/>
              <w:jc w:val="center"/>
              <w:rPr>
                <w:color w:val="auto"/>
                <w:spacing w:val="-3"/>
                <w:szCs w:val="24"/>
              </w:rPr>
            </w:pPr>
            <w:r w:rsidRPr="001D3940">
              <w:rPr>
                <w:color w:val="auto"/>
                <w:spacing w:val="-3"/>
                <w:szCs w:val="24"/>
              </w:rPr>
              <w:t>± 0.</w:t>
            </w:r>
            <w:r w:rsidR="00555829">
              <w:rPr>
                <w:color w:val="auto"/>
                <w:spacing w:val="-3"/>
                <w:szCs w:val="24"/>
              </w:rPr>
              <w:t>2</w:t>
            </w:r>
          </w:p>
        </w:tc>
        <w:tc>
          <w:tcPr>
            <w:tcW w:w="1843" w:type="dxa"/>
            <w:shd w:val="clear" w:color="auto" w:fill="auto"/>
          </w:tcPr>
          <w:p w:rsidR="00796BA6" w:rsidRPr="001D3940" w:rsidRDefault="00796BA6" w:rsidP="004F1B71">
            <w:pPr>
              <w:tabs>
                <w:tab w:val="left" w:pos="0"/>
                <w:tab w:val="left" w:pos="444"/>
                <w:tab w:val="left" w:pos="720"/>
              </w:tabs>
              <w:spacing w:line="240" w:lineRule="atLeast"/>
              <w:jc w:val="center"/>
              <w:rPr>
                <w:color w:val="auto"/>
              </w:rPr>
            </w:pPr>
            <w:r w:rsidRPr="001D3940">
              <w:rPr>
                <w:color w:val="auto"/>
                <w:spacing w:val="-3"/>
                <w:szCs w:val="24"/>
              </w:rPr>
              <w:t>298</w:t>
            </w:r>
          </w:p>
        </w:tc>
      </w:tr>
      <w:bookmarkEnd w:id="0"/>
      <w:tr w:rsidR="004F1B71" w:rsidRPr="001D3940" w:rsidTr="00555829">
        <w:tc>
          <w:tcPr>
            <w:tcW w:w="3056" w:type="dxa"/>
            <w:tcBorders>
              <w:bottom w:val="single" w:sz="4" w:space="0" w:color="auto"/>
            </w:tcBorders>
            <w:shd w:val="clear" w:color="auto" w:fill="auto"/>
          </w:tcPr>
          <w:p w:rsidR="004F1B71" w:rsidRPr="001D3940" w:rsidRDefault="004F1B71" w:rsidP="00263180">
            <w:pPr>
              <w:tabs>
                <w:tab w:val="left" w:pos="0"/>
                <w:tab w:val="left" w:pos="444"/>
                <w:tab w:val="left" w:pos="720"/>
              </w:tabs>
              <w:spacing w:after="120" w:line="240" w:lineRule="atLeast"/>
              <w:jc w:val="center"/>
              <w:rPr>
                <w:rFonts w:ascii="Symbol" w:hAnsi="Symbol"/>
                <w:color w:val="auto"/>
                <w:spacing w:val="-3"/>
                <w:szCs w:val="24"/>
              </w:rPr>
            </w:pPr>
            <w:r w:rsidRPr="001D3940">
              <w:rPr>
                <w:rFonts w:ascii="Symbol" w:hAnsi="Symbol"/>
                <w:color w:val="auto"/>
                <w:spacing w:val="-3"/>
                <w:szCs w:val="24"/>
              </w:rPr>
              <w:t></w:t>
            </w:r>
            <w:r w:rsidRPr="001D3940">
              <w:rPr>
                <w:color w:val="auto"/>
                <w:spacing w:val="-3"/>
                <w:szCs w:val="24"/>
              </w:rPr>
              <w:t xml:space="preserve"> </w:t>
            </w:r>
            <w:r w:rsidRPr="00DC2466">
              <w:rPr>
                <w:i/>
                <w:color w:val="auto"/>
                <w:spacing w:val="-3"/>
                <w:szCs w:val="24"/>
              </w:rPr>
              <w:t>E</w:t>
            </w:r>
            <w:r>
              <w:rPr>
                <w:color w:val="auto"/>
                <w:spacing w:val="-3"/>
                <w:szCs w:val="24"/>
              </w:rPr>
              <w:t>/</w:t>
            </w:r>
            <w:r w:rsidRPr="00DC2466">
              <w:rPr>
                <w:i/>
                <w:color w:val="auto"/>
                <w:spacing w:val="-3"/>
                <w:szCs w:val="24"/>
              </w:rPr>
              <w:t>R</w:t>
            </w:r>
          </w:p>
        </w:tc>
        <w:tc>
          <w:tcPr>
            <w:tcW w:w="4111" w:type="dxa"/>
            <w:tcBorders>
              <w:bottom w:val="single" w:sz="4" w:space="0" w:color="auto"/>
            </w:tcBorders>
            <w:shd w:val="clear" w:color="auto" w:fill="auto"/>
          </w:tcPr>
          <w:p w:rsidR="004F1B71" w:rsidRPr="001D3940" w:rsidRDefault="004F1B71" w:rsidP="00263180">
            <w:pPr>
              <w:tabs>
                <w:tab w:val="left" w:pos="0"/>
                <w:tab w:val="left" w:pos="444"/>
                <w:tab w:val="left" w:pos="720"/>
              </w:tabs>
              <w:spacing w:after="120" w:line="240" w:lineRule="atLeast"/>
              <w:jc w:val="center"/>
              <w:rPr>
                <w:color w:val="auto"/>
                <w:spacing w:val="-3"/>
                <w:szCs w:val="24"/>
              </w:rPr>
            </w:pPr>
            <w:r w:rsidRPr="001D3940">
              <w:rPr>
                <w:color w:val="auto"/>
                <w:spacing w:val="-3"/>
                <w:szCs w:val="24"/>
              </w:rPr>
              <w:t xml:space="preserve">± </w:t>
            </w:r>
            <w:r>
              <w:rPr>
                <w:color w:val="auto"/>
                <w:spacing w:val="-3"/>
                <w:szCs w:val="24"/>
              </w:rPr>
              <w:t>500</w:t>
            </w:r>
          </w:p>
        </w:tc>
        <w:tc>
          <w:tcPr>
            <w:tcW w:w="1843" w:type="dxa"/>
            <w:tcBorders>
              <w:bottom w:val="single" w:sz="4" w:space="0" w:color="auto"/>
            </w:tcBorders>
            <w:shd w:val="clear" w:color="auto" w:fill="auto"/>
          </w:tcPr>
          <w:p w:rsidR="004F1B71" w:rsidRPr="001D3940" w:rsidRDefault="004F1B71" w:rsidP="00263180">
            <w:pPr>
              <w:tabs>
                <w:tab w:val="left" w:pos="0"/>
                <w:tab w:val="left" w:pos="444"/>
                <w:tab w:val="left" w:pos="720"/>
              </w:tabs>
              <w:spacing w:after="120" w:line="240" w:lineRule="atLeast"/>
              <w:jc w:val="center"/>
              <w:rPr>
                <w:color w:val="auto"/>
                <w:spacing w:val="-3"/>
                <w:szCs w:val="24"/>
              </w:rPr>
            </w:pPr>
            <w:r>
              <w:rPr>
                <w:color w:val="auto"/>
                <w:spacing w:val="-3"/>
                <w:szCs w:val="24"/>
              </w:rPr>
              <w:t>240-340</w:t>
            </w:r>
          </w:p>
        </w:tc>
      </w:tr>
    </w:tbl>
    <w:p w:rsidR="00796BA6" w:rsidRPr="0085481F" w:rsidRDefault="00796BA6" w:rsidP="00796BA6">
      <w:pPr>
        <w:numPr>
          <w:ilvl w:val="0"/>
          <w:numId w:val="2"/>
        </w:numPr>
        <w:tabs>
          <w:tab w:val="left" w:pos="-1440"/>
          <w:tab w:val="left" w:pos="-720"/>
          <w:tab w:val="left" w:pos="444"/>
        </w:tabs>
        <w:jc w:val="both"/>
        <w:rPr>
          <w:color w:val="auto"/>
        </w:rPr>
      </w:pPr>
    </w:p>
    <w:p w:rsidR="009E6421" w:rsidRPr="009E6421" w:rsidRDefault="009E6421" w:rsidP="00ED24D0">
      <w:pPr>
        <w:numPr>
          <w:ilvl w:val="0"/>
          <w:numId w:val="2"/>
        </w:numPr>
        <w:tabs>
          <w:tab w:val="left" w:pos="-1440"/>
          <w:tab w:val="left" w:pos="-720"/>
          <w:tab w:val="left" w:pos="444"/>
        </w:tabs>
        <w:jc w:val="both"/>
        <w:rPr>
          <w:color w:val="auto"/>
        </w:rPr>
      </w:pPr>
    </w:p>
    <w:p w:rsidR="00ED24D0" w:rsidRPr="001D3940" w:rsidRDefault="00ED24D0" w:rsidP="00ED24D0">
      <w:pPr>
        <w:numPr>
          <w:ilvl w:val="0"/>
          <w:numId w:val="2"/>
        </w:numPr>
        <w:tabs>
          <w:tab w:val="left" w:pos="-1440"/>
          <w:tab w:val="left" w:pos="-720"/>
          <w:tab w:val="left" w:pos="444"/>
        </w:tabs>
        <w:jc w:val="both"/>
        <w:rPr>
          <w:color w:val="auto"/>
        </w:rPr>
      </w:pPr>
      <w:r w:rsidRPr="001D3940">
        <w:rPr>
          <w:i/>
          <w:color w:val="auto"/>
        </w:rPr>
        <w:t>Comments on Preferred Values</w:t>
      </w:r>
    </w:p>
    <w:p w:rsidR="001E31F8" w:rsidRDefault="00555829" w:rsidP="004A0639">
      <w:pPr>
        <w:tabs>
          <w:tab w:val="left" w:pos="-1440"/>
          <w:tab w:val="left" w:pos="-720"/>
          <w:tab w:val="left" w:pos="444"/>
        </w:tabs>
        <w:spacing w:after="120"/>
        <w:ind w:firstLine="442"/>
        <w:jc w:val="both"/>
      </w:pPr>
      <w:r>
        <w:t>The reaction of CH</w:t>
      </w:r>
      <w:r>
        <w:rPr>
          <w:vertAlign w:val="subscript"/>
        </w:rPr>
        <w:t>2</w:t>
      </w:r>
      <w:r>
        <w:t xml:space="preserve">OO with trifluoroacetic acid (TFA) at 294 K is extremely rapid, as found for reaction with carboxylic acids (see IUPAC data sheets CGI_10 and CGI_11). The rate coefficient decreases with increasing temperature in the range 240-340 K, and exceeds the estimates for collision-limited values. This suggests rate enhancement by capture mechanisms, attributable to the large </w:t>
      </w:r>
      <w:r>
        <w:lastRenderedPageBreak/>
        <w:t>permanent dipole moments of the two reactants.  However, the observed temperature dependence is steeper than predicted by a simple dipole capture model with computed dipole moments. A different model involving competitive stabilization of a pre-reactive complex, binding the two reactants by two H-bonds, is proposed to explain the temperature dependence. This model was used in computational studies to describe the temperature dependence of CH</w:t>
      </w:r>
      <w:r>
        <w:rPr>
          <w:vertAlign w:val="subscript"/>
        </w:rPr>
        <w:t>2</w:t>
      </w:r>
      <w:r>
        <w:t>OO + HCOOH reaction (Long et al., 2009), which predicts a T-dependence of the form:</w:t>
      </w:r>
    </w:p>
    <w:p w:rsidR="00555829" w:rsidRDefault="004F1B71" w:rsidP="004A0639">
      <w:pPr>
        <w:tabs>
          <w:tab w:val="left" w:pos="-1440"/>
          <w:tab w:val="left" w:pos="-720"/>
          <w:tab w:val="left" w:pos="444"/>
        </w:tabs>
        <w:spacing w:after="120"/>
        <w:ind w:firstLine="442"/>
        <w:jc w:val="both"/>
        <w:rPr>
          <w:noProof/>
          <w:lang w:val="en-GB" w:eastAsia="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103.5pt;height:29.45pt;visibility:visible;mso-wrap-style:square">
            <v:imagedata r:id="rId10" o:title=""/>
          </v:shape>
        </w:pict>
      </w:r>
    </w:p>
    <w:p w:rsidR="00555829" w:rsidRDefault="00555829" w:rsidP="00945495">
      <w:pPr>
        <w:tabs>
          <w:tab w:val="left" w:pos="-1440"/>
          <w:tab w:val="left" w:pos="-720"/>
          <w:tab w:val="left" w:pos="444"/>
        </w:tabs>
        <w:ind w:firstLine="444"/>
        <w:jc w:val="both"/>
      </w:pPr>
      <w:r>
        <w:t>The recommended parameters for CH</w:t>
      </w:r>
      <w:r>
        <w:rPr>
          <w:vertAlign w:val="subscript"/>
        </w:rPr>
        <w:t>2</w:t>
      </w:r>
      <w:r>
        <w:t>OO + CF</w:t>
      </w:r>
      <w:r>
        <w:rPr>
          <w:vertAlign w:val="subscript"/>
        </w:rPr>
        <w:t>3</w:t>
      </w:r>
      <w:r>
        <w:t>COOH are based on a fit of the experimental data reported by Chhantyal-Pun et al. (2017), using this model.</w:t>
      </w:r>
    </w:p>
    <w:p w:rsidR="00555829" w:rsidRDefault="00555829" w:rsidP="00945495">
      <w:pPr>
        <w:tabs>
          <w:tab w:val="left" w:pos="-1440"/>
          <w:tab w:val="left" w:pos="-720"/>
          <w:tab w:val="left" w:pos="444"/>
        </w:tabs>
        <w:ind w:firstLine="444"/>
        <w:jc w:val="both"/>
      </w:pPr>
    </w:p>
    <w:p w:rsidR="00555829" w:rsidRDefault="00555829" w:rsidP="00945495">
      <w:pPr>
        <w:tabs>
          <w:tab w:val="left" w:pos="-1440"/>
          <w:tab w:val="left" w:pos="-720"/>
          <w:tab w:val="left" w:pos="444"/>
        </w:tabs>
        <w:ind w:firstLine="444"/>
        <w:jc w:val="both"/>
      </w:pPr>
    </w:p>
    <w:p w:rsidR="00945495" w:rsidRDefault="00945495" w:rsidP="00945495">
      <w:pPr>
        <w:tabs>
          <w:tab w:val="left" w:pos="-1440"/>
          <w:tab w:val="left" w:pos="-720"/>
          <w:tab w:val="left" w:pos="444"/>
        </w:tabs>
        <w:ind w:firstLine="444"/>
        <w:jc w:val="both"/>
      </w:pPr>
      <w:r w:rsidRPr="00945495">
        <w:t xml:space="preserve"> </w:t>
      </w:r>
    </w:p>
    <w:p w:rsidR="00945495" w:rsidRDefault="00945495" w:rsidP="00945495">
      <w:pPr>
        <w:jc w:val="center"/>
      </w:pPr>
      <w:r>
        <w:rPr>
          <w:b/>
          <w:bCs/>
        </w:rPr>
        <w:t>References</w:t>
      </w:r>
    </w:p>
    <w:p w:rsidR="007A2AFA" w:rsidRDefault="007A2AFA" w:rsidP="007A2AFA">
      <w:pPr>
        <w:jc w:val="both"/>
        <w:rPr>
          <w:lang w:val="de-DE"/>
        </w:rPr>
      </w:pPr>
    </w:p>
    <w:p w:rsidR="00555829" w:rsidRDefault="00555829" w:rsidP="001E31F8">
      <w:pPr>
        <w:widowControl w:val="0"/>
        <w:overflowPunct w:val="0"/>
        <w:jc w:val="both"/>
        <w:rPr>
          <w:rFonts w:cs="AdvOTd369e91e"/>
          <w:szCs w:val="24"/>
        </w:rPr>
      </w:pPr>
      <w:r w:rsidRPr="00555829">
        <w:rPr>
          <w:rFonts w:cs="AdvOTd369e91e"/>
          <w:szCs w:val="24"/>
        </w:rPr>
        <w:t>Chhantyal-Pun, R., McGillen, M. R., Beames, J. M., Khan, M. A. H., Percival, C. J., Shallcross, D. E., and  Orr-Ewing, A. J.: Angew. Chem. Int. Ed., 56, 9044, 2017.</w:t>
      </w:r>
    </w:p>
    <w:p w:rsidR="00555829" w:rsidRDefault="00555829" w:rsidP="001E31F8">
      <w:pPr>
        <w:widowControl w:val="0"/>
        <w:overflowPunct w:val="0"/>
        <w:jc w:val="both"/>
        <w:rPr>
          <w:rFonts w:cs="AdvOTd369e91e"/>
          <w:szCs w:val="24"/>
        </w:rPr>
      </w:pPr>
      <w:r w:rsidRPr="00555829">
        <w:rPr>
          <w:rFonts w:cs="AdvOTd369e91e"/>
          <w:szCs w:val="24"/>
        </w:rPr>
        <w:t>Long, B., Cheng, J. R., Tan, X. F., Zhang, W. J.: J. Mol. Struct. Theochem, 916, 159, 2009.</w:t>
      </w:r>
    </w:p>
    <w:sectPr w:rsidR="00555829">
      <w:footerReference w:type="default" r:id="rId11"/>
      <w:footerReference w:type="first" r:id="rId12"/>
      <w:pgSz w:w="11906" w:h="16838"/>
      <w:pgMar w:top="1440" w:right="842" w:bottom="1440" w:left="10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0B" w:rsidRDefault="0015180B">
      <w:r>
        <w:separator/>
      </w:r>
    </w:p>
  </w:endnote>
  <w:endnote w:type="continuationSeparator" w:id="0">
    <w:p w:rsidR="0015180B" w:rsidRDefault="0015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ohit Devanagari">
    <w:altName w:val="MS Gothic"/>
    <w:charset w:val="80"/>
    <w:family w:val="auto"/>
    <w:pitch w:val="default"/>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dvOTd369e91e">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1" w:rsidRDefault="0015180B">
    <w:pPr>
      <w:pStyle w:val="Footer"/>
    </w:pPr>
    <w:r>
      <w:pict>
        <v:shapetype id="_x0000_t202" coordsize="21600,21600" o:spt="202" path="m,l,21600r21600,l21600,xe">
          <v:stroke joinstyle="miter"/>
          <v:path gradientshapeok="t" o:connecttype="rect"/>
        </v:shapetype>
        <v:shape id="_x0000_s2049" type="#_x0000_t202" style="position:absolute;margin-left:0;margin-top:.05pt;width:5.8pt;height:13.55pt;z-index:1;mso-wrap-distance-left:0;mso-wrap-distance-right:0;mso-position-horizontal:center;mso-position-horizontal-relative:margin" stroked="f">
          <v:fill opacity="0" color2="black"/>
          <v:textbox style="mso-next-textbox:#_x0000_s2049" inset="0,0,0,0">
            <w:txbxContent>
              <w:p w:rsidR="00667891" w:rsidRDefault="00667891">
                <w:pPr>
                  <w:pStyle w:val="Footer"/>
                </w:pPr>
                <w:r>
                  <w:rPr>
                    <w:rStyle w:val="PageNumber"/>
                  </w:rPr>
                  <w:fldChar w:fldCharType="begin"/>
                </w:r>
                <w:r>
                  <w:rPr>
                    <w:rStyle w:val="PageNumber"/>
                  </w:rPr>
                  <w:instrText xml:space="preserve"> PAGE </w:instrText>
                </w:r>
                <w:r>
                  <w:rPr>
                    <w:rStyle w:val="PageNumber"/>
                  </w:rPr>
                  <w:fldChar w:fldCharType="separate"/>
                </w:r>
                <w:r w:rsidR="004F1B71">
                  <w:rPr>
                    <w:rStyle w:val="PageNumber"/>
                    <w:noProof/>
                  </w:rPr>
                  <w:t>1</w:t>
                </w:r>
                <w:r>
                  <w:rPr>
                    <w:rStyle w:val="PageNumber"/>
                  </w:rPr>
                  <w:fldChar w:fldCharType="end"/>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1" w:rsidRDefault="00667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0B" w:rsidRDefault="0015180B">
      <w:r>
        <w:separator/>
      </w:r>
    </w:p>
  </w:footnote>
  <w:footnote w:type="continuationSeparator" w:id="0">
    <w:p w:rsidR="0015180B" w:rsidRDefault="00151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lowerLetter"/>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307"/>
    <w:rsid w:val="00004857"/>
    <w:rsid w:val="00026185"/>
    <w:rsid w:val="0003110A"/>
    <w:rsid w:val="00051639"/>
    <w:rsid w:val="000554DE"/>
    <w:rsid w:val="00060F84"/>
    <w:rsid w:val="000731BE"/>
    <w:rsid w:val="00073E26"/>
    <w:rsid w:val="00082371"/>
    <w:rsid w:val="00083A9E"/>
    <w:rsid w:val="00087559"/>
    <w:rsid w:val="000917D3"/>
    <w:rsid w:val="000A5DB0"/>
    <w:rsid w:val="000B1E91"/>
    <w:rsid w:val="000C6109"/>
    <w:rsid w:val="000C7423"/>
    <w:rsid w:val="000D5266"/>
    <w:rsid w:val="000F1857"/>
    <w:rsid w:val="00103BFE"/>
    <w:rsid w:val="00110DA2"/>
    <w:rsid w:val="00127FA2"/>
    <w:rsid w:val="00133D64"/>
    <w:rsid w:val="0015180B"/>
    <w:rsid w:val="00187FB3"/>
    <w:rsid w:val="00194112"/>
    <w:rsid w:val="00196AE4"/>
    <w:rsid w:val="001B1295"/>
    <w:rsid w:val="001B27E8"/>
    <w:rsid w:val="001C4DB8"/>
    <w:rsid w:val="001E31F8"/>
    <w:rsid w:val="00205BA2"/>
    <w:rsid w:val="00213494"/>
    <w:rsid w:val="00230EA1"/>
    <w:rsid w:val="00257C1E"/>
    <w:rsid w:val="00263004"/>
    <w:rsid w:val="002711B0"/>
    <w:rsid w:val="0027752A"/>
    <w:rsid w:val="0029304F"/>
    <w:rsid w:val="00296D05"/>
    <w:rsid w:val="002A326E"/>
    <w:rsid w:val="002B76A5"/>
    <w:rsid w:val="002C30AE"/>
    <w:rsid w:val="002D26FD"/>
    <w:rsid w:val="003738B3"/>
    <w:rsid w:val="00374307"/>
    <w:rsid w:val="00392C39"/>
    <w:rsid w:val="003964D0"/>
    <w:rsid w:val="003B2E4A"/>
    <w:rsid w:val="003B485C"/>
    <w:rsid w:val="003B61AE"/>
    <w:rsid w:val="003B6C3F"/>
    <w:rsid w:val="003C2C4D"/>
    <w:rsid w:val="003E0DEE"/>
    <w:rsid w:val="003F4605"/>
    <w:rsid w:val="00400E22"/>
    <w:rsid w:val="0044764F"/>
    <w:rsid w:val="004478AE"/>
    <w:rsid w:val="00466E92"/>
    <w:rsid w:val="004A0639"/>
    <w:rsid w:val="004A5A5E"/>
    <w:rsid w:val="004B43B1"/>
    <w:rsid w:val="004E7933"/>
    <w:rsid w:val="004F1B71"/>
    <w:rsid w:val="00506C23"/>
    <w:rsid w:val="00510981"/>
    <w:rsid w:val="00521870"/>
    <w:rsid w:val="00525C80"/>
    <w:rsid w:val="0052659C"/>
    <w:rsid w:val="00543848"/>
    <w:rsid w:val="00555829"/>
    <w:rsid w:val="0056590C"/>
    <w:rsid w:val="00581FF4"/>
    <w:rsid w:val="0058473E"/>
    <w:rsid w:val="005C5BC3"/>
    <w:rsid w:val="005D0E90"/>
    <w:rsid w:val="005D133B"/>
    <w:rsid w:val="005F30D4"/>
    <w:rsid w:val="005F7772"/>
    <w:rsid w:val="005F798C"/>
    <w:rsid w:val="006021C6"/>
    <w:rsid w:val="006108DD"/>
    <w:rsid w:val="00633D78"/>
    <w:rsid w:val="00637C26"/>
    <w:rsid w:val="00643BD9"/>
    <w:rsid w:val="00665B4C"/>
    <w:rsid w:val="00667891"/>
    <w:rsid w:val="00672918"/>
    <w:rsid w:val="00676F76"/>
    <w:rsid w:val="00692E58"/>
    <w:rsid w:val="006A2199"/>
    <w:rsid w:val="006B4705"/>
    <w:rsid w:val="006F09CD"/>
    <w:rsid w:val="006F4FFB"/>
    <w:rsid w:val="006F79CA"/>
    <w:rsid w:val="00705785"/>
    <w:rsid w:val="00712FEF"/>
    <w:rsid w:val="00713905"/>
    <w:rsid w:val="00722811"/>
    <w:rsid w:val="00732673"/>
    <w:rsid w:val="0073301B"/>
    <w:rsid w:val="00743D70"/>
    <w:rsid w:val="007443B7"/>
    <w:rsid w:val="007565E5"/>
    <w:rsid w:val="00773C03"/>
    <w:rsid w:val="00777B41"/>
    <w:rsid w:val="00796BA6"/>
    <w:rsid w:val="007A2AFA"/>
    <w:rsid w:val="007D12BB"/>
    <w:rsid w:val="007F4289"/>
    <w:rsid w:val="008401F1"/>
    <w:rsid w:val="0085481F"/>
    <w:rsid w:val="0086328E"/>
    <w:rsid w:val="008A3B84"/>
    <w:rsid w:val="008B3D0F"/>
    <w:rsid w:val="008D7B6A"/>
    <w:rsid w:val="008E4057"/>
    <w:rsid w:val="008E758B"/>
    <w:rsid w:val="00906C25"/>
    <w:rsid w:val="00937BE5"/>
    <w:rsid w:val="00945495"/>
    <w:rsid w:val="00953031"/>
    <w:rsid w:val="0095622F"/>
    <w:rsid w:val="00963CC7"/>
    <w:rsid w:val="00976095"/>
    <w:rsid w:val="00994621"/>
    <w:rsid w:val="009A6409"/>
    <w:rsid w:val="009B0CFC"/>
    <w:rsid w:val="009B5E80"/>
    <w:rsid w:val="009D0BDF"/>
    <w:rsid w:val="009E304E"/>
    <w:rsid w:val="009E6421"/>
    <w:rsid w:val="00A05D44"/>
    <w:rsid w:val="00A11E5E"/>
    <w:rsid w:val="00A147A6"/>
    <w:rsid w:val="00A339FB"/>
    <w:rsid w:val="00A35ADF"/>
    <w:rsid w:val="00A373FD"/>
    <w:rsid w:val="00A41F64"/>
    <w:rsid w:val="00A54391"/>
    <w:rsid w:val="00A606B7"/>
    <w:rsid w:val="00A74A04"/>
    <w:rsid w:val="00A914B7"/>
    <w:rsid w:val="00AB6337"/>
    <w:rsid w:val="00AC42C9"/>
    <w:rsid w:val="00AC70C1"/>
    <w:rsid w:val="00AE657F"/>
    <w:rsid w:val="00AF66F9"/>
    <w:rsid w:val="00B01D49"/>
    <w:rsid w:val="00B31BF6"/>
    <w:rsid w:val="00B4430F"/>
    <w:rsid w:val="00B614F5"/>
    <w:rsid w:val="00B84FD2"/>
    <w:rsid w:val="00B863FE"/>
    <w:rsid w:val="00B90E75"/>
    <w:rsid w:val="00B94850"/>
    <w:rsid w:val="00BF03C1"/>
    <w:rsid w:val="00BF04CF"/>
    <w:rsid w:val="00C000CE"/>
    <w:rsid w:val="00C44122"/>
    <w:rsid w:val="00C44987"/>
    <w:rsid w:val="00C50CBF"/>
    <w:rsid w:val="00C90753"/>
    <w:rsid w:val="00CA56DB"/>
    <w:rsid w:val="00CA62A7"/>
    <w:rsid w:val="00CA6630"/>
    <w:rsid w:val="00CA69DA"/>
    <w:rsid w:val="00CF19DD"/>
    <w:rsid w:val="00D02748"/>
    <w:rsid w:val="00D0777C"/>
    <w:rsid w:val="00D139A2"/>
    <w:rsid w:val="00D309AC"/>
    <w:rsid w:val="00D4517F"/>
    <w:rsid w:val="00D60876"/>
    <w:rsid w:val="00D66CB2"/>
    <w:rsid w:val="00D72280"/>
    <w:rsid w:val="00D753B9"/>
    <w:rsid w:val="00D76EA6"/>
    <w:rsid w:val="00D84E02"/>
    <w:rsid w:val="00D851E9"/>
    <w:rsid w:val="00D8581C"/>
    <w:rsid w:val="00D96E04"/>
    <w:rsid w:val="00DA43A2"/>
    <w:rsid w:val="00DB7013"/>
    <w:rsid w:val="00DC174E"/>
    <w:rsid w:val="00DC219A"/>
    <w:rsid w:val="00DC5A70"/>
    <w:rsid w:val="00DE6180"/>
    <w:rsid w:val="00DF3831"/>
    <w:rsid w:val="00E340BA"/>
    <w:rsid w:val="00E3651F"/>
    <w:rsid w:val="00E4656A"/>
    <w:rsid w:val="00E81FFB"/>
    <w:rsid w:val="00E82CEC"/>
    <w:rsid w:val="00EA5447"/>
    <w:rsid w:val="00EB1D0E"/>
    <w:rsid w:val="00EC3729"/>
    <w:rsid w:val="00ED24D0"/>
    <w:rsid w:val="00ED5945"/>
    <w:rsid w:val="00F16AC0"/>
    <w:rsid w:val="00F16E4A"/>
    <w:rsid w:val="00F340B1"/>
    <w:rsid w:val="00F46F1F"/>
    <w:rsid w:val="00F54C85"/>
    <w:rsid w:val="00F649C4"/>
    <w:rsid w:val="00F81A6C"/>
    <w:rsid w:val="00FA20C9"/>
    <w:rsid w:val="00FB54ED"/>
    <w:rsid w:val="00FD2AD1"/>
    <w:rsid w:val="00FD4A5F"/>
    <w:rsid w:val="00FE162E"/>
    <w:rsid w:val="00FE35EF"/>
    <w:rsid w:val="00FE5F10"/>
    <w:rsid w:val="00FF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sz w:val="24"/>
      <w:lang w:val="en-US" w:eastAsia="zh-CN"/>
    </w:rPr>
  </w:style>
  <w:style w:type="paragraph" w:styleId="Heading1">
    <w:name w:val="heading 1"/>
    <w:basedOn w:val="Normal"/>
    <w:next w:val="Normal"/>
    <w:qFormat/>
    <w:pPr>
      <w:keepNext/>
      <w:numPr>
        <w:numId w:val="2"/>
      </w:numPr>
      <w:tabs>
        <w:tab w:val="center" w:pos="4680"/>
      </w:tabs>
      <w:jc w:val="both"/>
      <w:outlineLvl w:val="0"/>
    </w:pPr>
    <w:rPr>
      <w:rFonts w:ascii="CG Times" w:hAnsi="CG Times" w:cs="CG Times"/>
      <w:i/>
      <w:color w:val="0000FF"/>
      <w:sz w:val="20"/>
    </w:rPr>
  </w:style>
  <w:style w:type="paragraph" w:styleId="Heading2">
    <w:name w:val="heading 2"/>
    <w:basedOn w:val="Normal"/>
    <w:next w:val="Normal"/>
    <w:qFormat/>
    <w:pPr>
      <w:keepNext/>
      <w:numPr>
        <w:ilvl w:val="1"/>
        <w:numId w:val="2"/>
      </w:numPr>
      <w:tabs>
        <w:tab w:val="center" w:pos="4680"/>
      </w:tabs>
      <w:jc w:val="center"/>
      <w:outlineLvl w:val="1"/>
    </w:pPr>
    <w:rPr>
      <w:rFonts w:ascii="CG Times" w:hAnsi="CG Times" w:cs="CG Times"/>
      <w:b/>
      <w:color w:val="0000FF"/>
    </w:rPr>
  </w:style>
  <w:style w:type="paragraph" w:styleId="Heading3">
    <w:name w:val="heading 3"/>
    <w:basedOn w:val="Normal"/>
    <w:next w:val="Normal"/>
    <w:qFormat/>
    <w:pPr>
      <w:keepNext/>
      <w:numPr>
        <w:ilvl w:val="2"/>
        <w:numId w:val="2"/>
      </w:numPr>
      <w:tabs>
        <w:tab w:val="center" w:pos="4680"/>
      </w:tabs>
      <w:jc w:val="both"/>
      <w:outlineLvl w:val="2"/>
    </w:pPr>
    <w:rPr>
      <w:i/>
      <w:sz w:val="20"/>
    </w:rPr>
  </w:style>
  <w:style w:type="paragraph" w:styleId="Heading4">
    <w:name w:val="heading 4"/>
    <w:basedOn w:val="Normal"/>
    <w:next w:val="Normal"/>
    <w:qFormat/>
    <w:pPr>
      <w:keepNext/>
      <w:numPr>
        <w:ilvl w:val="3"/>
        <w:numId w:val="2"/>
      </w:numPr>
      <w:tabs>
        <w:tab w:val="left" w:pos="-1440"/>
        <w:tab w:val="left" w:pos="-720"/>
        <w:tab w:val="left" w:pos="444"/>
      </w:tabs>
      <w:jc w:val="both"/>
      <w:outlineLvl w:val="3"/>
    </w:pPr>
    <w:rPr>
      <w:i/>
    </w:rPr>
  </w:style>
  <w:style w:type="paragraph" w:styleId="Heading5">
    <w:name w:val="heading 5"/>
    <w:basedOn w:val="Normal"/>
    <w:next w:val="Normal"/>
    <w:qFormat/>
    <w:pPr>
      <w:keepNext/>
      <w:numPr>
        <w:ilvl w:val="4"/>
        <w:numId w:val="2"/>
      </w:numPr>
      <w:tabs>
        <w:tab w:val="center" w:pos="4680"/>
        <w:tab w:val="left" w:pos="4867"/>
        <w:tab w:val="left" w:pos="7982"/>
        <w:tab w:val="left" w:pos="8395"/>
        <w:tab w:val="left" w:pos="8812"/>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strike w:val="0"/>
      <w:dstrike w:val="0"/>
      <w:vertAlign w:val="superscript"/>
    </w:rPr>
  </w:style>
  <w:style w:type="character" w:customStyle="1" w:styleId="WW8Num7z0">
    <w:name w:val="WW8Num7z0"/>
    <w:rPr>
      <w:strike w:val="0"/>
      <w:dstrike w:val="0"/>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itre">
    <w:name w:val="Titre"/>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Footer">
    <w:name w:val="footer"/>
    <w:basedOn w:val="Normal"/>
    <w:link w:val="FooterChar"/>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styleId="BodyTextIndent">
    <w:name w:val="Body Text Indent"/>
    <w:basedOn w:val="BodyText"/>
    <w:pPr>
      <w:ind w:left="283"/>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CommentReference">
    <w:name w:val="annotation reference"/>
    <w:uiPriority w:val="99"/>
    <w:semiHidden/>
    <w:unhideWhenUsed/>
    <w:rsid w:val="00AB6337"/>
    <w:rPr>
      <w:sz w:val="16"/>
      <w:szCs w:val="16"/>
    </w:rPr>
  </w:style>
  <w:style w:type="paragraph" w:styleId="CommentText">
    <w:name w:val="annotation text"/>
    <w:basedOn w:val="Normal"/>
    <w:link w:val="CommentTextChar"/>
    <w:uiPriority w:val="99"/>
    <w:semiHidden/>
    <w:unhideWhenUsed/>
    <w:rsid w:val="00AB6337"/>
    <w:rPr>
      <w:color w:val="auto"/>
      <w:sz w:val="20"/>
      <w:lang w:val="en-GB"/>
    </w:rPr>
  </w:style>
  <w:style w:type="character" w:customStyle="1" w:styleId="CommentTextChar">
    <w:name w:val="Comment Text Char"/>
    <w:link w:val="CommentText"/>
    <w:uiPriority w:val="99"/>
    <w:semiHidden/>
    <w:rsid w:val="00AB6337"/>
    <w:rPr>
      <w:lang w:eastAsia="zh-CN"/>
    </w:rPr>
  </w:style>
  <w:style w:type="paragraph" w:styleId="BalloonText">
    <w:name w:val="Balloon Text"/>
    <w:basedOn w:val="Normal"/>
    <w:link w:val="BalloonTextChar"/>
    <w:uiPriority w:val="99"/>
    <w:semiHidden/>
    <w:unhideWhenUsed/>
    <w:rsid w:val="00AB6337"/>
    <w:rPr>
      <w:rFonts w:ascii="Tahoma" w:hAnsi="Tahoma" w:cs="Tahoma"/>
      <w:sz w:val="16"/>
      <w:szCs w:val="16"/>
    </w:rPr>
  </w:style>
  <w:style w:type="character" w:customStyle="1" w:styleId="BalloonTextChar">
    <w:name w:val="Balloon Text Char"/>
    <w:link w:val="BalloonText"/>
    <w:uiPriority w:val="99"/>
    <w:semiHidden/>
    <w:rsid w:val="00AB6337"/>
    <w:rPr>
      <w:rFonts w:ascii="Tahoma" w:hAnsi="Tahoma" w:cs="Tahoma"/>
      <w:color w:val="000000"/>
      <w:sz w:val="16"/>
      <w:szCs w:val="16"/>
      <w:lang w:val="en-US" w:eastAsia="zh-CN"/>
    </w:rPr>
  </w:style>
  <w:style w:type="paragraph" w:styleId="CommentSubject">
    <w:name w:val="annotation subject"/>
    <w:basedOn w:val="CommentText"/>
    <w:next w:val="CommentText"/>
    <w:link w:val="CommentSubjectChar"/>
    <w:uiPriority w:val="99"/>
    <w:semiHidden/>
    <w:unhideWhenUsed/>
    <w:rsid w:val="00DC5A70"/>
    <w:rPr>
      <w:b/>
      <w:bCs/>
      <w:color w:val="000000"/>
      <w:lang w:val="en-US"/>
    </w:rPr>
  </w:style>
  <w:style w:type="character" w:customStyle="1" w:styleId="CommentSubjectChar">
    <w:name w:val="Comment Subject Char"/>
    <w:link w:val="CommentSubject"/>
    <w:uiPriority w:val="99"/>
    <w:semiHidden/>
    <w:rsid w:val="00DC5A70"/>
    <w:rPr>
      <w:b/>
      <w:bCs/>
      <w:color w:val="000000"/>
      <w:lang w:val="en-US" w:eastAsia="zh-CN"/>
    </w:rPr>
  </w:style>
  <w:style w:type="character" w:customStyle="1" w:styleId="FooterChar">
    <w:name w:val="Footer Char"/>
    <w:link w:val="Footer"/>
    <w:rsid w:val="0003110A"/>
    <w:rPr>
      <w:color w:val="000000"/>
      <w:sz w:val="24"/>
      <w:lang w:val="en-US" w:eastAsia="zh-CN"/>
    </w:rPr>
  </w:style>
  <w:style w:type="character" w:customStyle="1" w:styleId="PageNumber1">
    <w:name w:val="Page Number1"/>
    <w:rsid w:val="0003110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1640">
      <w:bodyDiv w:val="1"/>
      <w:marLeft w:val="0"/>
      <w:marRight w:val="0"/>
      <w:marTop w:val="0"/>
      <w:marBottom w:val="0"/>
      <w:divBdr>
        <w:top w:val="none" w:sz="0" w:space="0" w:color="auto"/>
        <w:left w:val="none" w:sz="0" w:space="0" w:color="auto"/>
        <w:bottom w:val="none" w:sz="0" w:space="0" w:color="auto"/>
        <w:right w:val="none" w:sz="0" w:space="0" w:color="auto"/>
      </w:divBdr>
    </w:div>
    <w:div w:id="250242622">
      <w:bodyDiv w:val="1"/>
      <w:marLeft w:val="0"/>
      <w:marRight w:val="0"/>
      <w:marTop w:val="0"/>
      <w:marBottom w:val="0"/>
      <w:divBdr>
        <w:top w:val="none" w:sz="0" w:space="0" w:color="auto"/>
        <w:left w:val="none" w:sz="0" w:space="0" w:color="auto"/>
        <w:bottom w:val="none" w:sz="0" w:space="0" w:color="auto"/>
        <w:right w:val="none" w:sz="0" w:space="0" w:color="auto"/>
      </w:divBdr>
    </w:div>
    <w:div w:id="1290666626">
      <w:bodyDiv w:val="1"/>
      <w:marLeft w:val="0"/>
      <w:marRight w:val="0"/>
      <w:marTop w:val="0"/>
      <w:marBottom w:val="0"/>
      <w:divBdr>
        <w:top w:val="none" w:sz="0" w:space="0" w:color="auto"/>
        <w:left w:val="none" w:sz="0" w:space="0" w:color="auto"/>
        <w:bottom w:val="none" w:sz="0" w:space="0" w:color="auto"/>
        <w:right w:val="none" w:sz="0" w:space="0" w:color="auto"/>
      </w:divBdr>
    </w:div>
    <w:div w:id="1577128323">
      <w:bodyDiv w:val="1"/>
      <w:marLeft w:val="0"/>
      <w:marRight w:val="0"/>
      <w:marTop w:val="0"/>
      <w:marBottom w:val="0"/>
      <w:divBdr>
        <w:top w:val="none" w:sz="0" w:space="0" w:color="auto"/>
        <w:left w:val="none" w:sz="0" w:space="0" w:color="auto"/>
        <w:bottom w:val="none" w:sz="0" w:space="0" w:color="auto"/>
        <w:right w:val="none" w:sz="0" w:space="0" w:color="auto"/>
      </w:divBdr>
    </w:div>
    <w:div w:id="1821384776">
      <w:bodyDiv w:val="1"/>
      <w:marLeft w:val="0"/>
      <w:marRight w:val="0"/>
      <w:marTop w:val="0"/>
      <w:marBottom w:val="0"/>
      <w:divBdr>
        <w:top w:val="none" w:sz="0" w:space="0" w:color="auto"/>
        <w:left w:val="none" w:sz="0" w:space="0" w:color="auto"/>
        <w:bottom w:val="none" w:sz="0" w:space="0" w:color="auto"/>
        <w:right w:val="none" w:sz="0" w:space="0" w:color="auto"/>
      </w:divBdr>
    </w:div>
    <w:div w:id="19106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iupac.pole-ether.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0D7E-7F3F-47B6-998C-8ED995B5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IUPAC Task Group on Atmospheric Chemical Kinetic Data Evaluation – Data Sheet Ox_VOC17</vt:lpstr>
    </vt:vector>
  </TitlesOfParts>
  <Company/>
  <LinksUpToDate>false</LinksUpToDate>
  <CharactersWithSpaces>3067</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Task Group on Atmospheric Chemical Kinetic Data Evaluation – Data Sheet Ox_VOC17</dc:title>
  <dc:creator>Janet Arey</dc:creator>
  <cp:lastModifiedBy>Mike</cp:lastModifiedBy>
  <cp:revision>3</cp:revision>
  <cp:lastPrinted>2019-06-27T08:39:00Z</cp:lastPrinted>
  <dcterms:created xsi:type="dcterms:W3CDTF">2019-06-27T08:40:00Z</dcterms:created>
  <dcterms:modified xsi:type="dcterms:W3CDTF">2019-06-27T08:48:00Z</dcterms:modified>
</cp:coreProperties>
</file>