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BAC6C2" w14:textId="77777777"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C56B1B">
        <w:rPr>
          <w:b/>
          <w:szCs w:val="24"/>
        </w:rPr>
        <w:t>20</w:t>
      </w:r>
    </w:p>
    <w:p w14:paraId="6867AA0F" w14:textId="77777777"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8" w:history="1">
        <w:r>
          <w:rPr>
            <w:rStyle w:val="Hyperlink"/>
            <w:szCs w:val="24"/>
          </w:rPr>
          <w:t>http://iupac.pole-ether.fr</w:t>
        </w:r>
      </w:hyperlink>
      <w:r>
        <w:rPr>
          <w:szCs w:val="24"/>
        </w:rPr>
        <w:t xml:space="preserve">). </w:t>
      </w:r>
    </w:p>
    <w:p w14:paraId="6BF3FA62" w14:textId="77777777" w:rsidR="00083A9E" w:rsidRDefault="00083A9E" w:rsidP="00083A9E">
      <w:pPr>
        <w:ind w:right="525"/>
        <w:jc w:val="both"/>
      </w:pPr>
      <w:r>
        <w:rPr>
          <w:szCs w:val="24"/>
        </w:rPr>
        <w:t xml:space="preserve">This datasheet last evaluated: </w:t>
      </w:r>
      <w:r w:rsidR="00C56B1B">
        <w:rPr>
          <w:szCs w:val="24"/>
        </w:rPr>
        <w:t>March 2017</w:t>
      </w:r>
      <w:r>
        <w:rPr>
          <w:szCs w:val="24"/>
        </w:rPr>
        <w:t xml:space="preserve">; last change in preferred values: </w:t>
      </w:r>
      <w:r w:rsidR="00C56B1B">
        <w:rPr>
          <w:szCs w:val="24"/>
        </w:rPr>
        <w:t>March 2017</w:t>
      </w:r>
    </w:p>
    <w:p w14:paraId="09D961E3" w14:textId="77777777" w:rsidR="00667891" w:rsidRDefault="00667891">
      <w:pPr>
        <w:ind w:right="332"/>
      </w:pPr>
      <w:r>
        <w:pict w14:anchorId="55913CB5">
          <v:line id="_x0000_s1026" style="position:absolute;z-index:1" from="-67.05pt,11.4pt" to="528.2pt,11.4pt" strokeweight=".26mm">
            <v:stroke joinstyle="miter" endcap="square"/>
          </v:line>
        </w:pict>
      </w:r>
    </w:p>
    <w:p w14:paraId="738D04AC" w14:textId="77777777" w:rsidR="00667891" w:rsidRDefault="00667891">
      <w:pPr>
        <w:tabs>
          <w:tab w:val="center" w:pos="4680"/>
        </w:tabs>
        <w:jc w:val="center"/>
      </w:pPr>
    </w:p>
    <w:p w14:paraId="03F93811" w14:textId="77777777" w:rsidR="00083A9E" w:rsidRPr="001D3940" w:rsidRDefault="00C501D5" w:rsidP="00083A9E">
      <w:pPr>
        <w:tabs>
          <w:tab w:val="center" w:pos="4680"/>
        </w:tabs>
        <w:jc w:val="center"/>
        <w:rPr>
          <w:color w:val="auto"/>
        </w:rPr>
      </w:pPr>
      <w:r>
        <w:rPr>
          <w:b/>
        </w:rPr>
        <w:t>(</w:t>
      </w:r>
      <w:r w:rsidR="008605B7">
        <w:rPr>
          <w:b/>
        </w:rPr>
        <w:t>CH</w:t>
      </w:r>
      <w:r w:rsidR="008605B7">
        <w:rPr>
          <w:b/>
          <w:vertAlign w:val="subscript"/>
        </w:rPr>
        <w:t>3</w:t>
      </w:r>
      <w:r>
        <w:rPr>
          <w:b/>
        </w:rPr>
        <w:t>)</w:t>
      </w:r>
      <w:r w:rsidRPr="00C501D5">
        <w:rPr>
          <w:b/>
          <w:vertAlign w:val="subscript"/>
        </w:rPr>
        <w:t>2</w:t>
      </w:r>
      <w:r>
        <w:rPr>
          <w:b/>
        </w:rPr>
        <w:t>C</w:t>
      </w:r>
      <w:r w:rsidR="008605B7">
        <w:rPr>
          <w:b/>
        </w:rPr>
        <w:t xml:space="preserve">OO + </w:t>
      </w:r>
      <w:r w:rsidR="00C56B1B">
        <w:rPr>
          <w:b/>
        </w:rPr>
        <w:t>N</w:t>
      </w:r>
      <w:r w:rsidR="00710798">
        <w:rPr>
          <w:b/>
        </w:rPr>
        <w:t>O</w:t>
      </w:r>
      <w:r w:rsidR="00710798" w:rsidRPr="00841802">
        <w:rPr>
          <w:b/>
          <w:vertAlign w:val="subscript"/>
        </w:rPr>
        <w:t>2</w:t>
      </w:r>
      <w:r w:rsidR="008605B7">
        <w:rPr>
          <w:b/>
        </w:rPr>
        <w:t xml:space="preserve"> </w:t>
      </w:r>
      <w:r w:rsidR="008605B7">
        <w:rPr>
          <w:b/>
        </w:rPr>
        <w:sym w:font="Symbol" w:char="F0AE"/>
      </w:r>
      <w:r w:rsidR="008605B7">
        <w:rPr>
          <w:b/>
        </w:rPr>
        <w:t xml:space="preserve"> </w:t>
      </w:r>
      <w:r w:rsidR="00C56B1B">
        <w:rPr>
          <w:b/>
        </w:rPr>
        <w:t>products</w:t>
      </w:r>
    </w:p>
    <w:p w14:paraId="0AE8A824" w14:textId="77777777" w:rsidR="00083A9E" w:rsidRPr="001D3940" w:rsidRDefault="00083A9E" w:rsidP="00083A9E">
      <w:pPr>
        <w:tabs>
          <w:tab w:val="left" w:pos="-1440"/>
          <w:tab w:val="left" w:pos="-720"/>
          <w:tab w:val="left" w:pos="288"/>
        </w:tabs>
        <w:jc w:val="both"/>
        <w:rPr>
          <w:color w:val="auto"/>
        </w:rPr>
      </w:pPr>
    </w:p>
    <w:p w14:paraId="1A8716E4" w14:textId="77777777" w:rsidR="00083A9E" w:rsidRDefault="00083A9E" w:rsidP="00083A9E">
      <w:pPr>
        <w:pStyle w:val="Heading2"/>
        <w:rPr>
          <w:rFonts w:ascii="Times New Roman" w:hAnsi="Times New Roman" w:cs="Times New Roman"/>
          <w:color w:val="auto"/>
        </w:rPr>
      </w:pPr>
      <w:r w:rsidRPr="001D3940">
        <w:rPr>
          <w:rFonts w:ascii="Times New Roman" w:hAnsi="Times New Roman" w:cs="Times New Roman"/>
          <w:color w:val="auto"/>
        </w:rPr>
        <w:t>Rate coefficient data</w:t>
      </w:r>
    </w:p>
    <w:p w14:paraId="4B85E9F1" w14:textId="77777777" w:rsidR="00C501D5" w:rsidRPr="001D3940" w:rsidRDefault="00C501D5" w:rsidP="00083A9E">
      <w:pPr>
        <w:tabs>
          <w:tab w:val="center" w:pos="4680"/>
        </w:tabs>
        <w:jc w:val="both"/>
        <w:rPr>
          <w:b/>
          <w:color w:val="auto"/>
        </w:rPr>
      </w:pPr>
    </w:p>
    <w:tbl>
      <w:tblPr>
        <w:tblW w:w="8461" w:type="dxa"/>
        <w:tblInd w:w="578" w:type="dxa"/>
        <w:tblLayout w:type="fixed"/>
        <w:tblLook w:val="0000" w:firstRow="0" w:lastRow="0" w:firstColumn="0" w:lastColumn="0" w:noHBand="0" w:noVBand="0"/>
      </w:tblPr>
      <w:tblGrid>
        <w:gridCol w:w="2932"/>
        <w:gridCol w:w="993"/>
        <w:gridCol w:w="567"/>
        <w:gridCol w:w="1984"/>
        <w:gridCol w:w="1985"/>
      </w:tblGrid>
      <w:tr w:rsidR="00C56B1B" w:rsidRPr="001D3940" w14:paraId="08102C3B" w14:textId="77777777" w:rsidTr="00C56B1B">
        <w:tc>
          <w:tcPr>
            <w:tcW w:w="2932" w:type="dxa"/>
            <w:tcBorders>
              <w:top w:val="double" w:sz="1" w:space="0" w:color="000000"/>
              <w:bottom w:val="single" w:sz="4" w:space="0" w:color="000000"/>
            </w:tcBorders>
            <w:shd w:val="clear" w:color="auto" w:fill="auto"/>
          </w:tcPr>
          <w:p w14:paraId="6B6C9678" w14:textId="77777777" w:rsidR="00C56B1B" w:rsidRPr="001D3940" w:rsidRDefault="00C56B1B" w:rsidP="00722811">
            <w:pPr>
              <w:tabs>
                <w:tab w:val="center" w:pos="4680"/>
              </w:tabs>
              <w:snapToGrid w:val="0"/>
              <w:spacing w:before="120" w:after="120"/>
              <w:jc w:val="both"/>
              <w:rPr>
                <w:color w:val="auto"/>
                <w:sz w:val="20"/>
              </w:rPr>
            </w:pPr>
            <w:r w:rsidRPr="001D3940">
              <w:rPr>
                <w:i/>
                <w:color w:val="auto"/>
                <w:sz w:val="20"/>
              </w:rPr>
              <w:t>k</w:t>
            </w:r>
            <w:r w:rsidRPr="001D3940">
              <w:rPr>
                <w:color w:val="auto"/>
                <w:sz w:val="20"/>
              </w:rPr>
              <w:t>/cm</w:t>
            </w:r>
            <w:r w:rsidRPr="001D3940">
              <w:rPr>
                <w:color w:val="auto"/>
                <w:sz w:val="20"/>
                <w:vertAlign w:val="superscript"/>
              </w:rPr>
              <w:t>3</w:t>
            </w:r>
            <w:r w:rsidRPr="001D3940">
              <w:rPr>
                <w:color w:val="auto"/>
                <w:sz w:val="20"/>
              </w:rPr>
              <w:t xml:space="preserve"> molecule</w:t>
            </w:r>
            <w:r w:rsidRPr="001D3940">
              <w:rPr>
                <w:color w:val="auto"/>
                <w:sz w:val="20"/>
                <w:vertAlign w:val="superscript"/>
              </w:rPr>
              <w:t>-1</w:t>
            </w:r>
            <w:r w:rsidRPr="001D3940">
              <w:rPr>
                <w:color w:val="auto"/>
                <w:sz w:val="20"/>
              </w:rPr>
              <w:t xml:space="preserve"> s</w:t>
            </w:r>
            <w:r w:rsidRPr="001D3940">
              <w:rPr>
                <w:color w:val="auto"/>
                <w:sz w:val="20"/>
                <w:vertAlign w:val="superscript"/>
              </w:rPr>
              <w:t>-1</w:t>
            </w:r>
          </w:p>
        </w:tc>
        <w:tc>
          <w:tcPr>
            <w:tcW w:w="993" w:type="dxa"/>
            <w:tcBorders>
              <w:top w:val="double" w:sz="1" w:space="0" w:color="000000"/>
              <w:bottom w:val="single" w:sz="4" w:space="0" w:color="000000"/>
            </w:tcBorders>
            <w:shd w:val="clear" w:color="auto" w:fill="auto"/>
          </w:tcPr>
          <w:p w14:paraId="3FD56438" w14:textId="77777777" w:rsidR="00C56B1B" w:rsidRPr="001D3940" w:rsidRDefault="00C56B1B" w:rsidP="00722811">
            <w:pPr>
              <w:tabs>
                <w:tab w:val="center" w:pos="4680"/>
              </w:tabs>
              <w:snapToGrid w:val="0"/>
              <w:spacing w:before="120" w:after="120"/>
              <w:jc w:val="both"/>
              <w:rPr>
                <w:color w:val="auto"/>
                <w:sz w:val="20"/>
              </w:rPr>
            </w:pPr>
            <w:r w:rsidRPr="001D3940">
              <w:rPr>
                <w:color w:val="auto"/>
                <w:sz w:val="20"/>
              </w:rPr>
              <w:t>Temp./K</w:t>
            </w:r>
          </w:p>
        </w:tc>
        <w:tc>
          <w:tcPr>
            <w:tcW w:w="2551" w:type="dxa"/>
            <w:gridSpan w:val="2"/>
            <w:tcBorders>
              <w:top w:val="double" w:sz="1" w:space="0" w:color="000000"/>
              <w:bottom w:val="single" w:sz="4" w:space="0" w:color="000000"/>
            </w:tcBorders>
            <w:shd w:val="clear" w:color="auto" w:fill="auto"/>
          </w:tcPr>
          <w:p w14:paraId="78727E19" w14:textId="77777777" w:rsidR="00C56B1B" w:rsidRPr="001D3940" w:rsidRDefault="00C56B1B" w:rsidP="00722811">
            <w:pPr>
              <w:tabs>
                <w:tab w:val="center" w:pos="4680"/>
              </w:tabs>
              <w:snapToGrid w:val="0"/>
              <w:spacing w:before="120" w:after="120"/>
              <w:jc w:val="both"/>
              <w:rPr>
                <w:color w:val="auto"/>
                <w:sz w:val="20"/>
              </w:rPr>
            </w:pPr>
            <w:r w:rsidRPr="001D3940">
              <w:rPr>
                <w:color w:val="auto"/>
                <w:sz w:val="20"/>
              </w:rPr>
              <w:t>Reference</w:t>
            </w:r>
          </w:p>
        </w:tc>
        <w:tc>
          <w:tcPr>
            <w:tcW w:w="1985" w:type="dxa"/>
            <w:tcBorders>
              <w:top w:val="double" w:sz="1" w:space="0" w:color="000000"/>
              <w:bottom w:val="single" w:sz="4" w:space="0" w:color="000000"/>
            </w:tcBorders>
            <w:shd w:val="clear" w:color="auto" w:fill="auto"/>
          </w:tcPr>
          <w:p w14:paraId="5B5C8967" w14:textId="77777777" w:rsidR="00C56B1B" w:rsidRPr="001D3940" w:rsidRDefault="00C56B1B" w:rsidP="00D8581C">
            <w:pPr>
              <w:tabs>
                <w:tab w:val="center" w:pos="4680"/>
              </w:tabs>
              <w:snapToGrid w:val="0"/>
              <w:spacing w:before="120" w:after="120"/>
              <w:ind w:left="-108"/>
              <w:jc w:val="both"/>
              <w:rPr>
                <w:color w:val="auto"/>
              </w:rPr>
            </w:pPr>
            <w:r w:rsidRPr="001D3940">
              <w:rPr>
                <w:color w:val="auto"/>
                <w:sz w:val="20"/>
              </w:rPr>
              <w:t>Technique/Comments</w:t>
            </w:r>
          </w:p>
        </w:tc>
      </w:tr>
      <w:tr w:rsidR="00C56B1B" w:rsidRPr="00CA56DB" w14:paraId="1F9C9493" w14:textId="77777777" w:rsidTr="00C56B1B">
        <w:tc>
          <w:tcPr>
            <w:tcW w:w="2932" w:type="dxa"/>
            <w:tcBorders>
              <w:top w:val="single" w:sz="4" w:space="0" w:color="000000"/>
            </w:tcBorders>
            <w:shd w:val="clear" w:color="auto" w:fill="auto"/>
          </w:tcPr>
          <w:p w14:paraId="6F7D97EA" w14:textId="77777777" w:rsidR="00C56B1B" w:rsidRPr="00713905" w:rsidRDefault="00C56B1B" w:rsidP="00713905">
            <w:pPr>
              <w:spacing w:before="120"/>
              <w:rPr>
                <w:i/>
                <w:sz w:val="20"/>
              </w:rPr>
            </w:pPr>
            <w:r w:rsidRPr="00713905">
              <w:rPr>
                <w:i/>
                <w:sz w:val="20"/>
              </w:rPr>
              <w:t>Absolute Rate Coefficients</w:t>
            </w:r>
          </w:p>
        </w:tc>
        <w:tc>
          <w:tcPr>
            <w:tcW w:w="1560" w:type="dxa"/>
            <w:gridSpan w:val="2"/>
            <w:tcBorders>
              <w:top w:val="single" w:sz="4" w:space="0" w:color="000000"/>
            </w:tcBorders>
            <w:shd w:val="clear" w:color="auto" w:fill="auto"/>
          </w:tcPr>
          <w:p w14:paraId="4039ECF6" w14:textId="77777777" w:rsidR="00C56B1B" w:rsidRPr="00CA56DB" w:rsidRDefault="00C56B1B" w:rsidP="00722811">
            <w:pPr>
              <w:tabs>
                <w:tab w:val="center" w:pos="4680"/>
              </w:tabs>
              <w:snapToGrid w:val="0"/>
              <w:spacing w:before="120"/>
              <w:jc w:val="both"/>
              <w:rPr>
                <w:color w:val="auto"/>
                <w:sz w:val="20"/>
              </w:rPr>
            </w:pPr>
          </w:p>
        </w:tc>
        <w:tc>
          <w:tcPr>
            <w:tcW w:w="1984" w:type="dxa"/>
            <w:tcBorders>
              <w:top w:val="single" w:sz="4" w:space="0" w:color="000000"/>
            </w:tcBorders>
            <w:shd w:val="clear" w:color="auto" w:fill="auto"/>
          </w:tcPr>
          <w:p w14:paraId="09446413" w14:textId="77777777" w:rsidR="00C56B1B" w:rsidRPr="00CA56DB" w:rsidRDefault="00C56B1B" w:rsidP="00722811">
            <w:pPr>
              <w:tabs>
                <w:tab w:val="center" w:pos="4680"/>
              </w:tabs>
              <w:snapToGrid w:val="0"/>
              <w:spacing w:before="120"/>
              <w:jc w:val="both"/>
              <w:rPr>
                <w:color w:val="auto"/>
                <w:sz w:val="20"/>
              </w:rPr>
            </w:pPr>
          </w:p>
        </w:tc>
        <w:tc>
          <w:tcPr>
            <w:tcW w:w="1985" w:type="dxa"/>
            <w:tcBorders>
              <w:top w:val="single" w:sz="4" w:space="0" w:color="000000"/>
            </w:tcBorders>
            <w:shd w:val="clear" w:color="auto" w:fill="auto"/>
          </w:tcPr>
          <w:p w14:paraId="1FBFE40D" w14:textId="77777777" w:rsidR="00C56B1B" w:rsidRPr="00CA56DB" w:rsidRDefault="00C56B1B" w:rsidP="00722811">
            <w:pPr>
              <w:tabs>
                <w:tab w:val="center" w:pos="4680"/>
              </w:tabs>
              <w:snapToGrid w:val="0"/>
              <w:spacing w:before="120"/>
              <w:jc w:val="both"/>
              <w:rPr>
                <w:color w:val="auto"/>
                <w:sz w:val="20"/>
              </w:rPr>
            </w:pPr>
          </w:p>
        </w:tc>
      </w:tr>
      <w:tr w:rsidR="00C56B1B" w:rsidRPr="001D3940" w14:paraId="193C894A" w14:textId="77777777" w:rsidTr="00C56B1B">
        <w:tc>
          <w:tcPr>
            <w:tcW w:w="2932" w:type="dxa"/>
            <w:shd w:val="clear" w:color="auto" w:fill="auto"/>
          </w:tcPr>
          <w:p w14:paraId="54FC9AAD" w14:textId="77777777" w:rsidR="00C56B1B" w:rsidRPr="00C501D5" w:rsidRDefault="00C56B1B" w:rsidP="00DC1D99">
            <w:pPr>
              <w:overflowPunct w:val="0"/>
              <w:autoSpaceDE w:val="0"/>
              <w:autoSpaceDN w:val="0"/>
              <w:adjustRightInd w:val="0"/>
              <w:jc w:val="both"/>
              <w:rPr>
                <w:iCs/>
                <w:sz w:val="20"/>
              </w:rPr>
            </w:pPr>
            <w:r>
              <w:rPr>
                <w:iCs/>
                <w:sz w:val="20"/>
              </w:rPr>
              <w:t xml:space="preserve">(2.3 </w:t>
            </w:r>
            <w:r w:rsidRPr="00C501D5">
              <w:rPr>
                <w:iCs/>
                <w:sz w:val="20"/>
              </w:rPr>
              <w:t xml:space="preserve">± </w:t>
            </w:r>
            <w:r>
              <w:rPr>
                <w:iCs/>
                <w:sz w:val="20"/>
              </w:rPr>
              <w:t>2.5) × 10</w:t>
            </w:r>
            <w:r>
              <w:rPr>
                <w:iCs/>
                <w:sz w:val="20"/>
                <w:vertAlign w:val="superscript"/>
              </w:rPr>
              <w:t>-12</w:t>
            </w:r>
          </w:p>
        </w:tc>
        <w:tc>
          <w:tcPr>
            <w:tcW w:w="993" w:type="dxa"/>
            <w:shd w:val="clear" w:color="auto" w:fill="auto"/>
          </w:tcPr>
          <w:p w14:paraId="79C6BF6D" w14:textId="77777777" w:rsidR="00C56B1B" w:rsidRPr="007F6A59" w:rsidRDefault="00C56B1B" w:rsidP="00DC1D99">
            <w:pPr>
              <w:overflowPunct w:val="0"/>
              <w:autoSpaceDE w:val="0"/>
              <w:autoSpaceDN w:val="0"/>
              <w:adjustRightInd w:val="0"/>
              <w:rPr>
                <w:sz w:val="20"/>
              </w:rPr>
            </w:pPr>
            <w:r w:rsidRPr="00AC6019">
              <w:rPr>
                <w:sz w:val="20"/>
              </w:rPr>
              <w:t>29</w:t>
            </w:r>
            <w:r>
              <w:rPr>
                <w:sz w:val="20"/>
              </w:rPr>
              <w:t>3</w:t>
            </w:r>
          </w:p>
        </w:tc>
        <w:tc>
          <w:tcPr>
            <w:tcW w:w="2551" w:type="dxa"/>
            <w:gridSpan w:val="2"/>
            <w:shd w:val="clear" w:color="auto" w:fill="auto"/>
          </w:tcPr>
          <w:p w14:paraId="58AABDF8" w14:textId="77777777" w:rsidR="00C56B1B" w:rsidRPr="007F6A59" w:rsidRDefault="00C56B1B" w:rsidP="00DC1D99">
            <w:pPr>
              <w:overflowPunct w:val="0"/>
              <w:autoSpaceDE w:val="0"/>
              <w:autoSpaceDN w:val="0"/>
              <w:adjustRightInd w:val="0"/>
              <w:rPr>
                <w:sz w:val="20"/>
              </w:rPr>
            </w:pPr>
            <w:bookmarkStart w:id="0" w:name="OLE_LINK1"/>
            <w:r w:rsidRPr="007F6A59">
              <w:rPr>
                <w:sz w:val="20"/>
              </w:rPr>
              <w:t>Chhantyal-Pun</w:t>
            </w:r>
            <w:bookmarkEnd w:id="0"/>
            <w:r w:rsidRPr="007F6A59">
              <w:rPr>
                <w:sz w:val="20"/>
              </w:rPr>
              <w:t xml:space="preserve"> et al.,</w:t>
            </w:r>
            <w:r>
              <w:rPr>
                <w:sz w:val="20"/>
              </w:rPr>
              <w:t xml:space="preserve"> 2017</w:t>
            </w:r>
          </w:p>
        </w:tc>
        <w:tc>
          <w:tcPr>
            <w:tcW w:w="1985" w:type="dxa"/>
            <w:shd w:val="clear" w:color="auto" w:fill="auto"/>
          </w:tcPr>
          <w:p w14:paraId="2946B939" w14:textId="77777777" w:rsidR="00C56B1B" w:rsidRPr="007F6A59" w:rsidRDefault="00C56B1B" w:rsidP="00DC1D99">
            <w:pPr>
              <w:overflowPunct w:val="0"/>
              <w:autoSpaceDE w:val="0"/>
              <w:autoSpaceDN w:val="0"/>
              <w:adjustRightInd w:val="0"/>
              <w:jc w:val="both"/>
              <w:rPr>
                <w:sz w:val="20"/>
              </w:rPr>
            </w:pPr>
            <w:r w:rsidRPr="007F6A59">
              <w:rPr>
                <w:sz w:val="20"/>
              </w:rPr>
              <w:t>PLP-PIMS (c)</w:t>
            </w:r>
          </w:p>
        </w:tc>
      </w:tr>
      <w:tr w:rsidR="00C56B1B" w:rsidRPr="001D3940" w14:paraId="45B23511" w14:textId="77777777" w:rsidTr="00C56B1B">
        <w:tc>
          <w:tcPr>
            <w:tcW w:w="2932" w:type="dxa"/>
            <w:tcBorders>
              <w:bottom w:val="single" w:sz="4" w:space="0" w:color="auto"/>
            </w:tcBorders>
            <w:shd w:val="clear" w:color="auto" w:fill="auto"/>
          </w:tcPr>
          <w:p w14:paraId="426B9D98" w14:textId="77777777" w:rsidR="00C56B1B" w:rsidRPr="00C56B1B" w:rsidRDefault="00C56B1B" w:rsidP="00381D92">
            <w:pPr>
              <w:overflowPunct w:val="0"/>
              <w:autoSpaceDE w:val="0"/>
              <w:autoSpaceDN w:val="0"/>
              <w:adjustRightInd w:val="0"/>
              <w:spacing w:after="120"/>
              <w:jc w:val="both"/>
              <w:rPr>
                <w:rFonts w:cs="e364b11"/>
                <w:color w:val="auto"/>
                <w:sz w:val="20"/>
              </w:rPr>
            </w:pPr>
            <w:r>
              <w:rPr>
                <w:iCs/>
                <w:sz w:val="20"/>
              </w:rPr>
              <w:t xml:space="preserve">(2.1 </w:t>
            </w:r>
            <w:r w:rsidRPr="00C501D5">
              <w:rPr>
                <w:iCs/>
                <w:sz w:val="20"/>
              </w:rPr>
              <w:t xml:space="preserve">± </w:t>
            </w:r>
            <w:r>
              <w:rPr>
                <w:iCs/>
                <w:sz w:val="20"/>
              </w:rPr>
              <w:t>0.3) × 10</w:t>
            </w:r>
            <w:r>
              <w:rPr>
                <w:iCs/>
                <w:sz w:val="20"/>
                <w:vertAlign w:val="superscript"/>
              </w:rPr>
              <w:t>-12</w:t>
            </w:r>
            <w:r>
              <w:rPr>
                <w:iCs/>
                <w:sz w:val="20"/>
              </w:rPr>
              <w:t xml:space="preserve"> ((CD</w:t>
            </w:r>
            <w:r w:rsidRPr="00C56B1B">
              <w:rPr>
                <w:iCs/>
                <w:sz w:val="20"/>
                <w:vertAlign w:val="subscript"/>
              </w:rPr>
              <w:t>3</w:t>
            </w:r>
            <w:r>
              <w:rPr>
                <w:iCs/>
                <w:sz w:val="20"/>
              </w:rPr>
              <w:t>)</w:t>
            </w:r>
            <w:r w:rsidRPr="00C56B1B">
              <w:rPr>
                <w:iCs/>
                <w:sz w:val="20"/>
                <w:vertAlign w:val="subscript"/>
              </w:rPr>
              <w:t>2</w:t>
            </w:r>
            <w:r>
              <w:rPr>
                <w:iCs/>
                <w:sz w:val="20"/>
              </w:rPr>
              <w:t>COO)</w:t>
            </w:r>
          </w:p>
        </w:tc>
        <w:tc>
          <w:tcPr>
            <w:tcW w:w="993" w:type="dxa"/>
            <w:tcBorders>
              <w:bottom w:val="single" w:sz="4" w:space="0" w:color="auto"/>
            </w:tcBorders>
            <w:shd w:val="clear" w:color="auto" w:fill="auto"/>
          </w:tcPr>
          <w:p w14:paraId="3589B586" w14:textId="77777777" w:rsidR="00C56B1B" w:rsidRPr="004708CA" w:rsidRDefault="00C56B1B" w:rsidP="00381D92">
            <w:pPr>
              <w:overflowPunct w:val="0"/>
              <w:autoSpaceDE w:val="0"/>
              <w:autoSpaceDN w:val="0"/>
              <w:adjustRightInd w:val="0"/>
              <w:spacing w:after="120"/>
              <w:rPr>
                <w:color w:val="auto"/>
                <w:sz w:val="20"/>
                <w:lang w:eastAsia="en-US"/>
              </w:rPr>
            </w:pPr>
            <w:r>
              <w:rPr>
                <w:sz w:val="20"/>
              </w:rPr>
              <w:t>293</w:t>
            </w:r>
          </w:p>
        </w:tc>
        <w:tc>
          <w:tcPr>
            <w:tcW w:w="2551" w:type="dxa"/>
            <w:gridSpan w:val="2"/>
            <w:tcBorders>
              <w:bottom w:val="single" w:sz="4" w:space="0" w:color="auto"/>
            </w:tcBorders>
            <w:shd w:val="clear" w:color="auto" w:fill="auto"/>
          </w:tcPr>
          <w:p w14:paraId="7F059F55" w14:textId="77777777" w:rsidR="00C56B1B" w:rsidRPr="004708CA" w:rsidRDefault="00C56B1B" w:rsidP="00381D92">
            <w:pPr>
              <w:overflowPunct w:val="0"/>
              <w:autoSpaceDE w:val="0"/>
              <w:autoSpaceDN w:val="0"/>
              <w:adjustRightInd w:val="0"/>
              <w:spacing w:after="120"/>
              <w:rPr>
                <w:color w:val="auto"/>
                <w:sz w:val="20"/>
                <w:lang w:eastAsia="en-US"/>
              </w:rPr>
            </w:pPr>
          </w:p>
        </w:tc>
        <w:tc>
          <w:tcPr>
            <w:tcW w:w="1985" w:type="dxa"/>
            <w:tcBorders>
              <w:bottom w:val="single" w:sz="4" w:space="0" w:color="auto"/>
            </w:tcBorders>
            <w:shd w:val="clear" w:color="auto" w:fill="auto"/>
          </w:tcPr>
          <w:p w14:paraId="15BE6EED" w14:textId="77777777" w:rsidR="00C56B1B" w:rsidRPr="00D83945" w:rsidRDefault="00C56B1B" w:rsidP="00381D92">
            <w:pPr>
              <w:spacing w:after="120"/>
              <w:ind w:right="-612"/>
              <w:rPr>
                <w:color w:val="auto"/>
                <w:sz w:val="20"/>
                <w:lang w:eastAsia="en-US"/>
              </w:rPr>
            </w:pPr>
          </w:p>
        </w:tc>
      </w:tr>
    </w:tbl>
    <w:p w14:paraId="60AAA524" w14:textId="77777777" w:rsidR="00F340B1" w:rsidRPr="001D3940" w:rsidRDefault="00F340B1" w:rsidP="00F340B1">
      <w:pPr>
        <w:tabs>
          <w:tab w:val="center" w:pos="4680"/>
        </w:tabs>
        <w:jc w:val="both"/>
        <w:rPr>
          <w:color w:val="auto"/>
        </w:rPr>
      </w:pPr>
    </w:p>
    <w:p w14:paraId="0D8E395D" w14:textId="77777777" w:rsidR="00F340B1" w:rsidRPr="001D3940" w:rsidRDefault="00F340B1" w:rsidP="00F340B1">
      <w:pPr>
        <w:pStyle w:val="Heading5"/>
        <w:rPr>
          <w:color w:val="auto"/>
        </w:rPr>
      </w:pPr>
      <w:r w:rsidRPr="001D3940">
        <w:rPr>
          <w:color w:val="auto"/>
        </w:rPr>
        <w:t>Comments</w:t>
      </w:r>
    </w:p>
    <w:p w14:paraId="243B4BC0" w14:textId="77777777" w:rsidR="00F340B1" w:rsidRPr="001D3940" w:rsidRDefault="00F340B1" w:rsidP="00F340B1">
      <w:pPr>
        <w:tabs>
          <w:tab w:val="left" w:pos="-1440"/>
          <w:tab w:val="left" w:pos="-720"/>
          <w:tab w:val="left" w:pos="444"/>
        </w:tabs>
        <w:jc w:val="both"/>
        <w:rPr>
          <w:color w:val="auto"/>
        </w:rPr>
      </w:pPr>
    </w:p>
    <w:p w14:paraId="11D5C99D" w14:textId="77777777" w:rsidR="00467310" w:rsidRPr="00BF21AB" w:rsidRDefault="00C56B1B" w:rsidP="00F540D9">
      <w:pPr>
        <w:numPr>
          <w:ilvl w:val="0"/>
          <w:numId w:val="3"/>
        </w:numPr>
        <w:tabs>
          <w:tab w:val="left" w:pos="-1440"/>
          <w:tab w:val="left" w:pos="-720"/>
          <w:tab w:val="left" w:pos="426"/>
        </w:tabs>
        <w:jc w:val="both"/>
        <w:rPr>
          <w:color w:val="auto"/>
        </w:rPr>
      </w:pPr>
      <w:r w:rsidRPr="0037729E">
        <w:t>(CH</w:t>
      </w:r>
      <w:r w:rsidRPr="00BF21AB">
        <w:rPr>
          <w:vertAlign w:val="subscript"/>
        </w:rPr>
        <w:t>3</w:t>
      </w:r>
      <w:r w:rsidRPr="0037729E">
        <w:t>)</w:t>
      </w:r>
      <w:r w:rsidRPr="00BF21AB">
        <w:rPr>
          <w:vertAlign w:val="subscript"/>
        </w:rPr>
        <w:t>2</w:t>
      </w:r>
      <w:r w:rsidRPr="0037729E">
        <w:t>COO was generated by 248</w:t>
      </w:r>
      <w:r w:rsidR="005F39DB">
        <w:t xml:space="preserve"> </w:t>
      </w:r>
      <w:r w:rsidRPr="0037729E">
        <w:t>nm laser photolysis of (CH</w:t>
      </w:r>
      <w:r w:rsidRPr="00BF21AB">
        <w:rPr>
          <w:vertAlign w:val="subscript"/>
        </w:rPr>
        <w:t>3</w:t>
      </w:r>
      <w:r w:rsidRPr="0037729E">
        <w:t>)</w:t>
      </w:r>
      <w:r w:rsidRPr="00BF21AB">
        <w:rPr>
          <w:vertAlign w:val="subscript"/>
        </w:rPr>
        <w:t>2</w:t>
      </w:r>
      <w:r w:rsidRPr="0037729E">
        <w:t>CI</w:t>
      </w:r>
      <w:r w:rsidRPr="00BF21AB">
        <w:rPr>
          <w:vertAlign w:val="subscript"/>
        </w:rPr>
        <w:t>2</w:t>
      </w:r>
      <w:r w:rsidRPr="0037729E">
        <w:t xml:space="preserve"> at 293 K and 4 Torr, in a large excess of O</w:t>
      </w:r>
      <w:r w:rsidRPr="00BF21AB">
        <w:rPr>
          <w:vertAlign w:val="subscript"/>
        </w:rPr>
        <w:t>2</w:t>
      </w:r>
      <w:r w:rsidRPr="0037729E">
        <w:t>.  Tunable synchrotron PIMS was used to measure time-dependence of [(CH</w:t>
      </w:r>
      <w:r w:rsidRPr="00BF21AB">
        <w:rPr>
          <w:vertAlign w:val="subscript"/>
        </w:rPr>
        <w:t>3</w:t>
      </w:r>
      <w:r w:rsidRPr="0037729E">
        <w:t>)</w:t>
      </w:r>
      <w:r w:rsidRPr="00BF21AB">
        <w:rPr>
          <w:vertAlign w:val="subscript"/>
        </w:rPr>
        <w:t>2</w:t>
      </w:r>
      <w:r w:rsidRPr="0037729E">
        <w:t>COO] in the gas phase. A large background signal at m/z = 74 prevented reliable measurement of the rate coefficient.  The cited result, (2.3 ± 2.5) × 10</w:t>
      </w:r>
      <w:r w:rsidRPr="00BF21AB">
        <w:rPr>
          <w:vertAlign w:val="superscript"/>
        </w:rPr>
        <w:t>−12</w:t>
      </w:r>
      <w:r w:rsidRPr="0037729E">
        <w:t xml:space="preserve"> cm</w:t>
      </w:r>
      <w:r w:rsidRPr="00BF21AB">
        <w:rPr>
          <w:vertAlign w:val="superscript"/>
        </w:rPr>
        <w:t>3</w:t>
      </w:r>
      <w:r w:rsidRPr="0037729E">
        <w:t xml:space="preserve"> </w:t>
      </w:r>
      <w:r>
        <w:t>molecule</w:t>
      </w:r>
      <w:r w:rsidRPr="00BF21AB">
        <w:rPr>
          <w:vertAlign w:val="superscript"/>
        </w:rPr>
        <w:t>-1</w:t>
      </w:r>
      <w:r>
        <w:t xml:space="preserve"> </w:t>
      </w:r>
      <w:r w:rsidRPr="0037729E">
        <w:t>s</w:t>
      </w:r>
      <w:r w:rsidRPr="00BF21AB">
        <w:rPr>
          <w:vertAlign w:val="superscript"/>
        </w:rPr>
        <w:t>-1</w:t>
      </w:r>
      <w:r w:rsidRPr="0037729E">
        <w:t xml:space="preserve">, should therefore be interpreted as an upper limit value of </w:t>
      </w:r>
      <w:r w:rsidRPr="00BF21AB">
        <w:rPr>
          <w:i/>
        </w:rPr>
        <w:t>k</w:t>
      </w:r>
      <w:r w:rsidRPr="0037729E">
        <w:t xml:space="preserve"> ≤ 5 × 10</w:t>
      </w:r>
      <w:r w:rsidRPr="00BF21AB">
        <w:rPr>
          <w:vertAlign w:val="superscript"/>
        </w:rPr>
        <w:t>−12</w:t>
      </w:r>
      <w:r w:rsidRPr="0037729E">
        <w:t xml:space="preserve"> cm</w:t>
      </w:r>
      <w:r w:rsidRPr="00BF21AB">
        <w:rPr>
          <w:vertAlign w:val="superscript"/>
        </w:rPr>
        <w:t>3</w:t>
      </w:r>
      <w:r w:rsidRPr="0037729E">
        <w:t xml:space="preserve"> </w:t>
      </w:r>
      <w:r>
        <w:t>molecule</w:t>
      </w:r>
      <w:r w:rsidRPr="00BF21AB">
        <w:rPr>
          <w:vertAlign w:val="superscript"/>
        </w:rPr>
        <w:t>-1</w:t>
      </w:r>
      <w:r>
        <w:t xml:space="preserve"> </w:t>
      </w:r>
      <w:r w:rsidRPr="0037729E">
        <w:t>s</w:t>
      </w:r>
      <w:r w:rsidRPr="00BF21AB">
        <w:rPr>
          <w:vertAlign w:val="superscript"/>
        </w:rPr>
        <w:t>-1</w:t>
      </w:r>
      <w:r w:rsidRPr="0037729E">
        <w:t>. However, in the case of (CD</w:t>
      </w:r>
      <w:r w:rsidRPr="00BF21AB">
        <w:rPr>
          <w:vertAlign w:val="subscript"/>
        </w:rPr>
        <w:t>3</w:t>
      </w:r>
      <w:r w:rsidRPr="0037729E">
        <w:t>)</w:t>
      </w:r>
      <w:r w:rsidRPr="00BF21AB">
        <w:rPr>
          <w:vertAlign w:val="subscript"/>
        </w:rPr>
        <w:t>2</w:t>
      </w:r>
      <w:r w:rsidRPr="0037729E">
        <w:t>COO the background had a negligible effect, allowing accurate measurement of its rate coefficient for reaction with NO</w:t>
      </w:r>
      <w:r w:rsidRPr="00BF21AB">
        <w:rPr>
          <w:vertAlign w:val="subscript"/>
        </w:rPr>
        <w:t>2</w:t>
      </w:r>
      <w:r>
        <w:t>, as tabulated above</w:t>
      </w:r>
      <w:r w:rsidR="00BF21AB">
        <w:t>.</w:t>
      </w:r>
    </w:p>
    <w:p w14:paraId="51A43CBD" w14:textId="77777777" w:rsidR="001E3362" w:rsidRDefault="001E3362" w:rsidP="001E3362">
      <w:pPr>
        <w:tabs>
          <w:tab w:val="left" w:pos="-1440"/>
          <w:tab w:val="left" w:pos="-720"/>
        </w:tabs>
        <w:ind w:left="360"/>
        <w:jc w:val="both"/>
      </w:pPr>
    </w:p>
    <w:p w14:paraId="24BAFB0C" w14:textId="77777777" w:rsidR="00ED24D0" w:rsidRPr="001D3940" w:rsidRDefault="00ED24D0" w:rsidP="00ED24D0">
      <w:pPr>
        <w:pStyle w:val="Heading5"/>
        <w:tabs>
          <w:tab w:val="clear" w:pos="4867"/>
          <w:tab w:val="clear" w:pos="7982"/>
          <w:tab w:val="clear" w:pos="8395"/>
          <w:tab w:val="clear" w:pos="8812"/>
        </w:tabs>
        <w:rPr>
          <w:color w:val="auto"/>
        </w:rPr>
      </w:pPr>
      <w:r w:rsidRPr="001D3940">
        <w:rPr>
          <w:color w:val="auto"/>
        </w:rPr>
        <w:t>Preferred Values</w:t>
      </w:r>
    </w:p>
    <w:p w14:paraId="343DD3C7" w14:textId="77777777" w:rsidR="00ED24D0" w:rsidRPr="001D3940" w:rsidRDefault="00ED24D0" w:rsidP="00ED24D0">
      <w:pPr>
        <w:tabs>
          <w:tab w:val="left" w:pos="-1440"/>
          <w:tab w:val="left" w:pos="-720"/>
          <w:tab w:val="left" w:pos="444"/>
        </w:tabs>
        <w:jc w:val="both"/>
        <w:rPr>
          <w:color w:val="auto"/>
        </w:rPr>
      </w:pPr>
    </w:p>
    <w:tbl>
      <w:tblPr>
        <w:tblW w:w="0" w:type="auto"/>
        <w:tblInd w:w="454" w:type="dxa"/>
        <w:tblLayout w:type="fixed"/>
        <w:tblLook w:val="0000" w:firstRow="0" w:lastRow="0" w:firstColumn="0" w:lastColumn="0" w:noHBand="0" w:noVBand="0"/>
      </w:tblPr>
      <w:tblGrid>
        <w:gridCol w:w="3198"/>
        <w:gridCol w:w="3332"/>
        <w:gridCol w:w="1992"/>
      </w:tblGrid>
      <w:tr w:rsidR="00ED24D0" w:rsidRPr="001D3940" w14:paraId="3186E653" w14:textId="77777777" w:rsidTr="00B071AB">
        <w:tc>
          <w:tcPr>
            <w:tcW w:w="3198" w:type="dxa"/>
            <w:tcBorders>
              <w:top w:val="single" w:sz="4" w:space="0" w:color="000000"/>
              <w:bottom w:val="single" w:sz="4" w:space="0" w:color="000000"/>
            </w:tcBorders>
            <w:shd w:val="clear" w:color="auto" w:fill="auto"/>
          </w:tcPr>
          <w:p w14:paraId="42F239A8"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Parameter</w:t>
            </w:r>
          </w:p>
        </w:tc>
        <w:tc>
          <w:tcPr>
            <w:tcW w:w="3332" w:type="dxa"/>
            <w:tcBorders>
              <w:top w:val="single" w:sz="4" w:space="0" w:color="000000"/>
              <w:bottom w:val="single" w:sz="4" w:space="0" w:color="000000"/>
            </w:tcBorders>
            <w:shd w:val="clear" w:color="auto" w:fill="auto"/>
          </w:tcPr>
          <w:p w14:paraId="619ABCFE"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Value</w:t>
            </w:r>
          </w:p>
        </w:tc>
        <w:tc>
          <w:tcPr>
            <w:tcW w:w="1992" w:type="dxa"/>
            <w:tcBorders>
              <w:top w:val="single" w:sz="4" w:space="0" w:color="000000"/>
              <w:bottom w:val="single" w:sz="4" w:space="0" w:color="000000"/>
            </w:tcBorders>
            <w:shd w:val="clear" w:color="auto" w:fill="auto"/>
          </w:tcPr>
          <w:p w14:paraId="085149BF" w14:textId="77777777" w:rsidR="00ED24D0" w:rsidRPr="001D3940" w:rsidRDefault="00ED24D0" w:rsidP="003964D0">
            <w:pPr>
              <w:tabs>
                <w:tab w:val="left" w:pos="0"/>
                <w:tab w:val="left" w:pos="444"/>
                <w:tab w:val="left" w:pos="720"/>
              </w:tabs>
              <w:spacing w:line="240" w:lineRule="atLeast"/>
              <w:jc w:val="center"/>
              <w:rPr>
                <w:color w:val="auto"/>
              </w:rPr>
            </w:pPr>
            <w:r w:rsidRPr="001D3940">
              <w:rPr>
                <w:b/>
                <w:color w:val="auto"/>
                <w:spacing w:val="-3"/>
                <w:szCs w:val="24"/>
              </w:rPr>
              <w:t>T/K</w:t>
            </w:r>
          </w:p>
        </w:tc>
      </w:tr>
      <w:tr w:rsidR="00ED24D0" w:rsidRPr="001D3940" w14:paraId="71A6D356" w14:textId="77777777" w:rsidTr="00B071AB">
        <w:tc>
          <w:tcPr>
            <w:tcW w:w="3198" w:type="dxa"/>
            <w:tcBorders>
              <w:top w:val="single" w:sz="4" w:space="0" w:color="000000"/>
            </w:tcBorders>
            <w:shd w:val="clear" w:color="auto" w:fill="auto"/>
          </w:tcPr>
          <w:p w14:paraId="1F3ED200" w14:textId="77777777" w:rsidR="00ED24D0" w:rsidRPr="001D3940" w:rsidRDefault="00ED24D0" w:rsidP="003964D0">
            <w:pPr>
              <w:tabs>
                <w:tab w:val="left" w:pos="0"/>
                <w:tab w:val="left" w:pos="444"/>
                <w:tab w:val="left" w:pos="720"/>
              </w:tabs>
              <w:snapToGrid w:val="0"/>
              <w:spacing w:line="240" w:lineRule="atLeast"/>
              <w:jc w:val="center"/>
              <w:rPr>
                <w:i/>
                <w:color w:val="auto"/>
                <w:spacing w:val="-3"/>
                <w:szCs w:val="24"/>
              </w:rPr>
            </w:pPr>
          </w:p>
        </w:tc>
        <w:tc>
          <w:tcPr>
            <w:tcW w:w="3332" w:type="dxa"/>
            <w:tcBorders>
              <w:top w:val="single" w:sz="4" w:space="0" w:color="000000"/>
            </w:tcBorders>
            <w:shd w:val="clear" w:color="auto" w:fill="auto"/>
          </w:tcPr>
          <w:p w14:paraId="480B074B" w14:textId="77777777" w:rsidR="00ED24D0" w:rsidRPr="001D3940" w:rsidRDefault="00ED24D0" w:rsidP="003964D0">
            <w:pPr>
              <w:tabs>
                <w:tab w:val="left" w:pos="0"/>
                <w:tab w:val="left" w:pos="444"/>
                <w:tab w:val="left" w:pos="720"/>
              </w:tabs>
              <w:snapToGrid w:val="0"/>
              <w:spacing w:line="240" w:lineRule="atLeast"/>
              <w:rPr>
                <w:color w:val="auto"/>
                <w:spacing w:val="-3"/>
                <w:szCs w:val="24"/>
              </w:rPr>
            </w:pPr>
          </w:p>
        </w:tc>
        <w:tc>
          <w:tcPr>
            <w:tcW w:w="1992" w:type="dxa"/>
            <w:tcBorders>
              <w:top w:val="single" w:sz="4" w:space="0" w:color="000000"/>
            </w:tcBorders>
            <w:shd w:val="clear" w:color="auto" w:fill="auto"/>
          </w:tcPr>
          <w:p w14:paraId="6A23920C" w14:textId="77777777" w:rsidR="00ED24D0" w:rsidRPr="001D3940" w:rsidRDefault="00ED24D0" w:rsidP="003964D0">
            <w:pPr>
              <w:tabs>
                <w:tab w:val="left" w:pos="0"/>
                <w:tab w:val="left" w:pos="444"/>
                <w:tab w:val="left" w:pos="720"/>
              </w:tabs>
              <w:snapToGrid w:val="0"/>
              <w:spacing w:line="240" w:lineRule="atLeast"/>
              <w:jc w:val="center"/>
              <w:rPr>
                <w:color w:val="auto"/>
                <w:spacing w:val="-3"/>
                <w:szCs w:val="24"/>
              </w:rPr>
            </w:pPr>
          </w:p>
        </w:tc>
      </w:tr>
      <w:tr w:rsidR="00A5312B" w:rsidRPr="001D3940" w14:paraId="751FA748" w14:textId="77777777" w:rsidTr="00B071AB">
        <w:tc>
          <w:tcPr>
            <w:tcW w:w="3198" w:type="dxa"/>
            <w:shd w:val="clear" w:color="auto" w:fill="auto"/>
          </w:tcPr>
          <w:p w14:paraId="2806898C" w14:textId="77777777" w:rsidR="00A5312B" w:rsidRPr="00DC5F36" w:rsidRDefault="00A5312B" w:rsidP="00B071AB">
            <w:pPr>
              <w:tabs>
                <w:tab w:val="left" w:pos="0"/>
                <w:tab w:val="left" w:pos="444"/>
                <w:tab w:val="left" w:pos="720"/>
              </w:tabs>
              <w:spacing w:after="120" w:line="240" w:lineRule="atLeast"/>
              <w:jc w:val="center"/>
              <w:rPr>
                <w:color w:val="auto"/>
                <w:spacing w:val="-3"/>
              </w:rPr>
            </w:pPr>
            <w:r w:rsidRPr="001D3940">
              <w:rPr>
                <w:i/>
                <w:color w:val="auto"/>
                <w:spacing w:val="-3"/>
                <w:szCs w:val="24"/>
              </w:rPr>
              <w:t>k</w:t>
            </w:r>
            <w:r w:rsidRPr="001D3940">
              <w:rPr>
                <w:color w:val="auto"/>
                <w:spacing w:val="-3"/>
                <w:szCs w:val="24"/>
              </w:rPr>
              <w:t xml:space="preserve">/ </w:t>
            </w:r>
            <w:r w:rsidR="002D4F64">
              <w:rPr>
                <w:color w:val="auto"/>
                <w:spacing w:val="-3"/>
                <w:szCs w:val="24"/>
              </w:rPr>
              <w:t>cm</w:t>
            </w:r>
            <w:r w:rsidR="002D4F64" w:rsidRPr="00FD4F17">
              <w:rPr>
                <w:color w:val="auto"/>
                <w:spacing w:val="-3"/>
                <w:szCs w:val="24"/>
                <w:vertAlign w:val="superscript"/>
              </w:rPr>
              <w:t>3</w:t>
            </w:r>
            <w:r w:rsidR="002D4F64">
              <w:rPr>
                <w:color w:val="auto"/>
                <w:spacing w:val="-3"/>
                <w:szCs w:val="24"/>
              </w:rPr>
              <w:t xml:space="preserve"> molecule</w:t>
            </w:r>
            <w:r w:rsidR="002D4F64" w:rsidRPr="00FD4F17">
              <w:rPr>
                <w:color w:val="auto"/>
                <w:spacing w:val="-3"/>
                <w:szCs w:val="24"/>
                <w:vertAlign w:val="superscript"/>
              </w:rPr>
              <w:t>-1</w:t>
            </w:r>
            <w:r w:rsidR="002D4F64">
              <w:rPr>
                <w:color w:val="auto"/>
                <w:spacing w:val="-3"/>
                <w:szCs w:val="24"/>
              </w:rPr>
              <w:t xml:space="preserve"> </w:t>
            </w:r>
            <w:r w:rsidR="002D4F64" w:rsidRPr="001D3940">
              <w:rPr>
                <w:color w:val="auto"/>
                <w:spacing w:val="-3"/>
                <w:szCs w:val="24"/>
              </w:rPr>
              <w:t>s</w:t>
            </w:r>
            <w:r w:rsidR="002D4F64" w:rsidRPr="001D3940">
              <w:rPr>
                <w:color w:val="auto"/>
                <w:spacing w:val="-3"/>
                <w:szCs w:val="24"/>
                <w:vertAlign w:val="superscript"/>
              </w:rPr>
              <w:t>-1</w:t>
            </w:r>
          </w:p>
        </w:tc>
        <w:tc>
          <w:tcPr>
            <w:tcW w:w="3332" w:type="dxa"/>
            <w:shd w:val="clear" w:color="auto" w:fill="auto"/>
          </w:tcPr>
          <w:p w14:paraId="1DD78AB7" w14:textId="77777777" w:rsidR="00A5312B" w:rsidRPr="00A5312B" w:rsidRDefault="00C56B1B" w:rsidP="00B071AB">
            <w:pPr>
              <w:tabs>
                <w:tab w:val="left" w:pos="0"/>
                <w:tab w:val="left" w:pos="444"/>
                <w:tab w:val="left" w:pos="720"/>
              </w:tabs>
              <w:spacing w:after="120" w:line="240" w:lineRule="atLeast"/>
              <w:jc w:val="center"/>
              <w:rPr>
                <w:color w:val="auto"/>
                <w:spacing w:val="-3"/>
                <w:szCs w:val="24"/>
              </w:rPr>
            </w:pPr>
            <w:r>
              <w:t>2.1</w:t>
            </w:r>
            <w:r w:rsidR="00B36F17">
              <w:t xml:space="preserve"> ×</w:t>
            </w:r>
            <w:r w:rsidR="002D4F64">
              <w:t xml:space="preserve"> </w:t>
            </w:r>
            <w:r w:rsidR="00B36F17">
              <w:t>10</w:t>
            </w:r>
            <w:r w:rsidR="00FC7D11">
              <w:rPr>
                <w:vertAlign w:val="superscript"/>
              </w:rPr>
              <w:t>-1</w:t>
            </w:r>
            <w:r>
              <w:rPr>
                <w:vertAlign w:val="superscript"/>
              </w:rPr>
              <w:t>2</w:t>
            </w:r>
          </w:p>
        </w:tc>
        <w:tc>
          <w:tcPr>
            <w:tcW w:w="1992" w:type="dxa"/>
            <w:shd w:val="clear" w:color="auto" w:fill="auto"/>
          </w:tcPr>
          <w:p w14:paraId="70F15390" w14:textId="77777777" w:rsidR="00A5312B" w:rsidRPr="001D3940" w:rsidRDefault="00C56B1B" w:rsidP="00B071AB">
            <w:pPr>
              <w:tabs>
                <w:tab w:val="left" w:pos="0"/>
                <w:tab w:val="left" w:pos="444"/>
                <w:tab w:val="left" w:pos="720"/>
              </w:tabs>
              <w:spacing w:after="120" w:line="240" w:lineRule="atLeast"/>
              <w:jc w:val="center"/>
              <w:rPr>
                <w:color w:val="auto"/>
              </w:rPr>
            </w:pPr>
            <w:r>
              <w:rPr>
                <w:color w:val="auto"/>
                <w:spacing w:val="-3"/>
                <w:szCs w:val="24"/>
              </w:rPr>
              <w:t>298</w:t>
            </w:r>
          </w:p>
        </w:tc>
      </w:tr>
    </w:tbl>
    <w:p w14:paraId="5A616B9E" w14:textId="77777777" w:rsidR="00ED24D0" w:rsidRPr="001D3940" w:rsidRDefault="00ED24D0" w:rsidP="00ED24D0">
      <w:pPr>
        <w:tabs>
          <w:tab w:val="left" w:pos="0"/>
          <w:tab w:val="left" w:pos="444"/>
          <w:tab w:val="left" w:pos="720"/>
        </w:tabs>
        <w:spacing w:line="240" w:lineRule="atLeast"/>
        <w:jc w:val="both"/>
        <w:rPr>
          <w:rFonts w:ascii="Symbol" w:hAnsi="Symbol"/>
          <w:color w:val="auto"/>
          <w:spacing w:val="-3"/>
          <w:szCs w:val="24"/>
        </w:rPr>
      </w:pPr>
      <w:r w:rsidRPr="001D3940">
        <w:rPr>
          <w:i/>
          <w:color w:val="auto"/>
          <w:spacing w:val="-3"/>
          <w:szCs w:val="24"/>
        </w:rPr>
        <w:t>Reliability</w:t>
      </w:r>
    </w:p>
    <w:tbl>
      <w:tblPr>
        <w:tblW w:w="0" w:type="auto"/>
        <w:tblInd w:w="454" w:type="dxa"/>
        <w:tblLayout w:type="fixed"/>
        <w:tblLook w:val="0000" w:firstRow="0" w:lastRow="0" w:firstColumn="0" w:lastColumn="0" w:noHBand="0" w:noVBand="0"/>
      </w:tblPr>
      <w:tblGrid>
        <w:gridCol w:w="3056"/>
        <w:gridCol w:w="3455"/>
        <w:gridCol w:w="2011"/>
      </w:tblGrid>
      <w:tr w:rsidR="00C56B1B" w:rsidRPr="001D3940" w14:paraId="3F3C150A" w14:textId="77777777" w:rsidTr="003964D0">
        <w:tc>
          <w:tcPr>
            <w:tcW w:w="3056" w:type="dxa"/>
            <w:tcBorders>
              <w:bottom w:val="single" w:sz="4" w:space="0" w:color="auto"/>
            </w:tcBorders>
            <w:shd w:val="clear" w:color="auto" w:fill="auto"/>
          </w:tcPr>
          <w:p w14:paraId="666A6CFB" w14:textId="77777777" w:rsidR="00C56B1B" w:rsidRPr="001D3940" w:rsidRDefault="00C56B1B" w:rsidP="00C56B1B">
            <w:pPr>
              <w:tabs>
                <w:tab w:val="left" w:pos="0"/>
                <w:tab w:val="left" w:pos="444"/>
                <w:tab w:val="left" w:pos="720"/>
              </w:tabs>
              <w:spacing w:after="120"/>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k</w:t>
            </w:r>
          </w:p>
        </w:tc>
        <w:tc>
          <w:tcPr>
            <w:tcW w:w="3455" w:type="dxa"/>
            <w:tcBorders>
              <w:bottom w:val="single" w:sz="4" w:space="0" w:color="auto"/>
            </w:tcBorders>
            <w:shd w:val="clear" w:color="auto" w:fill="auto"/>
          </w:tcPr>
          <w:p w14:paraId="1BE3B832" w14:textId="77777777" w:rsidR="00C56B1B" w:rsidRPr="001D3940" w:rsidRDefault="00C56B1B" w:rsidP="00C56B1B">
            <w:pPr>
              <w:tabs>
                <w:tab w:val="left" w:pos="0"/>
                <w:tab w:val="left" w:pos="444"/>
                <w:tab w:val="left" w:pos="720"/>
              </w:tabs>
              <w:jc w:val="center"/>
              <w:rPr>
                <w:color w:val="auto"/>
                <w:spacing w:val="-3"/>
                <w:szCs w:val="24"/>
              </w:rPr>
            </w:pPr>
            <w:r w:rsidRPr="001D3940">
              <w:rPr>
                <w:color w:val="auto"/>
                <w:spacing w:val="-3"/>
                <w:szCs w:val="24"/>
              </w:rPr>
              <w:t>± 0.</w:t>
            </w:r>
            <w:r>
              <w:rPr>
                <w:color w:val="auto"/>
                <w:spacing w:val="-3"/>
                <w:szCs w:val="24"/>
              </w:rPr>
              <w:t>3</w:t>
            </w:r>
          </w:p>
        </w:tc>
        <w:tc>
          <w:tcPr>
            <w:tcW w:w="2011" w:type="dxa"/>
            <w:tcBorders>
              <w:bottom w:val="single" w:sz="4" w:space="0" w:color="auto"/>
            </w:tcBorders>
            <w:shd w:val="clear" w:color="auto" w:fill="auto"/>
          </w:tcPr>
          <w:p w14:paraId="0A1E15EF" w14:textId="77777777" w:rsidR="00C56B1B" w:rsidRPr="001D3940" w:rsidRDefault="00C56B1B" w:rsidP="00C56B1B">
            <w:pPr>
              <w:tabs>
                <w:tab w:val="left" w:pos="0"/>
                <w:tab w:val="left" w:pos="444"/>
                <w:tab w:val="left" w:pos="720"/>
              </w:tabs>
              <w:jc w:val="center"/>
              <w:rPr>
                <w:color w:val="auto"/>
              </w:rPr>
            </w:pPr>
            <w:r w:rsidRPr="001D3940">
              <w:rPr>
                <w:color w:val="auto"/>
                <w:spacing w:val="-3"/>
                <w:szCs w:val="24"/>
              </w:rPr>
              <w:t>298</w:t>
            </w:r>
          </w:p>
        </w:tc>
      </w:tr>
    </w:tbl>
    <w:p w14:paraId="7F0008B4" w14:textId="77777777" w:rsidR="0085481F" w:rsidRDefault="0085481F" w:rsidP="00A34B0D">
      <w:pPr>
        <w:tabs>
          <w:tab w:val="left" w:pos="-1440"/>
          <w:tab w:val="left" w:pos="-720"/>
          <w:tab w:val="left" w:pos="444"/>
        </w:tabs>
        <w:jc w:val="both"/>
        <w:rPr>
          <w:color w:val="auto"/>
        </w:rPr>
      </w:pPr>
    </w:p>
    <w:p w14:paraId="3F5AED0F" w14:textId="77777777" w:rsidR="00ED24D0" w:rsidRPr="001D3940" w:rsidRDefault="00ED24D0" w:rsidP="00ED24D0">
      <w:pPr>
        <w:numPr>
          <w:ilvl w:val="0"/>
          <w:numId w:val="2"/>
        </w:numPr>
        <w:tabs>
          <w:tab w:val="left" w:pos="-1440"/>
          <w:tab w:val="left" w:pos="-720"/>
          <w:tab w:val="left" w:pos="444"/>
        </w:tabs>
        <w:jc w:val="both"/>
        <w:rPr>
          <w:color w:val="auto"/>
        </w:rPr>
      </w:pPr>
      <w:r w:rsidRPr="001D3940">
        <w:rPr>
          <w:i/>
          <w:color w:val="auto"/>
        </w:rPr>
        <w:t>Comments on Preferred Values</w:t>
      </w:r>
    </w:p>
    <w:p w14:paraId="1E45221B" w14:textId="77777777" w:rsidR="005F39DB" w:rsidRDefault="005F39DB" w:rsidP="005F39DB">
      <w:pPr>
        <w:numPr>
          <w:ilvl w:val="0"/>
          <w:numId w:val="2"/>
        </w:numPr>
        <w:tabs>
          <w:tab w:val="left" w:pos="-1440"/>
          <w:tab w:val="left" w:pos="-720"/>
          <w:tab w:val="left" w:pos="444"/>
        </w:tabs>
        <w:ind w:left="0" w:firstLine="442"/>
        <w:jc w:val="both"/>
      </w:pPr>
      <w:r w:rsidRPr="0037729E">
        <w:t xml:space="preserve">The reported measurement </w:t>
      </w:r>
      <w:r>
        <w:t xml:space="preserve">of </w:t>
      </w:r>
      <w:r w:rsidRPr="00901906">
        <w:rPr>
          <w:i/>
          <w:iCs/>
        </w:rPr>
        <w:t>k</w:t>
      </w:r>
      <w:r>
        <w:t xml:space="preserve"> for the reaction of</w:t>
      </w:r>
      <w:r w:rsidRPr="0037729E">
        <w:t xml:space="preserve"> (CH</w:t>
      </w:r>
      <w:r w:rsidRPr="0037729E">
        <w:rPr>
          <w:vertAlign w:val="subscript"/>
        </w:rPr>
        <w:t>3</w:t>
      </w:r>
      <w:r w:rsidRPr="0037729E">
        <w:t>)</w:t>
      </w:r>
      <w:r w:rsidRPr="0037729E">
        <w:rPr>
          <w:vertAlign w:val="subscript"/>
        </w:rPr>
        <w:t>2</w:t>
      </w:r>
      <w:r w:rsidRPr="0037729E">
        <w:t>COO</w:t>
      </w:r>
      <w:r w:rsidRPr="0037729E">
        <w:rPr>
          <w:b/>
        </w:rPr>
        <w:t xml:space="preserve"> </w:t>
      </w:r>
      <w:r w:rsidRPr="0037729E">
        <w:t>with NO</w:t>
      </w:r>
      <w:r w:rsidRPr="00A0129D">
        <w:rPr>
          <w:vertAlign w:val="subscript"/>
        </w:rPr>
        <w:t>2</w:t>
      </w:r>
      <w:r w:rsidRPr="0037729E">
        <w:t xml:space="preserve"> suffer</w:t>
      </w:r>
      <w:r>
        <w:t>s</w:t>
      </w:r>
      <w:r w:rsidRPr="0037729E">
        <w:t xml:space="preserve"> from interference from a background</w:t>
      </w:r>
      <w:r>
        <w:t xml:space="preserve"> signal. However,</w:t>
      </w:r>
      <w:r w:rsidRPr="0037729E">
        <w:t xml:space="preserve"> th</w:t>
      </w:r>
      <w:r>
        <w:t>at</w:t>
      </w:r>
      <w:r w:rsidRPr="0037729E">
        <w:t xml:space="preserve"> for the deuterated form, (CD</w:t>
      </w:r>
      <w:r w:rsidRPr="0037729E">
        <w:rPr>
          <w:vertAlign w:val="subscript"/>
        </w:rPr>
        <w:t>3</w:t>
      </w:r>
      <w:r w:rsidRPr="0037729E">
        <w:t>)</w:t>
      </w:r>
      <w:r w:rsidRPr="0037729E">
        <w:rPr>
          <w:vertAlign w:val="subscript"/>
        </w:rPr>
        <w:t>2</w:t>
      </w:r>
      <w:r w:rsidRPr="0037729E">
        <w:t>COO, is similar to th</w:t>
      </w:r>
      <w:r>
        <w:t>ose</w:t>
      </w:r>
      <w:r w:rsidRPr="0037729E">
        <w:t xml:space="preserve"> for </w:t>
      </w:r>
      <w:r>
        <w:t>CH</w:t>
      </w:r>
      <w:r w:rsidRPr="00860F2B">
        <w:rPr>
          <w:vertAlign w:val="subscript"/>
        </w:rPr>
        <w:t>2</w:t>
      </w:r>
      <w:r>
        <w:t xml:space="preserve">OO and </w:t>
      </w:r>
      <w:r w:rsidRPr="0037729E">
        <w:t xml:space="preserve">both </w:t>
      </w:r>
      <w:r>
        <w:rPr>
          <w:i/>
        </w:rPr>
        <w:t>Z</w:t>
      </w:r>
      <w:r w:rsidRPr="0037729E">
        <w:rPr>
          <w:i/>
        </w:rPr>
        <w:t>-</w:t>
      </w:r>
      <w:r w:rsidRPr="0037729E">
        <w:t xml:space="preserve"> and </w:t>
      </w:r>
      <w:r>
        <w:rPr>
          <w:i/>
        </w:rPr>
        <w:t>E</w:t>
      </w:r>
      <w:r w:rsidRPr="0037729E">
        <w:rPr>
          <w:i/>
        </w:rPr>
        <w:t>-</w:t>
      </w:r>
      <w:r w:rsidRPr="0037729E">
        <w:t>CH</w:t>
      </w:r>
      <w:r w:rsidRPr="00901906">
        <w:rPr>
          <w:vertAlign w:val="subscript"/>
        </w:rPr>
        <w:t>3</w:t>
      </w:r>
      <w:r w:rsidRPr="0037729E">
        <w:t>CHOO reacting with NO</w:t>
      </w:r>
      <w:r w:rsidRPr="00901906">
        <w:rPr>
          <w:vertAlign w:val="subscript"/>
        </w:rPr>
        <w:t>2</w:t>
      </w:r>
      <w:r>
        <w:t xml:space="preserve"> (see data sheets CGI_2 and</w:t>
      </w:r>
      <w:r w:rsidRPr="0037729E">
        <w:t xml:space="preserve"> CGI_17)</w:t>
      </w:r>
      <w:r>
        <w:t>.</w:t>
      </w:r>
      <w:r w:rsidRPr="0037729E">
        <w:t xml:space="preserve"> The overall body of data </w:t>
      </w:r>
      <w:r>
        <w:t xml:space="preserve">therefore </w:t>
      </w:r>
      <w:r w:rsidRPr="0037729E">
        <w:t xml:space="preserve">appears to show that all </w:t>
      </w:r>
      <w:proofErr w:type="spellStart"/>
      <w:r>
        <w:t>Criegee</w:t>
      </w:r>
      <w:proofErr w:type="spellEnd"/>
      <w:r>
        <w:t xml:space="preserve"> intermediates</w:t>
      </w:r>
      <w:r w:rsidRPr="0037729E">
        <w:t xml:space="preserve"> react with NO</w:t>
      </w:r>
      <w:r w:rsidRPr="0037729E">
        <w:rPr>
          <w:vertAlign w:val="subscript"/>
        </w:rPr>
        <w:t>2</w:t>
      </w:r>
      <w:r w:rsidRPr="0037729E">
        <w:t xml:space="preserve"> with similar rates</w:t>
      </w:r>
      <w:r>
        <w:t>,</w:t>
      </w:r>
      <w:r w:rsidRPr="0037729E">
        <w:t xml:space="preserve"> with </w:t>
      </w:r>
      <w:r w:rsidRPr="00901906">
        <w:rPr>
          <w:i/>
          <w:iCs/>
        </w:rPr>
        <w:t>k</w:t>
      </w:r>
      <w:r w:rsidRPr="0037729E">
        <w:t xml:space="preserve"> close to 2 × 10</w:t>
      </w:r>
      <w:r w:rsidRPr="0037729E">
        <w:rPr>
          <w:vertAlign w:val="superscript"/>
        </w:rPr>
        <w:t>-12</w:t>
      </w:r>
      <w:r w:rsidRPr="0037729E">
        <w:t xml:space="preserve"> cm</w:t>
      </w:r>
      <w:r w:rsidRPr="0037729E">
        <w:rPr>
          <w:vertAlign w:val="superscript"/>
        </w:rPr>
        <w:t>3</w:t>
      </w:r>
      <w:r w:rsidRPr="0037729E">
        <w:t xml:space="preserve"> molecule</w:t>
      </w:r>
      <w:r w:rsidRPr="0037729E">
        <w:rPr>
          <w:vertAlign w:val="superscript"/>
        </w:rPr>
        <w:t>-1</w:t>
      </w:r>
      <w:r w:rsidRPr="0037729E">
        <w:t xml:space="preserve"> s</w:t>
      </w:r>
      <w:r w:rsidRPr="0037729E">
        <w:rPr>
          <w:vertAlign w:val="superscript"/>
        </w:rPr>
        <w:t>-1</w:t>
      </w:r>
      <w:r w:rsidRPr="0037729E">
        <w:t>.</w:t>
      </w:r>
    </w:p>
    <w:p w14:paraId="5D3A2E7D" w14:textId="77777777" w:rsidR="00D50BCE" w:rsidRDefault="005F39DB" w:rsidP="005F39DB">
      <w:pPr>
        <w:numPr>
          <w:ilvl w:val="0"/>
          <w:numId w:val="2"/>
        </w:numPr>
        <w:tabs>
          <w:tab w:val="left" w:pos="-1440"/>
          <w:tab w:val="left" w:pos="-720"/>
          <w:tab w:val="left" w:pos="444"/>
        </w:tabs>
        <w:ind w:left="0" w:firstLine="442"/>
        <w:jc w:val="both"/>
      </w:pPr>
      <w:r w:rsidRPr="0037729E">
        <w:t>Attempts to measure NO</w:t>
      </w:r>
      <w:r w:rsidRPr="00321D57">
        <w:rPr>
          <w:vertAlign w:val="subscript"/>
        </w:rPr>
        <w:t>3</w:t>
      </w:r>
      <w:r w:rsidRPr="0037729E">
        <w:t xml:space="preserve"> from the reaction of (CD</w:t>
      </w:r>
      <w:r w:rsidRPr="00321D57">
        <w:rPr>
          <w:vertAlign w:val="subscript"/>
        </w:rPr>
        <w:t>3</w:t>
      </w:r>
      <w:r w:rsidRPr="0037729E">
        <w:t>)</w:t>
      </w:r>
      <w:r w:rsidRPr="00321D57">
        <w:rPr>
          <w:vertAlign w:val="subscript"/>
        </w:rPr>
        <w:t>2</w:t>
      </w:r>
      <w:r w:rsidRPr="0037729E">
        <w:t>COO with NO</w:t>
      </w:r>
      <w:r w:rsidRPr="00321D57">
        <w:rPr>
          <w:vertAlign w:val="subscript"/>
        </w:rPr>
        <w:t>2</w:t>
      </w:r>
      <w:r w:rsidRPr="0037729E">
        <w:t xml:space="preserve"> failed</w:t>
      </w:r>
      <w:r>
        <w:t xml:space="preserve"> (</w:t>
      </w:r>
      <w:r w:rsidRPr="00BF21AB">
        <w:t>Chhantyal-Pun et al., 2017</w:t>
      </w:r>
      <w:r>
        <w:t>)</w:t>
      </w:r>
      <w:r w:rsidRPr="0037729E">
        <w:t xml:space="preserve">, as have similar attempts for other </w:t>
      </w:r>
      <w:proofErr w:type="spellStart"/>
      <w:r>
        <w:t>sCI</w:t>
      </w:r>
      <w:proofErr w:type="spellEnd"/>
      <w:r w:rsidRPr="0037729E">
        <w:t xml:space="preserve"> reactions with NO</w:t>
      </w:r>
      <w:r w:rsidRPr="00321D57">
        <w:rPr>
          <w:vertAlign w:val="subscript"/>
        </w:rPr>
        <w:t>2</w:t>
      </w:r>
      <w:r>
        <w:t xml:space="preserve"> (</w:t>
      </w:r>
      <w:proofErr w:type="spellStart"/>
      <w:r w:rsidRPr="00B36D57">
        <w:t>Taatjes</w:t>
      </w:r>
      <w:proofErr w:type="spellEnd"/>
      <w:r w:rsidRPr="00B36D57">
        <w:t xml:space="preserve"> et al.</w:t>
      </w:r>
      <w:r>
        <w:t xml:space="preserve">, </w:t>
      </w:r>
      <w:r w:rsidRPr="00B36D57">
        <w:t>2013</w:t>
      </w:r>
      <w:r>
        <w:t xml:space="preserve">; </w:t>
      </w:r>
      <w:r w:rsidRPr="00B36D57">
        <w:t>Caravan et al.</w:t>
      </w:r>
      <w:r>
        <w:t xml:space="preserve">, </w:t>
      </w:r>
      <w:r w:rsidRPr="00B36D57">
        <w:t>2017)</w:t>
      </w:r>
      <w:r>
        <w:t>.</w:t>
      </w:r>
      <w:r w:rsidRPr="0037729E">
        <w:t xml:space="preserve"> However, there are several possible association channels leading to addition complex</w:t>
      </w:r>
      <w:r>
        <w:t>es</w:t>
      </w:r>
      <w:r w:rsidRPr="0037729E">
        <w:t xml:space="preserve">, and nitrate production observed in </w:t>
      </w:r>
      <w:proofErr w:type="spellStart"/>
      <w:r w:rsidRPr="0037729E">
        <w:t>ozonolysis</w:t>
      </w:r>
      <w:proofErr w:type="spellEnd"/>
      <w:r w:rsidRPr="0037729E">
        <w:t xml:space="preserve"> experiments may result from further reaction of th</w:t>
      </w:r>
      <w:r>
        <w:t>e</w:t>
      </w:r>
      <w:r w:rsidRPr="0037729E">
        <w:t>s</w:t>
      </w:r>
      <w:r>
        <w:t>e</w:t>
      </w:r>
      <w:r w:rsidRPr="0037729E">
        <w:t xml:space="preserve"> complex</w:t>
      </w:r>
      <w:r>
        <w:t>es</w:t>
      </w:r>
      <w:r w:rsidRPr="0037729E">
        <w:t xml:space="preserve">. Caravan et al (2017) have shown conclusively that a stable addition product accounts for the major fraction of the products of the reaction of </w:t>
      </w:r>
      <w:r>
        <w:rPr>
          <w:i/>
        </w:rPr>
        <w:t>Z</w:t>
      </w:r>
      <w:r w:rsidRPr="0037729E">
        <w:t>-CH</w:t>
      </w:r>
      <w:r w:rsidRPr="00321D57">
        <w:rPr>
          <w:vertAlign w:val="subscript"/>
        </w:rPr>
        <w:t>3</w:t>
      </w:r>
      <w:r w:rsidRPr="0037729E">
        <w:t>CHOO with NO</w:t>
      </w:r>
      <w:r w:rsidRPr="00321D57">
        <w:rPr>
          <w:vertAlign w:val="subscript"/>
        </w:rPr>
        <w:t>2</w:t>
      </w:r>
      <w:r w:rsidRPr="0037729E">
        <w:rPr>
          <w:vertAlign w:val="subscript"/>
        </w:rPr>
        <w:t>.</w:t>
      </w:r>
      <w:r w:rsidR="0019689A">
        <w:t xml:space="preserve"> </w:t>
      </w:r>
    </w:p>
    <w:p w14:paraId="1C165298" w14:textId="77777777" w:rsidR="00945495" w:rsidRDefault="00945495" w:rsidP="00945495">
      <w:pPr>
        <w:jc w:val="center"/>
        <w:rPr>
          <w:b/>
          <w:bCs/>
        </w:rPr>
      </w:pPr>
      <w:r>
        <w:rPr>
          <w:b/>
          <w:bCs/>
        </w:rPr>
        <w:lastRenderedPageBreak/>
        <w:t>References</w:t>
      </w:r>
    </w:p>
    <w:p w14:paraId="1F6B5B40" w14:textId="77777777" w:rsidR="00925059" w:rsidRDefault="00925059" w:rsidP="00945495">
      <w:pPr>
        <w:jc w:val="center"/>
      </w:pPr>
    </w:p>
    <w:p w14:paraId="74986B68" w14:textId="77777777" w:rsidR="00EE7513" w:rsidRDefault="00EE7513" w:rsidP="00EA56B3">
      <w:pPr>
        <w:widowControl w:val="0"/>
        <w:ind w:left="289" w:hanging="289"/>
        <w:jc w:val="both"/>
      </w:pPr>
      <w:r w:rsidRPr="00B36D57">
        <w:t xml:space="preserve">Caravan, R. L., Khan, M. A. H., </w:t>
      </w:r>
      <w:proofErr w:type="spellStart"/>
      <w:r w:rsidRPr="00B36D57">
        <w:t>Rotavera</w:t>
      </w:r>
      <w:proofErr w:type="spellEnd"/>
      <w:r w:rsidRPr="00B36D57">
        <w:t xml:space="preserve">, B., </w:t>
      </w:r>
      <w:proofErr w:type="spellStart"/>
      <w:r w:rsidRPr="00B36D57">
        <w:t>Papajak</w:t>
      </w:r>
      <w:proofErr w:type="spellEnd"/>
      <w:r w:rsidRPr="00B36D57">
        <w:t>, E., Antonov, I. O., Chen, M.-W., Au, K.</w:t>
      </w:r>
      <w:r>
        <w:t xml:space="preserve">, </w:t>
      </w:r>
      <w:r w:rsidRPr="00B36D57">
        <w:t xml:space="preserve">Chao, W., Osborn, D. L., Lin, J. J.-M., Percival, C. J., Shallcross, D. E. and C. A. </w:t>
      </w:r>
      <w:proofErr w:type="spellStart"/>
      <w:r w:rsidRPr="00B36D57">
        <w:t>Taatjes</w:t>
      </w:r>
      <w:proofErr w:type="spellEnd"/>
      <w:r>
        <w:t>:</w:t>
      </w:r>
      <w:r w:rsidRPr="00B36D57">
        <w:t xml:space="preserve"> Faraday Discuss., 200, 313, 2017.</w:t>
      </w:r>
      <w:r>
        <w:t xml:space="preserve"> </w:t>
      </w:r>
    </w:p>
    <w:p w14:paraId="165D67B9" w14:textId="77777777" w:rsidR="00B32805" w:rsidRDefault="007C17E7" w:rsidP="00EA56B3">
      <w:pPr>
        <w:widowControl w:val="0"/>
        <w:ind w:left="289" w:hanging="289"/>
        <w:jc w:val="both"/>
      </w:pPr>
      <w:r w:rsidRPr="004947B1">
        <w:t xml:space="preserve">Chhantyal-Pun, </w:t>
      </w:r>
      <w:r>
        <w:t>R.,</w:t>
      </w:r>
      <w:r w:rsidRPr="004947B1">
        <w:t xml:space="preserve"> </w:t>
      </w:r>
      <w:proofErr w:type="spellStart"/>
      <w:r w:rsidRPr="004947B1">
        <w:t>Welz</w:t>
      </w:r>
      <w:proofErr w:type="spellEnd"/>
      <w:r w:rsidRPr="004947B1">
        <w:t>,</w:t>
      </w:r>
      <w:r>
        <w:t xml:space="preserve"> O.,</w:t>
      </w:r>
      <w:r w:rsidRPr="004947B1">
        <w:t xml:space="preserve"> </w:t>
      </w:r>
      <w:proofErr w:type="spellStart"/>
      <w:r w:rsidRPr="004947B1">
        <w:t>Savee</w:t>
      </w:r>
      <w:proofErr w:type="spellEnd"/>
      <w:r w:rsidRPr="004947B1">
        <w:t xml:space="preserve"> J</w:t>
      </w:r>
      <w:r>
        <w:t>.</w:t>
      </w:r>
      <w:r w:rsidRPr="004947B1">
        <w:t xml:space="preserve"> D.</w:t>
      </w:r>
      <w:r>
        <w:t>,</w:t>
      </w:r>
      <w:r w:rsidRPr="004947B1">
        <w:t xml:space="preserve"> </w:t>
      </w:r>
      <w:proofErr w:type="spellStart"/>
      <w:r w:rsidRPr="004947B1">
        <w:t>Eskola</w:t>
      </w:r>
      <w:proofErr w:type="spellEnd"/>
      <w:r>
        <w:t>,</w:t>
      </w:r>
      <w:r w:rsidRPr="004947B1">
        <w:t xml:space="preserve"> </w:t>
      </w:r>
      <w:r>
        <w:t>A.</w:t>
      </w:r>
      <w:r w:rsidRPr="004947B1">
        <w:t xml:space="preserve"> J.</w:t>
      </w:r>
      <w:r>
        <w:t>,</w:t>
      </w:r>
      <w:r w:rsidRPr="004947B1">
        <w:t xml:space="preserve"> Lee</w:t>
      </w:r>
      <w:r>
        <w:t>,</w:t>
      </w:r>
      <w:r w:rsidRPr="004947B1">
        <w:t xml:space="preserve"> E</w:t>
      </w:r>
      <w:r>
        <w:t>.</w:t>
      </w:r>
      <w:r w:rsidRPr="004947B1">
        <w:t xml:space="preserve"> P. F.</w:t>
      </w:r>
      <w:r>
        <w:t xml:space="preserve">, </w:t>
      </w:r>
      <w:r w:rsidRPr="004947B1">
        <w:t>Blacker,</w:t>
      </w:r>
      <w:r>
        <w:t xml:space="preserve"> L., </w:t>
      </w:r>
      <w:r w:rsidRPr="004947B1">
        <w:t>Hill,</w:t>
      </w:r>
      <w:r>
        <w:t xml:space="preserve"> </w:t>
      </w:r>
      <w:r w:rsidRPr="004947B1">
        <w:t>H</w:t>
      </w:r>
      <w:r>
        <w:t>.</w:t>
      </w:r>
      <w:r w:rsidRPr="004947B1">
        <w:t xml:space="preserve"> R.</w:t>
      </w:r>
      <w:r>
        <w:t>,</w:t>
      </w:r>
      <w:r w:rsidRPr="004947B1">
        <w:t xml:space="preserve"> Ashcroft,</w:t>
      </w:r>
      <w:r>
        <w:t xml:space="preserve"> </w:t>
      </w:r>
      <w:r w:rsidRPr="004947B1">
        <w:t>M</w:t>
      </w:r>
      <w:r>
        <w:t>.,</w:t>
      </w:r>
      <w:r w:rsidRPr="004947B1">
        <w:t xml:space="preserve"> Khan,</w:t>
      </w:r>
      <w:r>
        <w:t xml:space="preserve"> M. </w:t>
      </w:r>
      <w:r w:rsidRPr="004947B1">
        <w:t>A</w:t>
      </w:r>
      <w:r>
        <w:t>.</w:t>
      </w:r>
      <w:r w:rsidRPr="004947B1">
        <w:t xml:space="preserve"> H.</w:t>
      </w:r>
      <w:r>
        <w:t>,</w:t>
      </w:r>
      <w:r w:rsidRPr="004947B1">
        <w:t xml:space="preserve"> Lloyd-Jones</w:t>
      </w:r>
      <w:r>
        <w:t>,</w:t>
      </w:r>
      <w:r w:rsidRPr="004947B1">
        <w:t xml:space="preserve"> G</w:t>
      </w:r>
      <w:r>
        <w:t>.</w:t>
      </w:r>
      <w:r w:rsidRPr="004947B1">
        <w:t xml:space="preserve"> C., Evans</w:t>
      </w:r>
      <w:r>
        <w:t xml:space="preserve">, </w:t>
      </w:r>
      <w:r w:rsidRPr="004947B1">
        <w:t>L</w:t>
      </w:r>
      <w:r>
        <w:t>.,</w:t>
      </w:r>
      <w:r w:rsidRPr="004947B1">
        <w:t xml:space="preserve"> </w:t>
      </w:r>
      <w:proofErr w:type="spellStart"/>
      <w:r w:rsidRPr="004947B1">
        <w:t>Rotavera</w:t>
      </w:r>
      <w:proofErr w:type="spellEnd"/>
      <w:r>
        <w:t>,</w:t>
      </w:r>
      <w:r w:rsidRPr="004947B1">
        <w:t xml:space="preserve"> B</w:t>
      </w:r>
      <w:r>
        <w:t>.,</w:t>
      </w:r>
      <w:r w:rsidRPr="004947B1">
        <w:t xml:space="preserve"> </w:t>
      </w:r>
      <w:proofErr w:type="spellStart"/>
      <w:r w:rsidRPr="004947B1">
        <w:t>Rotavera</w:t>
      </w:r>
      <w:proofErr w:type="spellEnd"/>
      <w:r w:rsidRPr="004947B1">
        <w:t xml:space="preserve"> H</w:t>
      </w:r>
      <w:r>
        <w:t>.,</w:t>
      </w:r>
      <w:r w:rsidRPr="004947B1">
        <w:t xml:space="preserve"> </w:t>
      </w:r>
      <w:r>
        <w:t xml:space="preserve">Osborn, </w:t>
      </w:r>
      <w:r w:rsidRPr="004947B1">
        <w:t>D</w:t>
      </w:r>
      <w:r>
        <w:t>.</w:t>
      </w:r>
      <w:r w:rsidRPr="004947B1">
        <w:t xml:space="preserve"> L.</w:t>
      </w:r>
      <w:r>
        <w:t>,</w:t>
      </w:r>
      <w:r w:rsidRPr="004947B1">
        <w:t xml:space="preserve"> </w:t>
      </w:r>
      <w:proofErr w:type="spellStart"/>
      <w:r w:rsidRPr="004947B1">
        <w:t>Mok</w:t>
      </w:r>
      <w:proofErr w:type="spellEnd"/>
      <w:r>
        <w:t>,</w:t>
      </w:r>
      <w:r w:rsidRPr="004947B1">
        <w:t xml:space="preserve"> D</w:t>
      </w:r>
      <w:r>
        <w:t xml:space="preserve">. </w:t>
      </w:r>
      <w:r w:rsidRPr="004947B1">
        <w:t>K. W., Dyke</w:t>
      </w:r>
      <w:r>
        <w:t>,</w:t>
      </w:r>
      <w:r w:rsidRPr="004947B1">
        <w:t xml:space="preserve"> </w:t>
      </w:r>
      <w:r>
        <w:t>J.</w:t>
      </w:r>
      <w:r w:rsidRPr="004947B1">
        <w:t xml:space="preserve"> M., </w:t>
      </w:r>
      <w:r>
        <w:t>Shallcross, D. E.,</w:t>
      </w:r>
      <w:r w:rsidRPr="004947B1">
        <w:t xml:space="preserve"> Percival</w:t>
      </w:r>
      <w:r>
        <w:t>,</w:t>
      </w:r>
      <w:r w:rsidRPr="004947B1">
        <w:t xml:space="preserve"> C</w:t>
      </w:r>
      <w:r>
        <w:t>.</w:t>
      </w:r>
      <w:r w:rsidRPr="004947B1">
        <w:t xml:space="preserve"> J., Orr-Ewing</w:t>
      </w:r>
      <w:r>
        <w:t>,</w:t>
      </w:r>
      <w:r w:rsidRPr="004947B1">
        <w:t xml:space="preserve"> A</w:t>
      </w:r>
      <w:r>
        <w:t>.</w:t>
      </w:r>
      <w:r w:rsidRPr="004947B1">
        <w:t xml:space="preserve"> J. and </w:t>
      </w:r>
      <w:proofErr w:type="spellStart"/>
      <w:r w:rsidRPr="004947B1">
        <w:t>Taatjes</w:t>
      </w:r>
      <w:proofErr w:type="spellEnd"/>
      <w:r>
        <w:t>,</w:t>
      </w:r>
      <w:r w:rsidRPr="004947B1">
        <w:t xml:space="preserve"> C</w:t>
      </w:r>
      <w:r>
        <w:t>. A.:</w:t>
      </w:r>
      <w:r w:rsidR="00B32805">
        <w:t xml:space="preserve"> </w:t>
      </w:r>
      <w:r>
        <w:t xml:space="preserve">J. Phys. Chem. A, 121, 4, </w:t>
      </w:r>
      <w:r w:rsidRPr="007C17E7">
        <w:t>https://doi.org/10.1021/acs.jpca.6b07810</w:t>
      </w:r>
      <w:r>
        <w:t xml:space="preserve">, </w:t>
      </w:r>
      <w:r w:rsidRPr="004947B1">
        <w:t>2017</w:t>
      </w:r>
      <w:r w:rsidR="00B32805">
        <w:t>.</w:t>
      </w:r>
    </w:p>
    <w:p w14:paraId="1860F043" w14:textId="77777777" w:rsidR="00EE7513" w:rsidRDefault="00EE7513" w:rsidP="00EA56B3">
      <w:pPr>
        <w:widowControl w:val="0"/>
        <w:ind w:left="289" w:hanging="289"/>
        <w:jc w:val="both"/>
      </w:pPr>
      <w:r w:rsidRPr="00B36D57">
        <w:t xml:space="preserve">Stone, D., Blitz, M., </w:t>
      </w:r>
      <w:proofErr w:type="spellStart"/>
      <w:r w:rsidRPr="00B36D57">
        <w:t>Daubney</w:t>
      </w:r>
      <w:proofErr w:type="spellEnd"/>
      <w:r w:rsidRPr="00B36D57">
        <w:t xml:space="preserve">, L., Howes, N. U. M. and </w:t>
      </w:r>
      <w:proofErr w:type="spellStart"/>
      <w:r w:rsidRPr="00B36D57">
        <w:t>Seakins</w:t>
      </w:r>
      <w:proofErr w:type="spellEnd"/>
      <w:r w:rsidRPr="00B36D57">
        <w:t>, P.: Phys. Chem. Chem. Phys., 16, 1139, 2014.</w:t>
      </w:r>
    </w:p>
    <w:p w14:paraId="59EDFBD3" w14:textId="15C7FAF9" w:rsidR="00BF21AB" w:rsidRDefault="00BF21AB" w:rsidP="00EA56B3">
      <w:pPr>
        <w:tabs>
          <w:tab w:val="center" w:pos="4680"/>
        </w:tabs>
        <w:ind w:left="289" w:hanging="289"/>
        <w:jc w:val="both"/>
        <w:rPr>
          <w:color w:val="auto"/>
          <w:szCs w:val="24"/>
        </w:rPr>
      </w:pPr>
      <w:proofErr w:type="spellStart"/>
      <w:r w:rsidRPr="00A23A24">
        <w:rPr>
          <w:color w:val="auto"/>
          <w:szCs w:val="24"/>
        </w:rPr>
        <w:t>Taatjes</w:t>
      </w:r>
      <w:proofErr w:type="spellEnd"/>
      <w:r w:rsidRPr="00A23A24">
        <w:rPr>
          <w:color w:val="auto"/>
          <w:szCs w:val="24"/>
        </w:rPr>
        <w:t xml:space="preserve">, C. A., </w:t>
      </w:r>
      <w:proofErr w:type="spellStart"/>
      <w:r w:rsidRPr="00A23A24">
        <w:rPr>
          <w:color w:val="auto"/>
          <w:szCs w:val="24"/>
        </w:rPr>
        <w:t>Welz</w:t>
      </w:r>
      <w:proofErr w:type="spellEnd"/>
      <w:r w:rsidRPr="00A23A24">
        <w:rPr>
          <w:color w:val="auto"/>
          <w:szCs w:val="24"/>
        </w:rPr>
        <w:t xml:space="preserve">, </w:t>
      </w:r>
      <w:r w:rsidR="00306D8A">
        <w:rPr>
          <w:color w:val="auto"/>
          <w:szCs w:val="24"/>
        </w:rPr>
        <w:t>O</w:t>
      </w:r>
      <w:r w:rsidRPr="00A23A24">
        <w:rPr>
          <w:color w:val="auto"/>
          <w:szCs w:val="24"/>
        </w:rPr>
        <w:t xml:space="preserve">.; </w:t>
      </w:r>
      <w:proofErr w:type="spellStart"/>
      <w:r w:rsidRPr="00A23A24">
        <w:rPr>
          <w:color w:val="auto"/>
          <w:szCs w:val="24"/>
        </w:rPr>
        <w:t>Eskola</w:t>
      </w:r>
      <w:proofErr w:type="spellEnd"/>
      <w:r w:rsidRPr="00A23A24">
        <w:rPr>
          <w:color w:val="auto"/>
          <w:szCs w:val="24"/>
        </w:rPr>
        <w:t xml:space="preserve">, A. J., </w:t>
      </w:r>
      <w:proofErr w:type="spellStart"/>
      <w:r w:rsidRPr="00A23A24">
        <w:rPr>
          <w:color w:val="auto"/>
          <w:szCs w:val="24"/>
        </w:rPr>
        <w:t>Savee</w:t>
      </w:r>
      <w:proofErr w:type="spellEnd"/>
      <w:r w:rsidRPr="00A23A24">
        <w:rPr>
          <w:color w:val="auto"/>
          <w:szCs w:val="24"/>
        </w:rPr>
        <w:t xml:space="preserve">, J. D., Scheer, A. M., Shallcross, D. E., </w:t>
      </w:r>
      <w:proofErr w:type="spellStart"/>
      <w:r w:rsidRPr="00A23A24">
        <w:rPr>
          <w:color w:val="auto"/>
          <w:szCs w:val="24"/>
        </w:rPr>
        <w:t>Rotavera</w:t>
      </w:r>
      <w:proofErr w:type="spellEnd"/>
      <w:r w:rsidRPr="00A23A24">
        <w:rPr>
          <w:color w:val="auto"/>
          <w:szCs w:val="24"/>
        </w:rPr>
        <w:t xml:space="preserve">, B., Lee, E. P. F., Dyke, J. M., </w:t>
      </w:r>
      <w:proofErr w:type="spellStart"/>
      <w:r w:rsidRPr="00A23A24">
        <w:rPr>
          <w:color w:val="auto"/>
          <w:szCs w:val="24"/>
        </w:rPr>
        <w:t>Mok</w:t>
      </w:r>
      <w:proofErr w:type="spellEnd"/>
      <w:r w:rsidRPr="00A23A24">
        <w:rPr>
          <w:color w:val="auto"/>
          <w:szCs w:val="24"/>
        </w:rPr>
        <w:t>, D. K. W., Osborn, D. L., and Percival, C. J.: Science, 340, 171, 2013.</w:t>
      </w:r>
    </w:p>
    <w:p w14:paraId="19E2C46B" w14:textId="77777777" w:rsidR="00EE7513" w:rsidRPr="00A23A24" w:rsidRDefault="00EE7513" w:rsidP="00EA56B3">
      <w:pPr>
        <w:tabs>
          <w:tab w:val="center" w:pos="4680"/>
        </w:tabs>
        <w:ind w:left="289" w:hanging="289"/>
        <w:jc w:val="both"/>
        <w:rPr>
          <w:color w:val="auto"/>
          <w:szCs w:val="24"/>
        </w:rPr>
      </w:pPr>
      <w:proofErr w:type="spellStart"/>
      <w:r w:rsidRPr="00B36D57">
        <w:rPr>
          <w:color w:val="auto"/>
          <w:szCs w:val="24"/>
        </w:rPr>
        <w:t>Welz</w:t>
      </w:r>
      <w:proofErr w:type="spellEnd"/>
      <w:r w:rsidRPr="00B36D57">
        <w:rPr>
          <w:color w:val="auto"/>
          <w:szCs w:val="24"/>
        </w:rPr>
        <w:t xml:space="preserve">, O, </w:t>
      </w:r>
      <w:proofErr w:type="spellStart"/>
      <w:r w:rsidRPr="00B36D57">
        <w:rPr>
          <w:color w:val="auto"/>
          <w:szCs w:val="24"/>
        </w:rPr>
        <w:t>Savee</w:t>
      </w:r>
      <w:proofErr w:type="spellEnd"/>
      <w:r w:rsidRPr="00B36D57">
        <w:rPr>
          <w:color w:val="auto"/>
          <w:szCs w:val="24"/>
        </w:rPr>
        <w:t xml:space="preserve">, J. D. Osborn, D. L., Vasu, S. S., Percival, C. J., Shallcross, D. E. and </w:t>
      </w:r>
      <w:proofErr w:type="spellStart"/>
      <w:r w:rsidRPr="00B36D57">
        <w:rPr>
          <w:color w:val="auto"/>
          <w:szCs w:val="24"/>
        </w:rPr>
        <w:t>Taatjes</w:t>
      </w:r>
      <w:proofErr w:type="spellEnd"/>
      <w:r w:rsidRPr="00B36D57">
        <w:rPr>
          <w:color w:val="auto"/>
          <w:szCs w:val="24"/>
        </w:rPr>
        <w:t>, C. A.:</w:t>
      </w:r>
      <w:r w:rsidRPr="0085481F">
        <w:rPr>
          <w:color w:val="auto"/>
          <w:szCs w:val="24"/>
        </w:rPr>
        <w:t xml:space="preserve"> Science, </w:t>
      </w:r>
      <w:r w:rsidRPr="00CA56DB">
        <w:rPr>
          <w:color w:val="auto"/>
          <w:szCs w:val="24"/>
        </w:rPr>
        <w:t>335</w:t>
      </w:r>
      <w:r w:rsidRPr="0085481F">
        <w:rPr>
          <w:color w:val="auto"/>
          <w:szCs w:val="24"/>
        </w:rPr>
        <w:t>, 204, 2012</w:t>
      </w:r>
      <w:r>
        <w:rPr>
          <w:color w:val="auto"/>
          <w:szCs w:val="24"/>
        </w:rPr>
        <w:t>.</w:t>
      </w:r>
    </w:p>
    <w:p w14:paraId="2B95EC87" w14:textId="77777777" w:rsidR="00BF21AB" w:rsidRDefault="00BF21AB" w:rsidP="00B32805">
      <w:pPr>
        <w:widowControl w:val="0"/>
        <w:jc w:val="both"/>
      </w:pPr>
    </w:p>
    <w:p w14:paraId="319FBE9A" w14:textId="77777777" w:rsidR="00065255" w:rsidRDefault="00065255" w:rsidP="00065255">
      <w:pPr>
        <w:tabs>
          <w:tab w:val="center" w:pos="4680"/>
        </w:tabs>
        <w:ind w:right="-63"/>
        <w:jc w:val="both"/>
        <w:rPr>
          <w:color w:val="auto"/>
          <w:szCs w:val="24"/>
        </w:rPr>
      </w:pPr>
      <w:r w:rsidRPr="00A23A24">
        <w:rPr>
          <w:color w:val="auto"/>
          <w:szCs w:val="24"/>
        </w:rPr>
        <w:t xml:space="preserve"> </w:t>
      </w:r>
    </w:p>
    <w:p w14:paraId="585FDF54" w14:textId="77777777" w:rsidR="001668B9" w:rsidRDefault="001668B9" w:rsidP="00065255">
      <w:pPr>
        <w:tabs>
          <w:tab w:val="center" w:pos="4680"/>
        </w:tabs>
        <w:ind w:right="-63"/>
        <w:jc w:val="both"/>
        <w:rPr>
          <w:color w:val="auto"/>
          <w:szCs w:val="24"/>
        </w:rPr>
      </w:pPr>
    </w:p>
    <w:p w14:paraId="71077AFF" w14:textId="77777777" w:rsidR="001668B9" w:rsidRDefault="001668B9" w:rsidP="00065255">
      <w:pPr>
        <w:tabs>
          <w:tab w:val="center" w:pos="4680"/>
        </w:tabs>
        <w:ind w:right="-63"/>
        <w:jc w:val="both"/>
        <w:rPr>
          <w:color w:val="auto"/>
          <w:szCs w:val="24"/>
        </w:rPr>
      </w:pPr>
    </w:p>
    <w:p w14:paraId="47066E8A" w14:textId="77777777" w:rsidR="001668B9" w:rsidRDefault="001668B9" w:rsidP="00065255">
      <w:pPr>
        <w:tabs>
          <w:tab w:val="center" w:pos="4680"/>
        </w:tabs>
        <w:ind w:right="-63"/>
        <w:jc w:val="both"/>
        <w:rPr>
          <w:color w:val="auto"/>
          <w:szCs w:val="24"/>
        </w:rPr>
      </w:pPr>
    </w:p>
    <w:p w14:paraId="5CCB7F2B" w14:textId="77777777" w:rsidR="001668B9" w:rsidRPr="00A23A24" w:rsidRDefault="001668B9" w:rsidP="00065255">
      <w:pPr>
        <w:tabs>
          <w:tab w:val="center" w:pos="4680"/>
        </w:tabs>
        <w:ind w:right="-63"/>
        <w:jc w:val="both"/>
        <w:rPr>
          <w:color w:val="auto"/>
          <w:szCs w:val="24"/>
        </w:rPr>
      </w:pPr>
    </w:p>
    <w:p w14:paraId="05DA8910" w14:textId="77777777" w:rsidR="00180A4F" w:rsidRPr="00A23A24" w:rsidRDefault="00180A4F" w:rsidP="00A23A24">
      <w:pPr>
        <w:tabs>
          <w:tab w:val="center" w:pos="4680"/>
        </w:tabs>
        <w:ind w:right="-63"/>
        <w:jc w:val="both"/>
        <w:rPr>
          <w:color w:val="auto"/>
          <w:szCs w:val="24"/>
        </w:rPr>
      </w:pPr>
    </w:p>
    <w:p w14:paraId="2BC8E8A1" w14:textId="77777777" w:rsidR="00CC6651" w:rsidRDefault="00CC6651" w:rsidP="00A23A24">
      <w:pPr>
        <w:tabs>
          <w:tab w:val="center" w:pos="4680"/>
        </w:tabs>
        <w:ind w:right="-63"/>
        <w:jc w:val="both"/>
        <w:rPr>
          <w:color w:val="auto"/>
          <w:szCs w:val="24"/>
        </w:rPr>
      </w:pPr>
    </w:p>
    <w:sectPr w:rsidR="00CC6651">
      <w:footerReference w:type="default" r:id="rId9"/>
      <w:footerReference w:type="first" r:id="rId10"/>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08FC4" w14:textId="77777777" w:rsidR="00145CCF" w:rsidRDefault="00145CCF">
      <w:r>
        <w:separator/>
      </w:r>
    </w:p>
  </w:endnote>
  <w:endnote w:type="continuationSeparator" w:id="0">
    <w:p w14:paraId="30133AA7" w14:textId="77777777" w:rsidR="00145CCF" w:rsidRDefault="0014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MS Gothic"/>
    <w:charset w:val="80"/>
    <w:family w:val="auto"/>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364b11">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83D1" w14:textId="77777777" w:rsidR="00667891" w:rsidRDefault="00667891">
    <w:pPr>
      <w:pStyle w:val="Footer"/>
    </w:pPr>
    <w:r>
      <w:pict w14:anchorId="6067A46F">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inset="0,0,0,0">
            <w:txbxContent>
              <w:p w14:paraId="031C30D6" w14:textId="77777777"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9B471B">
                  <w:rPr>
                    <w:rStyle w:val="PageNumber"/>
                    <w:noProof/>
                  </w:rPr>
                  <w:t>3</w:t>
                </w:r>
                <w:r>
                  <w:rPr>
                    <w:rStyle w:val="PageNumber"/>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8170" w14:textId="77777777" w:rsidR="00667891" w:rsidRDefault="0066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D139A" w14:textId="77777777" w:rsidR="00145CCF" w:rsidRDefault="00145CCF">
      <w:r>
        <w:separator/>
      </w:r>
    </w:p>
  </w:footnote>
  <w:footnote w:type="continuationSeparator" w:id="0">
    <w:p w14:paraId="46B65D6A" w14:textId="77777777" w:rsidR="00145CCF" w:rsidRDefault="00145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307"/>
    <w:rsid w:val="00015D46"/>
    <w:rsid w:val="00025707"/>
    <w:rsid w:val="00026185"/>
    <w:rsid w:val="00046F46"/>
    <w:rsid w:val="0004713D"/>
    <w:rsid w:val="00051639"/>
    <w:rsid w:val="00057B6C"/>
    <w:rsid w:val="00060F84"/>
    <w:rsid w:val="00065255"/>
    <w:rsid w:val="000657B0"/>
    <w:rsid w:val="00067037"/>
    <w:rsid w:val="00073E26"/>
    <w:rsid w:val="00082371"/>
    <w:rsid w:val="00083A9E"/>
    <w:rsid w:val="00087559"/>
    <w:rsid w:val="000917D3"/>
    <w:rsid w:val="000A5DB0"/>
    <w:rsid w:val="000A755B"/>
    <w:rsid w:val="000B1E91"/>
    <w:rsid w:val="000B4DB6"/>
    <w:rsid w:val="000C6109"/>
    <w:rsid w:val="000D5266"/>
    <w:rsid w:val="000E4DF3"/>
    <w:rsid w:val="000F5647"/>
    <w:rsid w:val="00103BFE"/>
    <w:rsid w:val="00110DA2"/>
    <w:rsid w:val="00120939"/>
    <w:rsid w:val="00127FA2"/>
    <w:rsid w:val="00145CCF"/>
    <w:rsid w:val="00160DFA"/>
    <w:rsid w:val="00165737"/>
    <w:rsid w:val="001668B9"/>
    <w:rsid w:val="00171657"/>
    <w:rsid w:val="00180A4F"/>
    <w:rsid w:val="00187FB3"/>
    <w:rsid w:val="0019689A"/>
    <w:rsid w:val="00196AE4"/>
    <w:rsid w:val="001B11F8"/>
    <w:rsid w:val="001C756F"/>
    <w:rsid w:val="001E3362"/>
    <w:rsid w:val="001F4575"/>
    <w:rsid w:val="00217DE8"/>
    <w:rsid w:val="00230EA1"/>
    <w:rsid w:val="0024296A"/>
    <w:rsid w:val="00257C1E"/>
    <w:rsid w:val="00263004"/>
    <w:rsid w:val="00276CE1"/>
    <w:rsid w:val="0027752A"/>
    <w:rsid w:val="00286AEC"/>
    <w:rsid w:val="00296D05"/>
    <w:rsid w:val="002A3239"/>
    <w:rsid w:val="002B748A"/>
    <w:rsid w:val="002B76A5"/>
    <w:rsid w:val="002D26FD"/>
    <w:rsid w:val="002D4F64"/>
    <w:rsid w:val="002F7BF3"/>
    <w:rsid w:val="00306520"/>
    <w:rsid w:val="00306D8A"/>
    <w:rsid w:val="003738B3"/>
    <w:rsid w:val="003738E0"/>
    <w:rsid w:val="00374307"/>
    <w:rsid w:val="00381D92"/>
    <w:rsid w:val="00393157"/>
    <w:rsid w:val="003964D0"/>
    <w:rsid w:val="003A56C9"/>
    <w:rsid w:val="003B2E4A"/>
    <w:rsid w:val="003B61AE"/>
    <w:rsid w:val="003C25D8"/>
    <w:rsid w:val="003E0DEE"/>
    <w:rsid w:val="003F4552"/>
    <w:rsid w:val="00400E22"/>
    <w:rsid w:val="00421A61"/>
    <w:rsid w:val="0044732A"/>
    <w:rsid w:val="0044764F"/>
    <w:rsid w:val="004478AE"/>
    <w:rsid w:val="00467310"/>
    <w:rsid w:val="004708CA"/>
    <w:rsid w:val="004A38CD"/>
    <w:rsid w:val="004B43B1"/>
    <w:rsid w:val="004E7933"/>
    <w:rsid w:val="004F00DE"/>
    <w:rsid w:val="00506C23"/>
    <w:rsid w:val="00510981"/>
    <w:rsid w:val="00525C80"/>
    <w:rsid w:val="0052659C"/>
    <w:rsid w:val="00543848"/>
    <w:rsid w:val="00544596"/>
    <w:rsid w:val="005532D9"/>
    <w:rsid w:val="00556248"/>
    <w:rsid w:val="00581FF4"/>
    <w:rsid w:val="00583EB1"/>
    <w:rsid w:val="0058473E"/>
    <w:rsid w:val="00596CF6"/>
    <w:rsid w:val="00597285"/>
    <w:rsid w:val="005C5BC3"/>
    <w:rsid w:val="005D0E90"/>
    <w:rsid w:val="005F30D4"/>
    <w:rsid w:val="005F39DB"/>
    <w:rsid w:val="005F7772"/>
    <w:rsid w:val="00600576"/>
    <w:rsid w:val="00605352"/>
    <w:rsid w:val="00613499"/>
    <w:rsid w:val="00617DFA"/>
    <w:rsid w:val="00620CB0"/>
    <w:rsid w:val="00625295"/>
    <w:rsid w:val="0063486F"/>
    <w:rsid w:val="00637C26"/>
    <w:rsid w:val="00643BD9"/>
    <w:rsid w:val="00650C5B"/>
    <w:rsid w:val="006622D2"/>
    <w:rsid w:val="00667891"/>
    <w:rsid w:val="00693EC7"/>
    <w:rsid w:val="006B6047"/>
    <w:rsid w:val="006C308C"/>
    <w:rsid w:val="006C6D5A"/>
    <w:rsid w:val="006F09CD"/>
    <w:rsid w:val="006F79CA"/>
    <w:rsid w:val="007021EF"/>
    <w:rsid w:val="00705785"/>
    <w:rsid w:val="00710798"/>
    <w:rsid w:val="00713905"/>
    <w:rsid w:val="00722811"/>
    <w:rsid w:val="00743D70"/>
    <w:rsid w:val="00754BAA"/>
    <w:rsid w:val="007565E5"/>
    <w:rsid w:val="00773C03"/>
    <w:rsid w:val="00773E84"/>
    <w:rsid w:val="00777B41"/>
    <w:rsid w:val="00781270"/>
    <w:rsid w:val="00787030"/>
    <w:rsid w:val="007A13AB"/>
    <w:rsid w:val="007A14B0"/>
    <w:rsid w:val="007A2AFA"/>
    <w:rsid w:val="007A33FE"/>
    <w:rsid w:val="007B0EF5"/>
    <w:rsid w:val="007B5080"/>
    <w:rsid w:val="007C17E7"/>
    <w:rsid w:val="007D12BB"/>
    <w:rsid w:val="007F4289"/>
    <w:rsid w:val="007F6A59"/>
    <w:rsid w:val="0081330F"/>
    <w:rsid w:val="00837596"/>
    <w:rsid w:val="008401F1"/>
    <w:rsid w:val="00841802"/>
    <w:rsid w:val="0085481F"/>
    <w:rsid w:val="008605B7"/>
    <w:rsid w:val="00887324"/>
    <w:rsid w:val="00891DF2"/>
    <w:rsid w:val="00894283"/>
    <w:rsid w:val="008B02B0"/>
    <w:rsid w:val="008B3D0F"/>
    <w:rsid w:val="008B68B1"/>
    <w:rsid w:val="008D1E2D"/>
    <w:rsid w:val="008E4057"/>
    <w:rsid w:val="008E758B"/>
    <w:rsid w:val="008F151A"/>
    <w:rsid w:val="00901906"/>
    <w:rsid w:val="00906C25"/>
    <w:rsid w:val="00925059"/>
    <w:rsid w:val="00937BE5"/>
    <w:rsid w:val="00940D3A"/>
    <w:rsid w:val="00945495"/>
    <w:rsid w:val="00953031"/>
    <w:rsid w:val="0095622F"/>
    <w:rsid w:val="0096098F"/>
    <w:rsid w:val="00963CC7"/>
    <w:rsid w:val="0097195D"/>
    <w:rsid w:val="00976095"/>
    <w:rsid w:val="00983C0D"/>
    <w:rsid w:val="00994621"/>
    <w:rsid w:val="009B012C"/>
    <w:rsid w:val="009B1A6B"/>
    <w:rsid w:val="009B471B"/>
    <w:rsid w:val="009C4577"/>
    <w:rsid w:val="009C4C6F"/>
    <w:rsid w:val="009C550E"/>
    <w:rsid w:val="009E304E"/>
    <w:rsid w:val="009F3A27"/>
    <w:rsid w:val="009F4230"/>
    <w:rsid w:val="00A05D44"/>
    <w:rsid w:val="00A11E5E"/>
    <w:rsid w:val="00A147A6"/>
    <w:rsid w:val="00A23A24"/>
    <w:rsid w:val="00A339FB"/>
    <w:rsid w:val="00A34B0D"/>
    <w:rsid w:val="00A373C7"/>
    <w:rsid w:val="00A373FD"/>
    <w:rsid w:val="00A41573"/>
    <w:rsid w:val="00A443AE"/>
    <w:rsid w:val="00A476C8"/>
    <w:rsid w:val="00A52A57"/>
    <w:rsid w:val="00A5312B"/>
    <w:rsid w:val="00A54391"/>
    <w:rsid w:val="00A606B7"/>
    <w:rsid w:val="00A74A04"/>
    <w:rsid w:val="00A74DF0"/>
    <w:rsid w:val="00A914B7"/>
    <w:rsid w:val="00AB6337"/>
    <w:rsid w:val="00AC42C9"/>
    <w:rsid w:val="00AC6019"/>
    <w:rsid w:val="00AC70C1"/>
    <w:rsid w:val="00AD3393"/>
    <w:rsid w:val="00AE45BB"/>
    <w:rsid w:val="00AE657F"/>
    <w:rsid w:val="00AF48D7"/>
    <w:rsid w:val="00AF66F9"/>
    <w:rsid w:val="00B071AB"/>
    <w:rsid w:val="00B11AA9"/>
    <w:rsid w:val="00B13DC2"/>
    <w:rsid w:val="00B205D2"/>
    <w:rsid w:val="00B24156"/>
    <w:rsid w:val="00B31BF6"/>
    <w:rsid w:val="00B32805"/>
    <w:rsid w:val="00B36F17"/>
    <w:rsid w:val="00B4430F"/>
    <w:rsid w:val="00B50B73"/>
    <w:rsid w:val="00B57759"/>
    <w:rsid w:val="00B614F5"/>
    <w:rsid w:val="00B615E9"/>
    <w:rsid w:val="00B84FD2"/>
    <w:rsid w:val="00B94850"/>
    <w:rsid w:val="00BD2342"/>
    <w:rsid w:val="00BF03C1"/>
    <w:rsid w:val="00BF04CF"/>
    <w:rsid w:val="00BF21AB"/>
    <w:rsid w:val="00C000CE"/>
    <w:rsid w:val="00C018D6"/>
    <w:rsid w:val="00C1673C"/>
    <w:rsid w:val="00C22671"/>
    <w:rsid w:val="00C2431D"/>
    <w:rsid w:val="00C276C1"/>
    <w:rsid w:val="00C501D5"/>
    <w:rsid w:val="00C5353A"/>
    <w:rsid w:val="00C56B1B"/>
    <w:rsid w:val="00C676E9"/>
    <w:rsid w:val="00C730A2"/>
    <w:rsid w:val="00C77266"/>
    <w:rsid w:val="00C90753"/>
    <w:rsid w:val="00C92608"/>
    <w:rsid w:val="00CA56DB"/>
    <w:rsid w:val="00CA5CE1"/>
    <w:rsid w:val="00CA6630"/>
    <w:rsid w:val="00CA69DA"/>
    <w:rsid w:val="00CC6651"/>
    <w:rsid w:val="00CF19DD"/>
    <w:rsid w:val="00D0777C"/>
    <w:rsid w:val="00D309AC"/>
    <w:rsid w:val="00D50BCE"/>
    <w:rsid w:val="00D60876"/>
    <w:rsid w:val="00D72280"/>
    <w:rsid w:val="00D72727"/>
    <w:rsid w:val="00D753B9"/>
    <w:rsid w:val="00D76EA6"/>
    <w:rsid w:val="00D83945"/>
    <w:rsid w:val="00D851E9"/>
    <w:rsid w:val="00D85296"/>
    <w:rsid w:val="00D8581C"/>
    <w:rsid w:val="00DA43A2"/>
    <w:rsid w:val="00DA5A6E"/>
    <w:rsid w:val="00DC174E"/>
    <w:rsid w:val="00DC1D99"/>
    <w:rsid w:val="00DC219A"/>
    <w:rsid w:val="00DC5A70"/>
    <w:rsid w:val="00DC5F36"/>
    <w:rsid w:val="00DF0DBB"/>
    <w:rsid w:val="00DF5AAC"/>
    <w:rsid w:val="00E3651F"/>
    <w:rsid w:val="00E4656A"/>
    <w:rsid w:val="00E656B1"/>
    <w:rsid w:val="00E81FFB"/>
    <w:rsid w:val="00E82CEC"/>
    <w:rsid w:val="00EA5447"/>
    <w:rsid w:val="00EA56B3"/>
    <w:rsid w:val="00EB3BD8"/>
    <w:rsid w:val="00EC3729"/>
    <w:rsid w:val="00ED24D0"/>
    <w:rsid w:val="00ED36D6"/>
    <w:rsid w:val="00ED5945"/>
    <w:rsid w:val="00EE7513"/>
    <w:rsid w:val="00EF55BF"/>
    <w:rsid w:val="00F16E4A"/>
    <w:rsid w:val="00F340B1"/>
    <w:rsid w:val="00F51E40"/>
    <w:rsid w:val="00F540D9"/>
    <w:rsid w:val="00F649C4"/>
    <w:rsid w:val="00F724B2"/>
    <w:rsid w:val="00F81A6C"/>
    <w:rsid w:val="00F81A75"/>
    <w:rsid w:val="00F920DF"/>
    <w:rsid w:val="00FB2707"/>
    <w:rsid w:val="00FB2B0A"/>
    <w:rsid w:val="00FB54ED"/>
    <w:rsid w:val="00FC4666"/>
    <w:rsid w:val="00FC7D11"/>
    <w:rsid w:val="00FD2AD1"/>
    <w:rsid w:val="00FD4F17"/>
    <w:rsid w:val="00FE162E"/>
    <w:rsid w:val="00FE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C5FAC2A"/>
  <w15:chartTrackingRefBased/>
  <w15:docId w15:val="{358D075F-D537-4827-9C24-4EFF465D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szCs w:val="24"/>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 w:type="character" w:styleId="SubtleEmphasis">
    <w:name w:val="Subtle Emphasis"/>
    <w:uiPriority w:val="19"/>
    <w:qFormat/>
    <w:rsid w:val="0046731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pac.pole-eth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6181-75EE-4211-95AA-2E068CE6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CGI_20</vt:lpstr>
    </vt:vector>
  </TitlesOfParts>
  <Company/>
  <LinksUpToDate>false</LinksUpToDate>
  <CharactersWithSpaces>3619</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CGI_20</dc:title>
  <dc:subject/>
  <dc:creator>Janet Arey</dc:creator>
  <cp:keywords/>
  <cp:lastModifiedBy>Mike</cp:lastModifiedBy>
  <cp:revision>2</cp:revision>
  <cp:lastPrinted>2020-05-11T09:37:00Z</cp:lastPrinted>
  <dcterms:created xsi:type="dcterms:W3CDTF">2020-05-11T09:37:00Z</dcterms:created>
  <dcterms:modified xsi:type="dcterms:W3CDTF">2020-05-11T09:37:00Z</dcterms:modified>
</cp:coreProperties>
</file>