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3107BBA" w14:textId="77777777" w:rsidR="00083A9E" w:rsidRPr="00643BD9" w:rsidRDefault="00083A9E" w:rsidP="00083A9E">
      <w:pPr>
        <w:pStyle w:val="BodyTextIndent"/>
        <w:ind w:left="0"/>
        <w:rPr>
          <w:szCs w:val="24"/>
        </w:rPr>
      </w:pPr>
      <w:r w:rsidRPr="00643BD9">
        <w:rPr>
          <w:b/>
          <w:szCs w:val="24"/>
        </w:rPr>
        <w:t xml:space="preserve">IUPAC Task Group on Atmospheric Chemical Kinetic Data Evaluation – Data Sheet </w:t>
      </w:r>
      <w:r w:rsidR="00643BD9" w:rsidRPr="00643BD9">
        <w:rPr>
          <w:b/>
          <w:szCs w:val="24"/>
        </w:rPr>
        <w:t>CGI</w:t>
      </w:r>
      <w:r w:rsidRPr="00643BD9">
        <w:rPr>
          <w:b/>
          <w:szCs w:val="24"/>
        </w:rPr>
        <w:t>_</w:t>
      </w:r>
      <w:r w:rsidR="00A914B7" w:rsidRPr="00643BD9">
        <w:rPr>
          <w:b/>
          <w:szCs w:val="24"/>
        </w:rPr>
        <w:t>1</w:t>
      </w:r>
    </w:p>
    <w:p w14:paraId="6A677106" w14:textId="77777777" w:rsidR="00083A9E" w:rsidRDefault="00083A9E" w:rsidP="00083A9E">
      <w:pPr>
        <w:ind w:right="680"/>
        <w:jc w:val="both"/>
        <w:rPr>
          <w:szCs w:val="24"/>
        </w:rPr>
      </w:pPr>
      <w:r>
        <w:rPr>
          <w:szCs w:val="24"/>
        </w:rPr>
        <w:t>Datasheets can be downloaded for personal use only and must not be retransmitted or disseminated either electronically or in hardcopy without explicit written permission. The citation for this data sheet is: IUPAC Task Group on Atmospheric Chemical Kinetic Data Evaluation, (</w:t>
      </w:r>
      <w:hyperlink r:id="rId8" w:history="1">
        <w:r>
          <w:rPr>
            <w:rStyle w:val="Hyperlink"/>
            <w:szCs w:val="24"/>
          </w:rPr>
          <w:t>http://iupac.pole-ether.fr</w:t>
        </w:r>
      </w:hyperlink>
      <w:r>
        <w:rPr>
          <w:szCs w:val="24"/>
        </w:rPr>
        <w:t xml:space="preserve">). </w:t>
      </w:r>
    </w:p>
    <w:p w14:paraId="1D67E6F2" w14:textId="39F8B2AA" w:rsidR="00083A9E" w:rsidRDefault="00083A9E" w:rsidP="00083A9E">
      <w:pPr>
        <w:ind w:right="525"/>
        <w:jc w:val="both"/>
      </w:pPr>
      <w:r>
        <w:rPr>
          <w:szCs w:val="24"/>
        </w:rPr>
        <w:t xml:space="preserve">This datasheet last evaluated: </w:t>
      </w:r>
      <w:r w:rsidR="00A71470">
        <w:rPr>
          <w:szCs w:val="24"/>
        </w:rPr>
        <w:t>May</w:t>
      </w:r>
      <w:r w:rsidR="00A71470">
        <w:rPr>
          <w:szCs w:val="24"/>
        </w:rPr>
        <w:t xml:space="preserve"> </w:t>
      </w:r>
      <w:r w:rsidR="00CB7702">
        <w:rPr>
          <w:szCs w:val="24"/>
        </w:rPr>
        <w:t>2020</w:t>
      </w:r>
      <w:r>
        <w:rPr>
          <w:szCs w:val="24"/>
        </w:rPr>
        <w:t xml:space="preserve">; last change in preferred values: </w:t>
      </w:r>
      <w:r w:rsidR="00A71470">
        <w:rPr>
          <w:szCs w:val="24"/>
        </w:rPr>
        <w:t>May 2020</w:t>
      </w:r>
    </w:p>
    <w:p w14:paraId="36139DBE" w14:textId="77777777" w:rsidR="00667891" w:rsidRDefault="00667891">
      <w:pPr>
        <w:ind w:right="332"/>
      </w:pPr>
      <w:r>
        <w:pict w14:anchorId="6452C522">
          <v:line id="_x0000_s1026" style="position:absolute;z-index:1" from="-67.05pt,11.4pt" to="528.2pt,11.4pt" strokeweight=".26mm">
            <v:stroke joinstyle="miter" endcap="square"/>
          </v:line>
        </w:pict>
      </w:r>
    </w:p>
    <w:p w14:paraId="299754F9" w14:textId="77777777" w:rsidR="00667891" w:rsidRDefault="00667891">
      <w:pPr>
        <w:tabs>
          <w:tab w:val="center" w:pos="4680"/>
        </w:tabs>
        <w:jc w:val="center"/>
      </w:pPr>
    </w:p>
    <w:p w14:paraId="2DA38ADB" w14:textId="77777777" w:rsidR="00083A9E" w:rsidRPr="001D3940" w:rsidRDefault="00643BD9" w:rsidP="00083A9E">
      <w:pPr>
        <w:tabs>
          <w:tab w:val="center" w:pos="4680"/>
        </w:tabs>
        <w:jc w:val="center"/>
        <w:rPr>
          <w:color w:val="auto"/>
        </w:rPr>
      </w:pPr>
      <w:r>
        <w:rPr>
          <w:b/>
        </w:rPr>
        <w:t>CH</w:t>
      </w:r>
      <w:r>
        <w:rPr>
          <w:b/>
          <w:vertAlign w:val="subscript"/>
        </w:rPr>
        <w:t>2</w:t>
      </w:r>
      <w:r>
        <w:rPr>
          <w:b/>
        </w:rPr>
        <w:t>OO + SO</w:t>
      </w:r>
      <w:r>
        <w:rPr>
          <w:b/>
          <w:vertAlign w:val="subscript"/>
        </w:rPr>
        <w:t>2</w:t>
      </w:r>
      <w:r>
        <w:rPr>
          <w:b/>
        </w:rPr>
        <w:t xml:space="preserve"> </w:t>
      </w:r>
      <w:r>
        <w:rPr>
          <w:b/>
        </w:rPr>
        <w:sym w:font="Symbol" w:char="F0AE"/>
      </w:r>
      <w:r>
        <w:rPr>
          <w:b/>
        </w:rPr>
        <w:t xml:space="preserve"> </w:t>
      </w:r>
      <w:r w:rsidR="006610AF">
        <w:rPr>
          <w:b/>
        </w:rPr>
        <w:t>products</w:t>
      </w:r>
    </w:p>
    <w:p w14:paraId="7612C873" w14:textId="77777777" w:rsidR="00083A9E" w:rsidRPr="001D3940" w:rsidRDefault="00083A9E" w:rsidP="00083A9E">
      <w:pPr>
        <w:tabs>
          <w:tab w:val="left" w:pos="-1440"/>
          <w:tab w:val="left" w:pos="-720"/>
          <w:tab w:val="left" w:pos="288"/>
        </w:tabs>
        <w:jc w:val="both"/>
        <w:rPr>
          <w:color w:val="auto"/>
        </w:rPr>
      </w:pPr>
    </w:p>
    <w:p w14:paraId="49A0DC43" w14:textId="77777777" w:rsidR="00083A9E" w:rsidRPr="001D3940" w:rsidRDefault="00083A9E" w:rsidP="00083A9E">
      <w:pPr>
        <w:pStyle w:val="Heading2"/>
        <w:rPr>
          <w:color w:val="auto"/>
        </w:rPr>
      </w:pPr>
      <w:r w:rsidRPr="001D3940">
        <w:rPr>
          <w:rFonts w:ascii="Times New Roman" w:hAnsi="Times New Roman" w:cs="Times New Roman"/>
          <w:color w:val="auto"/>
        </w:rPr>
        <w:t>Rate coefficient data</w:t>
      </w:r>
    </w:p>
    <w:p w14:paraId="3B2ED32D" w14:textId="77777777" w:rsidR="00083A9E" w:rsidRPr="001D3940" w:rsidRDefault="00083A9E" w:rsidP="00083A9E">
      <w:pPr>
        <w:tabs>
          <w:tab w:val="center" w:pos="4680"/>
        </w:tabs>
        <w:jc w:val="both"/>
        <w:rPr>
          <w:b/>
          <w:color w:val="auto"/>
        </w:rPr>
      </w:pPr>
    </w:p>
    <w:tbl>
      <w:tblPr>
        <w:tblW w:w="0" w:type="auto"/>
        <w:tblInd w:w="578" w:type="dxa"/>
        <w:tblLayout w:type="fixed"/>
        <w:tblLook w:val="0000" w:firstRow="0" w:lastRow="0" w:firstColumn="0" w:lastColumn="0" w:noHBand="0" w:noVBand="0"/>
      </w:tblPr>
      <w:tblGrid>
        <w:gridCol w:w="3074"/>
        <w:gridCol w:w="992"/>
        <w:gridCol w:w="142"/>
        <w:gridCol w:w="142"/>
        <w:gridCol w:w="2410"/>
        <w:gridCol w:w="141"/>
        <w:gridCol w:w="1985"/>
        <w:gridCol w:w="121"/>
      </w:tblGrid>
      <w:tr w:rsidR="00083A9E" w:rsidRPr="001D3940" w14:paraId="05D2EBDA" w14:textId="77777777" w:rsidTr="00D8581C">
        <w:trPr>
          <w:gridAfter w:val="1"/>
          <w:wAfter w:w="121" w:type="dxa"/>
        </w:trPr>
        <w:tc>
          <w:tcPr>
            <w:tcW w:w="3074" w:type="dxa"/>
            <w:tcBorders>
              <w:top w:val="double" w:sz="1" w:space="0" w:color="000000"/>
              <w:bottom w:val="single" w:sz="4" w:space="0" w:color="000000"/>
            </w:tcBorders>
            <w:shd w:val="clear" w:color="auto" w:fill="auto"/>
          </w:tcPr>
          <w:p w14:paraId="0E684137" w14:textId="77777777" w:rsidR="00083A9E" w:rsidRPr="001D3940" w:rsidRDefault="00083A9E" w:rsidP="00722811">
            <w:pPr>
              <w:tabs>
                <w:tab w:val="center" w:pos="4680"/>
              </w:tabs>
              <w:snapToGrid w:val="0"/>
              <w:spacing w:before="120" w:after="120"/>
              <w:jc w:val="both"/>
              <w:rPr>
                <w:color w:val="auto"/>
                <w:sz w:val="20"/>
              </w:rPr>
            </w:pPr>
            <w:r w:rsidRPr="001D3940">
              <w:rPr>
                <w:i/>
                <w:color w:val="auto"/>
                <w:sz w:val="20"/>
              </w:rPr>
              <w:t>k</w:t>
            </w:r>
            <w:r w:rsidRPr="001D3940">
              <w:rPr>
                <w:color w:val="auto"/>
                <w:sz w:val="20"/>
              </w:rPr>
              <w:t>/cm</w:t>
            </w:r>
            <w:r w:rsidRPr="001D3940">
              <w:rPr>
                <w:color w:val="auto"/>
                <w:sz w:val="20"/>
                <w:vertAlign w:val="superscript"/>
              </w:rPr>
              <w:t>3</w:t>
            </w:r>
            <w:r w:rsidRPr="001D3940">
              <w:rPr>
                <w:color w:val="auto"/>
                <w:sz w:val="20"/>
              </w:rPr>
              <w:t xml:space="preserve"> molecule</w:t>
            </w:r>
            <w:r w:rsidRPr="001D3940">
              <w:rPr>
                <w:color w:val="auto"/>
                <w:sz w:val="20"/>
                <w:vertAlign w:val="superscript"/>
              </w:rPr>
              <w:t>-1</w:t>
            </w:r>
            <w:r w:rsidRPr="001D3940">
              <w:rPr>
                <w:color w:val="auto"/>
                <w:sz w:val="20"/>
              </w:rPr>
              <w:t xml:space="preserve"> s</w:t>
            </w:r>
            <w:r w:rsidRPr="001D3940">
              <w:rPr>
                <w:color w:val="auto"/>
                <w:sz w:val="20"/>
                <w:vertAlign w:val="superscript"/>
              </w:rPr>
              <w:t>-1</w:t>
            </w:r>
          </w:p>
        </w:tc>
        <w:tc>
          <w:tcPr>
            <w:tcW w:w="1276" w:type="dxa"/>
            <w:gridSpan w:val="3"/>
            <w:tcBorders>
              <w:top w:val="double" w:sz="1" w:space="0" w:color="000000"/>
              <w:bottom w:val="single" w:sz="4" w:space="0" w:color="000000"/>
            </w:tcBorders>
            <w:shd w:val="clear" w:color="auto" w:fill="auto"/>
          </w:tcPr>
          <w:p w14:paraId="509A829E" w14:textId="77777777" w:rsidR="00083A9E" w:rsidRPr="001D3940" w:rsidRDefault="00083A9E" w:rsidP="00722811">
            <w:pPr>
              <w:tabs>
                <w:tab w:val="center" w:pos="4680"/>
              </w:tabs>
              <w:snapToGrid w:val="0"/>
              <w:spacing w:before="120" w:after="120"/>
              <w:jc w:val="both"/>
              <w:rPr>
                <w:color w:val="auto"/>
                <w:sz w:val="20"/>
              </w:rPr>
            </w:pPr>
            <w:r w:rsidRPr="001D3940">
              <w:rPr>
                <w:color w:val="auto"/>
                <w:sz w:val="20"/>
              </w:rPr>
              <w:t>Temp./K</w:t>
            </w:r>
          </w:p>
        </w:tc>
        <w:tc>
          <w:tcPr>
            <w:tcW w:w="2551" w:type="dxa"/>
            <w:gridSpan w:val="2"/>
            <w:tcBorders>
              <w:top w:val="double" w:sz="1" w:space="0" w:color="000000"/>
              <w:bottom w:val="single" w:sz="4" w:space="0" w:color="000000"/>
            </w:tcBorders>
            <w:shd w:val="clear" w:color="auto" w:fill="auto"/>
          </w:tcPr>
          <w:p w14:paraId="5291C49C" w14:textId="77777777" w:rsidR="00083A9E" w:rsidRPr="001D3940" w:rsidRDefault="00083A9E" w:rsidP="00722811">
            <w:pPr>
              <w:tabs>
                <w:tab w:val="center" w:pos="4680"/>
              </w:tabs>
              <w:snapToGrid w:val="0"/>
              <w:spacing w:before="120" w:after="120"/>
              <w:jc w:val="both"/>
              <w:rPr>
                <w:color w:val="auto"/>
                <w:sz w:val="20"/>
              </w:rPr>
            </w:pPr>
            <w:r w:rsidRPr="001D3940">
              <w:rPr>
                <w:color w:val="auto"/>
                <w:sz w:val="20"/>
              </w:rPr>
              <w:t>Reference</w:t>
            </w:r>
          </w:p>
        </w:tc>
        <w:tc>
          <w:tcPr>
            <w:tcW w:w="1985" w:type="dxa"/>
            <w:tcBorders>
              <w:top w:val="double" w:sz="1" w:space="0" w:color="000000"/>
              <w:bottom w:val="single" w:sz="4" w:space="0" w:color="000000"/>
            </w:tcBorders>
            <w:shd w:val="clear" w:color="auto" w:fill="auto"/>
          </w:tcPr>
          <w:p w14:paraId="3D306D03" w14:textId="77777777" w:rsidR="00083A9E" w:rsidRPr="001D3940" w:rsidRDefault="00083A9E" w:rsidP="00D8581C">
            <w:pPr>
              <w:tabs>
                <w:tab w:val="center" w:pos="4680"/>
              </w:tabs>
              <w:snapToGrid w:val="0"/>
              <w:spacing w:before="120" w:after="120"/>
              <w:ind w:left="-108"/>
              <w:jc w:val="both"/>
              <w:rPr>
                <w:color w:val="auto"/>
              </w:rPr>
            </w:pPr>
            <w:r w:rsidRPr="001D3940">
              <w:rPr>
                <w:color w:val="auto"/>
                <w:sz w:val="20"/>
              </w:rPr>
              <w:t>Technique/Comments</w:t>
            </w:r>
          </w:p>
        </w:tc>
      </w:tr>
      <w:tr w:rsidR="00083A9E" w:rsidRPr="00CA56DB" w14:paraId="2FC83FF3" w14:textId="77777777" w:rsidTr="00D8581C">
        <w:trPr>
          <w:gridAfter w:val="1"/>
          <w:wAfter w:w="121" w:type="dxa"/>
        </w:trPr>
        <w:tc>
          <w:tcPr>
            <w:tcW w:w="3074" w:type="dxa"/>
            <w:tcBorders>
              <w:top w:val="single" w:sz="4" w:space="0" w:color="000000"/>
            </w:tcBorders>
            <w:shd w:val="clear" w:color="auto" w:fill="auto"/>
          </w:tcPr>
          <w:p w14:paraId="07AEC2EB" w14:textId="77777777" w:rsidR="00083A9E" w:rsidRPr="00713905" w:rsidRDefault="00083A9E" w:rsidP="00713905">
            <w:pPr>
              <w:spacing w:before="120"/>
              <w:rPr>
                <w:i/>
                <w:sz w:val="20"/>
              </w:rPr>
            </w:pPr>
            <w:r w:rsidRPr="00713905">
              <w:rPr>
                <w:i/>
                <w:sz w:val="20"/>
              </w:rPr>
              <w:t>Absolute Rate Coefficients</w:t>
            </w:r>
          </w:p>
        </w:tc>
        <w:tc>
          <w:tcPr>
            <w:tcW w:w="992" w:type="dxa"/>
            <w:tcBorders>
              <w:top w:val="single" w:sz="4" w:space="0" w:color="000000"/>
            </w:tcBorders>
            <w:shd w:val="clear" w:color="auto" w:fill="auto"/>
          </w:tcPr>
          <w:p w14:paraId="5678781A" w14:textId="77777777" w:rsidR="00083A9E" w:rsidRPr="00CA56DB" w:rsidRDefault="00083A9E" w:rsidP="00722811">
            <w:pPr>
              <w:tabs>
                <w:tab w:val="center" w:pos="4680"/>
              </w:tabs>
              <w:snapToGrid w:val="0"/>
              <w:spacing w:before="120"/>
              <w:jc w:val="both"/>
              <w:rPr>
                <w:color w:val="auto"/>
                <w:sz w:val="20"/>
              </w:rPr>
            </w:pPr>
          </w:p>
        </w:tc>
        <w:tc>
          <w:tcPr>
            <w:tcW w:w="2835" w:type="dxa"/>
            <w:gridSpan w:val="4"/>
            <w:tcBorders>
              <w:top w:val="single" w:sz="4" w:space="0" w:color="000000"/>
            </w:tcBorders>
            <w:shd w:val="clear" w:color="auto" w:fill="auto"/>
          </w:tcPr>
          <w:p w14:paraId="66A46944" w14:textId="77777777" w:rsidR="00083A9E" w:rsidRPr="00CA56DB" w:rsidRDefault="00083A9E" w:rsidP="00722811">
            <w:pPr>
              <w:tabs>
                <w:tab w:val="center" w:pos="4680"/>
              </w:tabs>
              <w:snapToGrid w:val="0"/>
              <w:spacing w:before="120"/>
              <w:jc w:val="both"/>
              <w:rPr>
                <w:color w:val="auto"/>
                <w:sz w:val="20"/>
              </w:rPr>
            </w:pPr>
          </w:p>
        </w:tc>
        <w:tc>
          <w:tcPr>
            <w:tcW w:w="1985" w:type="dxa"/>
            <w:tcBorders>
              <w:top w:val="single" w:sz="4" w:space="0" w:color="000000"/>
            </w:tcBorders>
            <w:shd w:val="clear" w:color="auto" w:fill="auto"/>
          </w:tcPr>
          <w:p w14:paraId="4C673E27" w14:textId="77777777" w:rsidR="00083A9E" w:rsidRPr="00CA56DB" w:rsidRDefault="00083A9E" w:rsidP="00722811">
            <w:pPr>
              <w:tabs>
                <w:tab w:val="center" w:pos="4680"/>
              </w:tabs>
              <w:snapToGrid w:val="0"/>
              <w:spacing w:before="120"/>
              <w:jc w:val="both"/>
              <w:rPr>
                <w:color w:val="auto"/>
                <w:sz w:val="20"/>
              </w:rPr>
            </w:pPr>
          </w:p>
        </w:tc>
      </w:tr>
      <w:tr w:rsidR="00643BD9" w:rsidRPr="001D3940" w14:paraId="308CFAF1" w14:textId="77777777" w:rsidTr="00D8581C">
        <w:tc>
          <w:tcPr>
            <w:tcW w:w="3074" w:type="dxa"/>
            <w:shd w:val="clear" w:color="auto" w:fill="auto"/>
          </w:tcPr>
          <w:p w14:paraId="304A28B1" w14:textId="77777777" w:rsidR="00643BD9" w:rsidRPr="00CA56DB" w:rsidRDefault="00643BD9" w:rsidP="00AC70C1">
            <w:pPr>
              <w:overflowPunct w:val="0"/>
              <w:autoSpaceDE w:val="0"/>
              <w:autoSpaceDN w:val="0"/>
              <w:adjustRightInd w:val="0"/>
              <w:jc w:val="both"/>
              <w:rPr>
                <w:iCs/>
                <w:sz w:val="20"/>
                <w:lang w:eastAsia="en-US"/>
              </w:rPr>
            </w:pPr>
            <w:r w:rsidRPr="00CA56DB">
              <w:rPr>
                <w:sz w:val="20"/>
              </w:rPr>
              <w:t xml:space="preserve">(3.9 ± 0.7) </w:t>
            </w:r>
            <w:r w:rsidRPr="00CA56DB">
              <w:rPr>
                <w:rFonts w:ascii="Symbol" w:eastAsia="Symbol" w:hAnsi="Symbol" w:cs="Symbol"/>
                <w:sz w:val="20"/>
              </w:rPr>
              <w:t></w:t>
            </w:r>
            <w:r w:rsidRPr="00CA56DB">
              <w:rPr>
                <w:sz w:val="20"/>
              </w:rPr>
              <w:t xml:space="preserve"> 10</w:t>
            </w:r>
            <w:r w:rsidRPr="00CA56DB">
              <w:rPr>
                <w:sz w:val="20"/>
                <w:vertAlign w:val="superscript"/>
              </w:rPr>
              <w:t>-11</w:t>
            </w:r>
          </w:p>
        </w:tc>
        <w:tc>
          <w:tcPr>
            <w:tcW w:w="1134" w:type="dxa"/>
            <w:gridSpan w:val="2"/>
            <w:shd w:val="clear" w:color="auto" w:fill="auto"/>
          </w:tcPr>
          <w:p w14:paraId="2807D8DB" w14:textId="77777777" w:rsidR="00643BD9" w:rsidRPr="00CA56DB" w:rsidRDefault="00643BD9" w:rsidP="00AC70C1">
            <w:pPr>
              <w:overflowPunct w:val="0"/>
              <w:autoSpaceDE w:val="0"/>
              <w:autoSpaceDN w:val="0"/>
              <w:adjustRightInd w:val="0"/>
              <w:rPr>
                <w:sz w:val="20"/>
                <w:lang w:eastAsia="en-US"/>
              </w:rPr>
            </w:pPr>
            <w:r w:rsidRPr="00CA56DB">
              <w:rPr>
                <w:sz w:val="20"/>
              </w:rPr>
              <w:t>298</w:t>
            </w:r>
          </w:p>
        </w:tc>
        <w:tc>
          <w:tcPr>
            <w:tcW w:w="2552" w:type="dxa"/>
            <w:gridSpan w:val="2"/>
            <w:shd w:val="clear" w:color="auto" w:fill="auto"/>
          </w:tcPr>
          <w:p w14:paraId="50171922" w14:textId="77777777" w:rsidR="00643BD9" w:rsidRPr="00CA56DB" w:rsidRDefault="00643BD9" w:rsidP="00AC70C1">
            <w:pPr>
              <w:overflowPunct w:val="0"/>
              <w:autoSpaceDE w:val="0"/>
              <w:autoSpaceDN w:val="0"/>
              <w:adjustRightInd w:val="0"/>
              <w:rPr>
                <w:sz w:val="20"/>
                <w:lang w:eastAsia="en-US"/>
              </w:rPr>
            </w:pPr>
            <w:proofErr w:type="spellStart"/>
            <w:r w:rsidRPr="00CA56DB">
              <w:rPr>
                <w:sz w:val="20"/>
              </w:rPr>
              <w:t>Welz</w:t>
            </w:r>
            <w:proofErr w:type="spellEnd"/>
            <w:r w:rsidRPr="00CA56DB">
              <w:rPr>
                <w:sz w:val="20"/>
              </w:rPr>
              <w:t xml:space="preserve"> et al., 2012</w:t>
            </w:r>
          </w:p>
        </w:tc>
        <w:tc>
          <w:tcPr>
            <w:tcW w:w="2247" w:type="dxa"/>
            <w:gridSpan w:val="3"/>
            <w:shd w:val="clear" w:color="auto" w:fill="auto"/>
          </w:tcPr>
          <w:p w14:paraId="212C0372" w14:textId="77777777" w:rsidR="00643BD9" w:rsidRPr="00CA56DB" w:rsidRDefault="00643BD9" w:rsidP="00AC70C1">
            <w:pPr>
              <w:overflowPunct w:val="0"/>
              <w:autoSpaceDE w:val="0"/>
              <w:autoSpaceDN w:val="0"/>
              <w:adjustRightInd w:val="0"/>
              <w:jc w:val="both"/>
              <w:rPr>
                <w:sz w:val="20"/>
                <w:lang w:eastAsia="en-US"/>
              </w:rPr>
            </w:pPr>
            <w:r w:rsidRPr="00CA56DB">
              <w:rPr>
                <w:sz w:val="20"/>
              </w:rPr>
              <w:t>PLP-PIMS(a)</w:t>
            </w:r>
          </w:p>
        </w:tc>
      </w:tr>
      <w:tr w:rsidR="00643BD9" w:rsidRPr="001D3940" w14:paraId="6D61E42D" w14:textId="77777777" w:rsidTr="00D8581C">
        <w:tc>
          <w:tcPr>
            <w:tcW w:w="3074" w:type="dxa"/>
            <w:shd w:val="clear" w:color="auto" w:fill="auto"/>
          </w:tcPr>
          <w:p w14:paraId="2B83B0D1" w14:textId="77777777" w:rsidR="00643BD9" w:rsidRPr="00CA56DB" w:rsidRDefault="00643BD9" w:rsidP="00AC70C1">
            <w:pPr>
              <w:overflowPunct w:val="0"/>
              <w:autoSpaceDE w:val="0"/>
              <w:autoSpaceDN w:val="0"/>
              <w:adjustRightInd w:val="0"/>
              <w:jc w:val="both"/>
              <w:rPr>
                <w:sz w:val="20"/>
                <w:lang w:eastAsia="en-US"/>
              </w:rPr>
            </w:pPr>
            <w:r w:rsidRPr="00CA56DB">
              <w:rPr>
                <w:sz w:val="20"/>
              </w:rPr>
              <w:t xml:space="preserve">(4.1 ± 0.3) </w:t>
            </w:r>
            <w:r w:rsidRPr="00CA56DB">
              <w:rPr>
                <w:rFonts w:ascii="Symbol" w:eastAsia="Symbol" w:hAnsi="Symbol" w:cs="Symbol"/>
                <w:sz w:val="20"/>
              </w:rPr>
              <w:t></w:t>
            </w:r>
            <w:r w:rsidRPr="00CA56DB">
              <w:rPr>
                <w:sz w:val="20"/>
              </w:rPr>
              <w:t xml:space="preserve"> 10</w:t>
            </w:r>
            <w:r w:rsidRPr="00CA56DB">
              <w:rPr>
                <w:sz w:val="20"/>
                <w:vertAlign w:val="superscript"/>
              </w:rPr>
              <w:t>-11</w:t>
            </w:r>
          </w:p>
        </w:tc>
        <w:tc>
          <w:tcPr>
            <w:tcW w:w="1134" w:type="dxa"/>
            <w:gridSpan w:val="2"/>
            <w:shd w:val="clear" w:color="auto" w:fill="auto"/>
          </w:tcPr>
          <w:p w14:paraId="7622FD6A" w14:textId="77777777" w:rsidR="00643BD9" w:rsidRPr="00CA56DB" w:rsidRDefault="00643BD9" w:rsidP="00AC70C1">
            <w:pPr>
              <w:overflowPunct w:val="0"/>
              <w:autoSpaceDE w:val="0"/>
              <w:autoSpaceDN w:val="0"/>
              <w:adjustRightInd w:val="0"/>
              <w:rPr>
                <w:sz w:val="20"/>
                <w:lang w:eastAsia="en-US"/>
              </w:rPr>
            </w:pPr>
            <w:r w:rsidRPr="00CA56DB">
              <w:rPr>
                <w:sz w:val="20"/>
              </w:rPr>
              <w:t>295</w:t>
            </w:r>
          </w:p>
        </w:tc>
        <w:tc>
          <w:tcPr>
            <w:tcW w:w="2552" w:type="dxa"/>
            <w:gridSpan w:val="2"/>
            <w:shd w:val="clear" w:color="auto" w:fill="auto"/>
          </w:tcPr>
          <w:p w14:paraId="3760D441" w14:textId="77777777" w:rsidR="00643BD9" w:rsidRPr="00CA56DB" w:rsidRDefault="00643BD9" w:rsidP="00AC70C1">
            <w:pPr>
              <w:overflowPunct w:val="0"/>
              <w:autoSpaceDE w:val="0"/>
              <w:autoSpaceDN w:val="0"/>
              <w:adjustRightInd w:val="0"/>
              <w:rPr>
                <w:sz w:val="20"/>
                <w:lang w:eastAsia="en-US"/>
              </w:rPr>
            </w:pPr>
            <w:proofErr w:type="spellStart"/>
            <w:r w:rsidRPr="00CA56DB">
              <w:rPr>
                <w:sz w:val="20"/>
              </w:rPr>
              <w:t>Sheps</w:t>
            </w:r>
            <w:proofErr w:type="spellEnd"/>
            <w:r w:rsidRPr="00CA56DB">
              <w:rPr>
                <w:sz w:val="20"/>
              </w:rPr>
              <w:t>, 2013</w:t>
            </w:r>
          </w:p>
        </w:tc>
        <w:tc>
          <w:tcPr>
            <w:tcW w:w="2247" w:type="dxa"/>
            <w:gridSpan w:val="3"/>
            <w:shd w:val="clear" w:color="auto" w:fill="auto"/>
          </w:tcPr>
          <w:p w14:paraId="18BB8820" w14:textId="77777777" w:rsidR="00643BD9" w:rsidRPr="00CA56DB" w:rsidRDefault="00643BD9" w:rsidP="00AC70C1">
            <w:pPr>
              <w:overflowPunct w:val="0"/>
              <w:autoSpaceDE w:val="0"/>
              <w:autoSpaceDN w:val="0"/>
              <w:adjustRightInd w:val="0"/>
              <w:jc w:val="both"/>
              <w:rPr>
                <w:sz w:val="20"/>
                <w:lang w:eastAsia="en-US"/>
              </w:rPr>
            </w:pPr>
            <w:r w:rsidRPr="00CA56DB">
              <w:rPr>
                <w:sz w:val="20"/>
              </w:rPr>
              <w:t>PLP-UVA (b)</w:t>
            </w:r>
          </w:p>
        </w:tc>
      </w:tr>
      <w:tr w:rsidR="00643BD9" w:rsidRPr="001D3940" w14:paraId="301A1EEE" w14:textId="77777777" w:rsidTr="00D8581C">
        <w:tc>
          <w:tcPr>
            <w:tcW w:w="3074" w:type="dxa"/>
            <w:shd w:val="clear" w:color="auto" w:fill="auto"/>
          </w:tcPr>
          <w:p w14:paraId="5F7B8729" w14:textId="77777777" w:rsidR="00643BD9" w:rsidRPr="00CA56DB" w:rsidRDefault="00643BD9" w:rsidP="00AC70C1">
            <w:pPr>
              <w:overflowPunct w:val="0"/>
              <w:autoSpaceDE w:val="0"/>
              <w:autoSpaceDN w:val="0"/>
              <w:adjustRightInd w:val="0"/>
              <w:jc w:val="both"/>
              <w:rPr>
                <w:sz w:val="20"/>
                <w:lang w:eastAsia="en-US"/>
              </w:rPr>
            </w:pPr>
            <w:r w:rsidRPr="00CA56DB">
              <w:rPr>
                <w:sz w:val="20"/>
              </w:rPr>
              <w:t xml:space="preserve">(3.42 ± 0.42) </w:t>
            </w:r>
            <w:r w:rsidRPr="00CA56DB">
              <w:rPr>
                <w:rFonts w:ascii="Symbol" w:eastAsia="Symbol" w:hAnsi="Symbol" w:cs="Symbol"/>
                <w:sz w:val="20"/>
              </w:rPr>
              <w:t></w:t>
            </w:r>
            <w:r w:rsidRPr="00CA56DB">
              <w:rPr>
                <w:sz w:val="20"/>
              </w:rPr>
              <w:t xml:space="preserve"> 10</w:t>
            </w:r>
            <w:r w:rsidRPr="00CA56DB">
              <w:rPr>
                <w:sz w:val="20"/>
                <w:vertAlign w:val="superscript"/>
              </w:rPr>
              <w:t>-11</w:t>
            </w:r>
          </w:p>
        </w:tc>
        <w:tc>
          <w:tcPr>
            <w:tcW w:w="1134" w:type="dxa"/>
            <w:gridSpan w:val="2"/>
            <w:shd w:val="clear" w:color="auto" w:fill="auto"/>
          </w:tcPr>
          <w:p w14:paraId="20FD10A1" w14:textId="77777777" w:rsidR="00643BD9" w:rsidRPr="00CA56DB" w:rsidRDefault="00643BD9" w:rsidP="00AC70C1">
            <w:pPr>
              <w:overflowPunct w:val="0"/>
              <w:autoSpaceDE w:val="0"/>
              <w:autoSpaceDN w:val="0"/>
              <w:adjustRightInd w:val="0"/>
              <w:rPr>
                <w:sz w:val="20"/>
                <w:lang w:eastAsia="en-US"/>
              </w:rPr>
            </w:pPr>
            <w:r w:rsidRPr="00CA56DB">
              <w:rPr>
                <w:sz w:val="20"/>
              </w:rPr>
              <w:t>295</w:t>
            </w:r>
          </w:p>
        </w:tc>
        <w:tc>
          <w:tcPr>
            <w:tcW w:w="2552" w:type="dxa"/>
            <w:gridSpan w:val="2"/>
            <w:shd w:val="clear" w:color="auto" w:fill="auto"/>
          </w:tcPr>
          <w:p w14:paraId="2773B713" w14:textId="77777777" w:rsidR="00643BD9" w:rsidRPr="00CA56DB" w:rsidRDefault="00643BD9" w:rsidP="00AC70C1">
            <w:pPr>
              <w:overflowPunct w:val="0"/>
              <w:autoSpaceDE w:val="0"/>
              <w:autoSpaceDN w:val="0"/>
              <w:adjustRightInd w:val="0"/>
              <w:rPr>
                <w:sz w:val="20"/>
                <w:lang w:eastAsia="en-US"/>
              </w:rPr>
            </w:pPr>
            <w:r w:rsidRPr="00CA56DB">
              <w:rPr>
                <w:sz w:val="20"/>
              </w:rPr>
              <w:t>Stone et al., 2014</w:t>
            </w:r>
          </w:p>
        </w:tc>
        <w:tc>
          <w:tcPr>
            <w:tcW w:w="2247" w:type="dxa"/>
            <w:gridSpan w:val="3"/>
            <w:shd w:val="clear" w:color="auto" w:fill="auto"/>
          </w:tcPr>
          <w:p w14:paraId="1D430B6D" w14:textId="77777777" w:rsidR="00643BD9" w:rsidRPr="00CA56DB" w:rsidRDefault="00643BD9" w:rsidP="00AC70C1">
            <w:pPr>
              <w:overflowPunct w:val="0"/>
              <w:autoSpaceDE w:val="0"/>
              <w:autoSpaceDN w:val="0"/>
              <w:adjustRightInd w:val="0"/>
              <w:jc w:val="both"/>
              <w:rPr>
                <w:sz w:val="20"/>
                <w:lang w:eastAsia="en-US"/>
              </w:rPr>
            </w:pPr>
            <w:r w:rsidRPr="00CA56DB">
              <w:rPr>
                <w:sz w:val="20"/>
              </w:rPr>
              <w:t>PLP-LIF/PIMS (c)</w:t>
            </w:r>
          </w:p>
        </w:tc>
      </w:tr>
      <w:tr w:rsidR="00643BD9" w:rsidRPr="001D3940" w14:paraId="71AFECD6" w14:textId="77777777" w:rsidTr="00D8581C">
        <w:tc>
          <w:tcPr>
            <w:tcW w:w="3074" w:type="dxa"/>
            <w:shd w:val="clear" w:color="auto" w:fill="auto"/>
          </w:tcPr>
          <w:p w14:paraId="75214B20" w14:textId="77777777" w:rsidR="00643BD9" w:rsidRPr="00CA56DB" w:rsidRDefault="00643BD9" w:rsidP="00AC70C1">
            <w:pPr>
              <w:overflowPunct w:val="0"/>
              <w:autoSpaceDE w:val="0"/>
              <w:autoSpaceDN w:val="0"/>
              <w:adjustRightInd w:val="0"/>
              <w:jc w:val="both"/>
              <w:rPr>
                <w:iCs/>
                <w:sz w:val="20"/>
                <w:highlight w:val="yellow"/>
                <w:lang w:eastAsia="en-US"/>
              </w:rPr>
            </w:pPr>
            <w:r w:rsidRPr="00CA56DB">
              <w:rPr>
                <w:iCs/>
                <w:sz w:val="20"/>
              </w:rPr>
              <w:t xml:space="preserve">(3.80 </w:t>
            </w:r>
            <w:r w:rsidRPr="00CA56DB">
              <w:rPr>
                <w:sz w:val="20"/>
              </w:rPr>
              <w:t>±</w:t>
            </w:r>
            <w:r w:rsidRPr="00CA56DB">
              <w:rPr>
                <w:iCs/>
                <w:sz w:val="20"/>
              </w:rPr>
              <w:t xml:space="preserve"> 0.04) </w:t>
            </w:r>
            <w:r w:rsidRPr="00CA56DB">
              <w:rPr>
                <w:rFonts w:ascii="Symbol" w:eastAsia="Symbol" w:hAnsi="Symbol" w:cs="Symbol"/>
                <w:sz w:val="20"/>
              </w:rPr>
              <w:t></w:t>
            </w:r>
            <w:r w:rsidRPr="00CA56DB">
              <w:rPr>
                <w:sz w:val="20"/>
              </w:rPr>
              <w:t xml:space="preserve"> 10</w:t>
            </w:r>
            <w:r w:rsidRPr="00CA56DB">
              <w:rPr>
                <w:sz w:val="20"/>
                <w:vertAlign w:val="superscript"/>
              </w:rPr>
              <w:t>-11</w:t>
            </w:r>
          </w:p>
        </w:tc>
        <w:tc>
          <w:tcPr>
            <w:tcW w:w="1134" w:type="dxa"/>
            <w:gridSpan w:val="2"/>
            <w:shd w:val="clear" w:color="auto" w:fill="auto"/>
          </w:tcPr>
          <w:p w14:paraId="194C1372" w14:textId="14EAE639" w:rsidR="00643BD9" w:rsidRPr="00CA56DB" w:rsidRDefault="007650D2" w:rsidP="00AC70C1">
            <w:pPr>
              <w:overflowPunct w:val="0"/>
              <w:autoSpaceDE w:val="0"/>
              <w:autoSpaceDN w:val="0"/>
              <w:adjustRightInd w:val="0"/>
              <w:rPr>
                <w:sz w:val="20"/>
                <w:lang w:eastAsia="en-US"/>
              </w:rPr>
            </w:pPr>
            <w:r w:rsidRPr="00CA56DB">
              <w:rPr>
                <w:sz w:val="20"/>
              </w:rPr>
              <w:t>29</w:t>
            </w:r>
            <w:r>
              <w:rPr>
                <w:sz w:val="20"/>
              </w:rPr>
              <w:t>3</w:t>
            </w:r>
          </w:p>
        </w:tc>
        <w:tc>
          <w:tcPr>
            <w:tcW w:w="2552" w:type="dxa"/>
            <w:gridSpan w:val="2"/>
            <w:shd w:val="clear" w:color="auto" w:fill="auto"/>
          </w:tcPr>
          <w:p w14:paraId="1692C9F8" w14:textId="77777777" w:rsidR="00643BD9" w:rsidRPr="00CA56DB" w:rsidRDefault="00643BD9" w:rsidP="00AC70C1">
            <w:pPr>
              <w:rPr>
                <w:sz w:val="20"/>
                <w:lang w:eastAsia="en-US"/>
              </w:rPr>
            </w:pPr>
            <w:r w:rsidRPr="00CA56DB">
              <w:rPr>
                <w:sz w:val="20"/>
              </w:rPr>
              <w:t>Chhantyal-Pun et al., 2015</w:t>
            </w:r>
          </w:p>
        </w:tc>
        <w:tc>
          <w:tcPr>
            <w:tcW w:w="2247" w:type="dxa"/>
            <w:gridSpan w:val="3"/>
            <w:shd w:val="clear" w:color="auto" w:fill="auto"/>
          </w:tcPr>
          <w:p w14:paraId="185AE27F" w14:textId="77777777" w:rsidR="00643BD9" w:rsidRPr="00CA56DB" w:rsidRDefault="00643BD9" w:rsidP="00AC70C1">
            <w:pPr>
              <w:overflowPunct w:val="0"/>
              <w:autoSpaceDE w:val="0"/>
              <w:autoSpaceDN w:val="0"/>
              <w:adjustRightInd w:val="0"/>
              <w:jc w:val="both"/>
              <w:rPr>
                <w:sz w:val="20"/>
                <w:lang w:eastAsia="en-US"/>
              </w:rPr>
            </w:pPr>
            <w:r w:rsidRPr="00CA56DB">
              <w:rPr>
                <w:sz w:val="20"/>
              </w:rPr>
              <w:t>PLP-CRDS (d)</w:t>
            </w:r>
          </w:p>
        </w:tc>
      </w:tr>
      <w:tr w:rsidR="00643BD9" w:rsidRPr="001D3940" w14:paraId="778F0859" w14:textId="77777777" w:rsidTr="00D8581C">
        <w:tc>
          <w:tcPr>
            <w:tcW w:w="3074" w:type="dxa"/>
            <w:shd w:val="clear" w:color="auto" w:fill="auto"/>
          </w:tcPr>
          <w:p w14:paraId="051DD19F" w14:textId="77777777" w:rsidR="00643BD9" w:rsidRPr="00CA56DB" w:rsidRDefault="00643BD9" w:rsidP="00AC70C1">
            <w:pPr>
              <w:overflowPunct w:val="0"/>
              <w:autoSpaceDE w:val="0"/>
              <w:autoSpaceDN w:val="0"/>
              <w:adjustRightInd w:val="0"/>
              <w:jc w:val="both"/>
              <w:rPr>
                <w:iCs/>
                <w:sz w:val="20"/>
                <w:highlight w:val="yellow"/>
                <w:lang w:eastAsia="en-US"/>
              </w:rPr>
            </w:pPr>
            <w:r w:rsidRPr="00CA56DB">
              <w:rPr>
                <w:rFonts w:cs="e364b11"/>
                <w:sz w:val="20"/>
              </w:rPr>
              <w:t>(3.64 ± 0.10)</w:t>
            </w:r>
            <w:r w:rsidRPr="00CA56DB">
              <w:rPr>
                <w:rFonts w:ascii="e364b11" w:hAnsi="e364b11" w:cs="e364b11"/>
                <w:sz w:val="20"/>
              </w:rPr>
              <w:t xml:space="preserve"> </w:t>
            </w:r>
            <w:r w:rsidRPr="00CA56DB">
              <w:rPr>
                <w:rFonts w:ascii="Symbol" w:eastAsia="Symbol" w:hAnsi="Symbol" w:cs="Symbol"/>
                <w:sz w:val="20"/>
              </w:rPr>
              <w:t></w:t>
            </w:r>
            <w:r w:rsidRPr="00CA56DB">
              <w:rPr>
                <w:sz w:val="20"/>
              </w:rPr>
              <w:t xml:space="preserve"> 10</w:t>
            </w:r>
            <w:r w:rsidRPr="00CA56DB">
              <w:rPr>
                <w:sz w:val="20"/>
                <w:vertAlign w:val="superscript"/>
              </w:rPr>
              <w:t xml:space="preserve">-11 </w:t>
            </w:r>
            <w:r w:rsidRPr="00CA56DB">
              <w:rPr>
                <w:sz w:val="20"/>
              </w:rPr>
              <w:t xml:space="preserve"> (51 Torr)</w:t>
            </w:r>
          </w:p>
        </w:tc>
        <w:tc>
          <w:tcPr>
            <w:tcW w:w="1134" w:type="dxa"/>
            <w:gridSpan w:val="2"/>
            <w:shd w:val="clear" w:color="auto" w:fill="auto"/>
          </w:tcPr>
          <w:p w14:paraId="63FF683F" w14:textId="77777777" w:rsidR="00643BD9" w:rsidRPr="00CA56DB" w:rsidRDefault="00643BD9" w:rsidP="00AC70C1">
            <w:pPr>
              <w:overflowPunct w:val="0"/>
              <w:autoSpaceDE w:val="0"/>
              <w:autoSpaceDN w:val="0"/>
              <w:adjustRightInd w:val="0"/>
              <w:rPr>
                <w:sz w:val="20"/>
                <w:lang w:eastAsia="en-US"/>
              </w:rPr>
            </w:pPr>
            <w:r w:rsidRPr="00CA56DB">
              <w:rPr>
                <w:sz w:val="20"/>
              </w:rPr>
              <w:t>295</w:t>
            </w:r>
          </w:p>
        </w:tc>
        <w:tc>
          <w:tcPr>
            <w:tcW w:w="2552" w:type="dxa"/>
            <w:gridSpan w:val="2"/>
            <w:shd w:val="clear" w:color="auto" w:fill="auto"/>
          </w:tcPr>
          <w:p w14:paraId="584F2E86" w14:textId="77777777" w:rsidR="00643BD9" w:rsidRPr="00CA56DB" w:rsidRDefault="00643BD9" w:rsidP="00C6513F">
            <w:pPr>
              <w:overflowPunct w:val="0"/>
              <w:autoSpaceDE w:val="0"/>
              <w:autoSpaceDN w:val="0"/>
              <w:adjustRightInd w:val="0"/>
              <w:rPr>
                <w:sz w:val="20"/>
                <w:lang w:eastAsia="en-US"/>
              </w:rPr>
            </w:pPr>
            <w:r w:rsidRPr="00CA56DB">
              <w:rPr>
                <w:sz w:val="20"/>
              </w:rPr>
              <w:t>L</w:t>
            </w:r>
            <w:r w:rsidR="00C6513F">
              <w:rPr>
                <w:sz w:val="20"/>
              </w:rPr>
              <w:t>iu</w:t>
            </w:r>
            <w:r w:rsidRPr="00CA56DB">
              <w:rPr>
                <w:sz w:val="20"/>
              </w:rPr>
              <w:t xml:space="preserve"> et al., 2014</w:t>
            </w:r>
          </w:p>
        </w:tc>
        <w:tc>
          <w:tcPr>
            <w:tcW w:w="2247" w:type="dxa"/>
            <w:gridSpan w:val="3"/>
            <w:shd w:val="clear" w:color="auto" w:fill="auto"/>
          </w:tcPr>
          <w:p w14:paraId="70B8AB42" w14:textId="77777777" w:rsidR="00643BD9" w:rsidRPr="00CA56DB" w:rsidRDefault="00643BD9" w:rsidP="00AC70C1">
            <w:pPr>
              <w:overflowPunct w:val="0"/>
              <w:autoSpaceDE w:val="0"/>
              <w:autoSpaceDN w:val="0"/>
              <w:adjustRightInd w:val="0"/>
              <w:jc w:val="both"/>
              <w:rPr>
                <w:sz w:val="20"/>
                <w:lang w:eastAsia="en-US"/>
              </w:rPr>
            </w:pPr>
            <w:r w:rsidRPr="00CA56DB">
              <w:rPr>
                <w:sz w:val="20"/>
              </w:rPr>
              <w:t>PLP-LIF(e)</w:t>
            </w:r>
          </w:p>
        </w:tc>
      </w:tr>
      <w:tr w:rsidR="00643BD9" w:rsidRPr="001D3940" w14:paraId="71380756" w14:textId="77777777" w:rsidTr="00D8581C">
        <w:tc>
          <w:tcPr>
            <w:tcW w:w="3074" w:type="dxa"/>
            <w:shd w:val="clear" w:color="auto" w:fill="auto"/>
          </w:tcPr>
          <w:p w14:paraId="45402476" w14:textId="77777777" w:rsidR="00643BD9" w:rsidRPr="00CA56DB" w:rsidRDefault="00643BD9" w:rsidP="00AC70C1">
            <w:pPr>
              <w:overflowPunct w:val="0"/>
              <w:autoSpaceDE w:val="0"/>
              <w:autoSpaceDN w:val="0"/>
              <w:adjustRightInd w:val="0"/>
              <w:jc w:val="both"/>
              <w:rPr>
                <w:rFonts w:cs="e364b11"/>
                <w:sz w:val="20"/>
                <w:lang w:eastAsia="en-US"/>
              </w:rPr>
            </w:pPr>
            <w:r w:rsidRPr="00CA56DB">
              <w:rPr>
                <w:rFonts w:cs="e364b11"/>
                <w:sz w:val="20"/>
              </w:rPr>
              <w:t>(3.37 ± 0.25)</w:t>
            </w:r>
            <w:r w:rsidRPr="00CA56DB">
              <w:rPr>
                <w:rFonts w:ascii="e364b11" w:hAnsi="e364b11" w:cs="e364b11"/>
                <w:sz w:val="20"/>
              </w:rPr>
              <w:t xml:space="preserve"> </w:t>
            </w:r>
            <w:r w:rsidRPr="00CA56DB">
              <w:rPr>
                <w:rFonts w:ascii="Symbol" w:eastAsia="Symbol" w:hAnsi="Symbol" w:cs="Symbol"/>
                <w:sz w:val="20"/>
              </w:rPr>
              <w:t></w:t>
            </w:r>
            <w:r w:rsidRPr="00CA56DB">
              <w:rPr>
                <w:sz w:val="20"/>
              </w:rPr>
              <w:t xml:space="preserve"> 10</w:t>
            </w:r>
            <w:r w:rsidRPr="00CA56DB">
              <w:rPr>
                <w:sz w:val="20"/>
                <w:vertAlign w:val="superscript"/>
              </w:rPr>
              <w:t xml:space="preserve">-11 </w:t>
            </w:r>
            <w:r w:rsidRPr="00CA56DB">
              <w:rPr>
                <w:sz w:val="20"/>
              </w:rPr>
              <w:t xml:space="preserve"> (100 Torr)</w:t>
            </w:r>
          </w:p>
        </w:tc>
        <w:tc>
          <w:tcPr>
            <w:tcW w:w="1134" w:type="dxa"/>
            <w:gridSpan w:val="2"/>
            <w:shd w:val="clear" w:color="auto" w:fill="auto"/>
          </w:tcPr>
          <w:p w14:paraId="48C38C86" w14:textId="77777777" w:rsidR="00643BD9" w:rsidRPr="00CA56DB" w:rsidRDefault="00643BD9" w:rsidP="00AC70C1">
            <w:pPr>
              <w:overflowPunct w:val="0"/>
              <w:autoSpaceDE w:val="0"/>
              <w:autoSpaceDN w:val="0"/>
              <w:adjustRightInd w:val="0"/>
              <w:rPr>
                <w:sz w:val="20"/>
              </w:rPr>
            </w:pPr>
          </w:p>
        </w:tc>
        <w:tc>
          <w:tcPr>
            <w:tcW w:w="2552" w:type="dxa"/>
            <w:gridSpan w:val="2"/>
            <w:shd w:val="clear" w:color="auto" w:fill="auto"/>
          </w:tcPr>
          <w:p w14:paraId="10F2B95D" w14:textId="77777777" w:rsidR="00643BD9" w:rsidRPr="00CA56DB" w:rsidRDefault="00643BD9" w:rsidP="00AC70C1">
            <w:pPr>
              <w:overflowPunct w:val="0"/>
              <w:autoSpaceDE w:val="0"/>
              <w:autoSpaceDN w:val="0"/>
              <w:adjustRightInd w:val="0"/>
              <w:rPr>
                <w:sz w:val="20"/>
              </w:rPr>
            </w:pPr>
          </w:p>
        </w:tc>
        <w:tc>
          <w:tcPr>
            <w:tcW w:w="2247" w:type="dxa"/>
            <w:gridSpan w:val="3"/>
            <w:shd w:val="clear" w:color="auto" w:fill="auto"/>
          </w:tcPr>
          <w:p w14:paraId="4ABDDF9B" w14:textId="77777777" w:rsidR="00643BD9" w:rsidRPr="00CA56DB" w:rsidRDefault="00643BD9" w:rsidP="00AC70C1">
            <w:pPr>
              <w:overflowPunct w:val="0"/>
              <w:autoSpaceDE w:val="0"/>
              <w:autoSpaceDN w:val="0"/>
              <w:adjustRightInd w:val="0"/>
              <w:jc w:val="both"/>
              <w:rPr>
                <w:sz w:val="20"/>
              </w:rPr>
            </w:pPr>
          </w:p>
        </w:tc>
      </w:tr>
      <w:tr w:rsidR="00643BD9" w:rsidRPr="001D3940" w14:paraId="18207622" w14:textId="77777777" w:rsidTr="00D8581C">
        <w:tc>
          <w:tcPr>
            <w:tcW w:w="3074" w:type="dxa"/>
            <w:shd w:val="clear" w:color="auto" w:fill="auto"/>
          </w:tcPr>
          <w:p w14:paraId="0D7E59C5" w14:textId="77777777" w:rsidR="00643BD9" w:rsidRPr="00CA56DB" w:rsidRDefault="00643BD9" w:rsidP="00AC70C1">
            <w:pPr>
              <w:overflowPunct w:val="0"/>
              <w:autoSpaceDE w:val="0"/>
              <w:autoSpaceDN w:val="0"/>
              <w:adjustRightInd w:val="0"/>
              <w:jc w:val="both"/>
              <w:rPr>
                <w:rFonts w:cs="e364b11"/>
                <w:sz w:val="20"/>
                <w:lang w:eastAsia="en-US"/>
              </w:rPr>
            </w:pPr>
            <w:r w:rsidRPr="00CA56DB">
              <w:rPr>
                <w:rFonts w:cs="e364b11"/>
                <w:sz w:val="20"/>
              </w:rPr>
              <w:t>(3.43 ± 0.09)</w:t>
            </w:r>
            <w:r w:rsidRPr="00CA56DB">
              <w:rPr>
                <w:rFonts w:ascii="e364b11" w:hAnsi="e364b11" w:cs="e364b11"/>
                <w:sz w:val="20"/>
              </w:rPr>
              <w:t xml:space="preserve"> </w:t>
            </w:r>
            <w:r w:rsidRPr="00CA56DB">
              <w:rPr>
                <w:rFonts w:ascii="Symbol" w:eastAsia="Symbol" w:hAnsi="Symbol" w:cs="Symbol"/>
                <w:sz w:val="20"/>
              </w:rPr>
              <w:t></w:t>
            </w:r>
            <w:r w:rsidRPr="00CA56DB">
              <w:rPr>
                <w:sz w:val="20"/>
              </w:rPr>
              <w:t xml:space="preserve"> 10</w:t>
            </w:r>
            <w:r w:rsidRPr="00CA56DB">
              <w:rPr>
                <w:sz w:val="20"/>
                <w:vertAlign w:val="superscript"/>
              </w:rPr>
              <w:t xml:space="preserve">-11 </w:t>
            </w:r>
            <w:r w:rsidRPr="00CA56DB">
              <w:rPr>
                <w:sz w:val="20"/>
              </w:rPr>
              <w:t xml:space="preserve"> (152 Torr)</w:t>
            </w:r>
          </w:p>
        </w:tc>
        <w:tc>
          <w:tcPr>
            <w:tcW w:w="1134" w:type="dxa"/>
            <w:gridSpan w:val="2"/>
            <w:shd w:val="clear" w:color="auto" w:fill="auto"/>
          </w:tcPr>
          <w:p w14:paraId="434680DB" w14:textId="77777777" w:rsidR="00643BD9" w:rsidRPr="00CA56DB" w:rsidRDefault="00643BD9" w:rsidP="00AC70C1">
            <w:pPr>
              <w:overflowPunct w:val="0"/>
              <w:autoSpaceDE w:val="0"/>
              <w:autoSpaceDN w:val="0"/>
              <w:adjustRightInd w:val="0"/>
              <w:rPr>
                <w:sz w:val="20"/>
              </w:rPr>
            </w:pPr>
          </w:p>
        </w:tc>
        <w:tc>
          <w:tcPr>
            <w:tcW w:w="2552" w:type="dxa"/>
            <w:gridSpan w:val="2"/>
            <w:shd w:val="clear" w:color="auto" w:fill="auto"/>
          </w:tcPr>
          <w:p w14:paraId="02CA246F" w14:textId="77777777" w:rsidR="00643BD9" w:rsidRPr="00CA56DB" w:rsidRDefault="00643BD9" w:rsidP="00AC70C1">
            <w:pPr>
              <w:overflowPunct w:val="0"/>
              <w:autoSpaceDE w:val="0"/>
              <w:autoSpaceDN w:val="0"/>
              <w:adjustRightInd w:val="0"/>
              <w:rPr>
                <w:sz w:val="20"/>
              </w:rPr>
            </w:pPr>
          </w:p>
        </w:tc>
        <w:tc>
          <w:tcPr>
            <w:tcW w:w="2247" w:type="dxa"/>
            <w:gridSpan w:val="3"/>
            <w:shd w:val="clear" w:color="auto" w:fill="auto"/>
          </w:tcPr>
          <w:p w14:paraId="1FE465C2" w14:textId="77777777" w:rsidR="00643BD9" w:rsidRPr="00CA56DB" w:rsidRDefault="00643BD9" w:rsidP="00AC70C1">
            <w:pPr>
              <w:overflowPunct w:val="0"/>
              <w:autoSpaceDE w:val="0"/>
              <w:autoSpaceDN w:val="0"/>
              <w:adjustRightInd w:val="0"/>
              <w:jc w:val="both"/>
              <w:rPr>
                <w:sz w:val="20"/>
              </w:rPr>
            </w:pPr>
          </w:p>
        </w:tc>
      </w:tr>
      <w:tr w:rsidR="00643BD9" w:rsidRPr="001D3940" w14:paraId="2F1AAB35" w14:textId="77777777" w:rsidTr="00D8581C">
        <w:tc>
          <w:tcPr>
            <w:tcW w:w="3074" w:type="dxa"/>
            <w:shd w:val="clear" w:color="auto" w:fill="auto"/>
          </w:tcPr>
          <w:p w14:paraId="3060B8BD" w14:textId="77777777" w:rsidR="00643BD9" w:rsidRPr="00CA56DB" w:rsidRDefault="00643BD9" w:rsidP="00AC70C1">
            <w:pPr>
              <w:overflowPunct w:val="0"/>
              <w:autoSpaceDE w:val="0"/>
              <w:autoSpaceDN w:val="0"/>
              <w:adjustRightInd w:val="0"/>
              <w:jc w:val="both"/>
              <w:rPr>
                <w:rFonts w:cs="e364b11"/>
                <w:sz w:val="20"/>
                <w:lang w:eastAsia="en-US"/>
              </w:rPr>
            </w:pPr>
            <w:r w:rsidRPr="00CA56DB">
              <w:rPr>
                <w:rFonts w:cs="e364b11"/>
                <w:sz w:val="20"/>
              </w:rPr>
              <w:t>(3.44 ± 0.15)</w:t>
            </w:r>
            <w:r w:rsidRPr="00CA56DB">
              <w:rPr>
                <w:rFonts w:ascii="e364b11" w:hAnsi="e364b11" w:cs="e364b11"/>
                <w:sz w:val="20"/>
              </w:rPr>
              <w:t xml:space="preserve"> </w:t>
            </w:r>
            <w:r w:rsidRPr="00CA56DB">
              <w:rPr>
                <w:rFonts w:ascii="Symbol" w:eastAsia="Symbol" w:hAnsi="Symbol" w:cs="Symbol"/>
                <w:sz w:val="20"/>
              </w:rPr>
              <w:t></w:t>
            </w:r>
            <w:r w:rsidRPr="00CA56DB">
              <w:rPr>
                <w:sz w:val="20"/>
              </w:rPr>
              <w:t xml:space="preserve"> 10</w:t>
            </w:r>
            <w:r w:rsidRPr="00CA56DB">
              <w:rPr>
                <w:sz w:val="20"/>
                <w:vertAlign w:val="superscript"/>
              </w:rPr>
              <w:t xml:space="preserve">-11 </w:t>
            </w:r>
            <w:r w:rsidRPr="00CA56DB">
              <w:rPr>
                <w:sz w:val="20"/>
              </w:rPr>
              <w:t xml:space="preserve"> (200 Torr)</w:t>
            </w:r>
          </w:p>
        </w:tc>
        <w:tc>
          <w:tcPr>
            <w:tcW w:w="1134" w:type="dxa"/>
            <w:gridSpan w:val="2"/>
            <w:shd w:val="clear" w:color="auto" w:fill="auto"/>
          </w:tcPr>
          <w:p w14:paraId="099C01F5" w14:textId="77777777" w:rsidR="00643BD9" w:rsidRPr="00CA56DB" w:rsidRDefault="00643BD9" w:rsidP="00AC70C1">
            <w:pPr>
              <w:overflowPunct w:val="0"/>
              <w:autoSpaceDE w:val="0"/>
              <w:autoSpaceDN w:val="0"/>
              <w:adjustRightInd w:val="0"/>
              <w:rPr>
                <w:sz w:val="20"/>
              </w:rPr>
            </w:pPr>
          </w:p>
        </w:tc>
        <w:tc>
          <w:tcPr>
            <w:tcW w:w="2552" w:type="dxa"/>
            <w:gridSpan w:val="2"/>
            <w:shd w:val="clear" w:color="auto" w:fill="auto"/>
          </w:tcPr>
          <w:p w14:paraId="4103B892" w14:textId="77777777" w:rsidR="00643BD9" w:rsidRPr="00CA56DB" w:rsidRDefault="00643BD9" w:rsidP="00AC70C1">
            <w:pPr>
              <w:overflowPunct w:val="0"/>
              <w:autoSpaceDE w:val="0"/>
              <w:autoSpaceDN w:val="0"/>
              <w:adjustRightInd w:val="0"/>
              <w:rPr>
                <w:sz w:val="20"/>
              </w:rPr>
            </w:pPr>
          </w:p>
        </w:tc>
        <w:tc>
          <w:tcPr>
            <w:tcW w:w="2247" w:type="dxa"/>
            <w:gridSpan w:val="3"/>
            <w:shd w:val="clear" w:color="auto" w:fill="auto"/>
          </w:tcPr>
          <w:p w14:paraId="46CC8517" w14:textId="77777777" w:rsidR="00643BD9" w:rsidRPr="00CA56DB" w:rsidRDefault="00643BD9" w:rsidP="00AC70C1">
            <w:pPr>
              <w:overflowPunct w:val="0"/>
              <w:autoSpaceDE w:val="0"/>
              <w:autoSpaceDN w:val="0"/>
              <w:adjustRightInd w:val="0"/>
              <w:jc w:val="both"/>
              <w:rPr>
                <w:sz w:val="20"/>
              </w:rPr>
            </w:pPr>
          </w:p>
        </w:tc>
      </w:tr>
      <w:tr w:rsidR="00643BD9" w:rsidRPr="001D3940" w14:paraId="711F13CC" w14:textId="77777777" w:rsidTr="00D8581C">
        <w:tc>
          <w:tcPr>
            <w:tcW w:w="3074" w:type="dxa"/>
            <w:shd w:val="clear" w:color="auto" w:fill="auto"/>
          </w:tcPr>
          <w:p w14:paraId="2D26E0A7" w14:textId="77777777" w:rsidR="00643BD9" w:rsidRPr="00CA56DB" w:rsidRDefault="00643BD9" w:rsidP="00AC70C1">
            <w:pPr>
              <w:overflowPunct w:val="0"/>
              <w:autoSpaceDE w:val="0"/>
              <w:autoSpaceDN w:val="0"/>
              <w:adjustRightInd w:val="0"/>
              <w:jc w:val="both"/>
              <w:rPr>
                <w:iCs/>
                <w:color w:val="auto"/>
                <w:sz w:val="20"/>
                <w:highlight w:val="yellow"/>
                <w:lang w:eastAsia="en-US"/>
              </w:rPr>
            </w:pPr>
            <w:r w:rsidRPr="00CA56DB">
              <w:rPr>
                <w:rFonts w:cs="e364b11"/>
                <w:color w:val="auto"/>
                <w:sz w:val="20"/>
              </w:rPr>
              <w:t>(3.52 ± 0.11)</w:t>
            </w:r>
            <w:r w:rsidRPr="00CA56DB">
              <w:rPr>
                <w:rFonts w:ascii="e364b11" w:hAnsi="e364b11" w:cs="e364b11"/>
                <w:color w:val="auto"/>
                <w:sz w:val="20"/>
              </w:rPr>
              <w:t xml:space="preserve"> </w:t>
            </w:r>
            <w:r w:rsidRPr="00CA56DB">
              <w:rPr>
                <w:rFonts w:ascii="Symbol" w:eastAsia="Symbol" w:hAnsi="Symbol" w:cs="Symbol"/>
                <w:sz w:val="20"/>
              </w:rPr>
              <w:t></w:t>
            </w:r>
            <w:r w:rsidRPr="00CA56DB">
              <w:rPr>
                <w:color w:val="auto"/>
                <w:sz w:val="20"/>
              </w:rPr>
              <w:t xml:space="preserve"> 10</w:t>
            </w:r>
            <w:r w:rsidRPr="00CA56DB">
              <w:rPr>
                <w:color w:val="auto"/>
                <w:sz w:val="20"/>
                <w:vertAlign w:val="superscript"/>
              </w:rPr>
              <w:t xml:space="preserve">-11 </w:t>
            </w:r>
            <w:r w:rsidRPr="00CA56DB">
              <w:rPr>
                <w:color w:val="auto"/>
                <w:sz w:val="20"/>
              </w:rPr>
              <w:t xml:space="preserve"> (30.1 Torr)</w:t>
            </w:r>
          </w:p>
        </w:tc>
        <w:tc>
          <w:tcPr>
            <w:tcW w:w="1134" w:type="dxa"/>
            <w:gridSpan w:val="2"/>
            <w:shd w:val="clear" w:color="auto" w:fill="auto"/>
          </w:tcPr>
          <w:p w14:paraId="47853CAF" w14:textId="77777777" w:rsidR="00643BD9" w:rsidRPr="00CA56DB" w:rsidRDefault="00643BD9" w:rsidP="00AC70C1">
            <w:pPr>
              <w:overflowPunct w:val="0"/>
              <w:autoSpaceDE w:val="0"/>
              <w:autoSpaceDN w:val="0"/>
              <w:adjustRightInd w:val="0"/>
              <w:rPr>
                <w:color w:val="auto"/>
                <w:sz w:val="20"/>
                <w:lang w:eastAsia="en-US"/>
              </w:rPr>
            </w:pPr>
            <w:r w:rsidRPr="00CA56DB">
              <w:rPr>
                <w:color w:val="auto"/>
                <w:sz w:val="20"/>
              </w:rPr>
              <w:t>298</w:t>
            </w:r>
          </w:p>
        </w:tc>
        <w:tc>
          <w:tcPr>
            <w:tcW w:w="2552" w:type="dxa"/>
            <w:gridSpan w:val="2"/>
            <w:shd w:val="clear" w:color="auto" w:fill="auto"/>
          </w:tcPr>
          <w:p w14:paraId="5D75F37E" w14:textId="77777777" w:rsidR="00643BD9" w:rsidRPr="00CA56DB" w:rsidRDefault="00643BD9" w:rsidP="00257C1E">
            <w:pPr>
              <w:overflowPunct w:val="0"/>
              <w:autoSpaceDE w:val="0"/>
              <w:autoSpaceDN w:val="0"/>
              <w:adjustRightInd w:val="0"/>
              <w:rPr>
                <w:color w:val="auto"/>
                <w:sz w:val="20"/>
                <w:lang w:eastAsia="en-US"/>
              </w:rPr>
            </w:pPr>
            <w:r w:rsidRPr="00CA56DB">
              <w:rPr>
                <w:color w:val="auto"/>
                <w:sz w:val="20"/>
              </w:rPr>
              <w:t>Huang et al., 2015</w:t>
            </w:r>
          </w:p>
        </w:tc>
        <w:tc>
          <w:tcPr>
            <w:tcW w:w="2247" w:type="dxa"/>
            <w:gridSpan w:val="3"/>
            <w:shd w:val="clear" w:color="auto" w:fill="auto"/>
          </w:tcPr>
          <w:p w14:paraId="110B1486" w14:textId="77777777" w:rsidR="00643BD9" w:rsidRPr="00CA56DB" w:rsidRDefault="00643BD9" w:rsidP="00AC70C1">
            <w:pPr>
              <w:overflowPunct w:val="0"/>
              <w:autoSpaceDE w:val="0"/>
              <w:autoSpaceDN w:val="0"/>
              <w:adjustRightInd w:val="0"/>
              <w:jc w:val="both"/>
              <w:rPr>
                <w:color w:val="auto"/>
                <w:sz w:val="20"/>
                <w:lang w:eastAsia="en-US"/>
              </w:rPr>
            </w:pPr>
            <w:r w:rsidRPr="00CA56DB">
              <w:rPr>
                <w:color w:val="auto"/>
                <w:sz w:val="20"/>
              </w:rPr>
              <w:t>PLP-UVA (f)</w:t>
            </w:r>
          </w:p>
        </w:tc>
      </w:tr>
      <w:tr w:rsidR="00643BD9" w:rsidRPr="001D3940" w14:paraId="27F63E7F" w14:textId="77777777" w:rsidTr="00D8581C">
        <w:tc>
          <w:tcPr>
            <w:tcW w:w="3074" w:type="dxa"/>
            <w:shd w:val="clear" w:color="auto" w:fill="auto"/>
          </w:tcPr>
          <w:p w14:paraId="50475F03" w14:textId="77777777" w:rsidR="00643BD9" w:rsidRPr="00CA56DB" w:rsidRDefault="00643BD9" w:rsidP="00AC70C1">
            <w:pPr>
              <w:overflowPunct w:val="0"/>
              <w:autoSpaceDE w:val="0"/>
              <w:autoSpaceDN w:val="0"/>
              <w:adjustRightInd w:val="0"/>
              <w:jc w:val="both"/>
              <w:rPr>
                <w:rFonts w:cs="e364b11"/>
                <w:color w:val="auto"/>
                <w:sz w:val="20"/>
                <w:lang w:eastAsia="en-US"/>
              </w:rPr>
            </w:pPr>
            <w:r w:rsidRPr="00CA56DB">
              <w:rPr>
                <w:rFonts w:cs="e364b11"/>
                <w:color w:val="auto"/>
                <w:sz w:val="20"/>
              </w:rPr>
              <w:t>(3.57 ± 0.02)</w:t>
            </w:r>
            <w:r w:rsidRPr="00CA56DB">
              <w:rPr>
                <w:rFonts w:ascii="e364b11" w:hAnsi="e364b11" w:cs="e364b11"/>
                <w:color w:val="auto"/>
                <w:sz w:val="20"/>
              </w:rPr>
              <w:t xml:space="preserve"> </w:t>
            </w:r>
            <w:r w:rsidRPr="00CA56DB">
              <w:rPr>
                <w:rFonts w:ascii="Symbol" w:eastAsia="Symbol" w:hAnsi="Symbol" w:cs="Symbol"/>
                <w:sz w:val="20"/>
              </w:rPr>
              <w:t></w:t>
            </w:r>
            <w:r w:rsidRPr="00CA56DB">
              <w:rPr>
                <w:color w:val="auto"/>
                <w:sz w:val="20"/>
              </w:rPr>
              <w:t xml:space="preserve"> 10</w:t>
            </w:r>
            <w:r w:rsidRPr="00CA56DB">
              <w:rPr>
                <w:color w:val="auto"/>
                <w:sz w:val="20"/>
                <w:vertAlign w:val="superscript"/>
              </w:rPr>
              <w:t xml:space="preserve">-11 </w:t>
            </w:r>
            <w:r w:rsidRPr="00CA56DB">
              <w:rPr>
                <w:color w:val="auto"/>
                <w:sz w:val="20"/>
              </w:rPr>
              <w:t xml:space="preserve"> (100.2 Torr)</w:t>
            </w:r>
          </w:p>
        </w:tc>
        <w:tc>
          <w:tcPr>
            <w:tcW w:w="1134" w:type="dxa"/>
            <w:gridSpan w:val="2"/>
            <w:shd w:val="clear" w:color="auto" w:fill="auto"/>
          </w:tcPr>
          <w:p w14:paraId="5D14D120" w14:textId="77777777" w:rsidR="00643BD9" w:rsidRPr="00CA56DB" w:rsidRDefault="00643BD9" w:rsidP="00AC70C1">
            <w:pPr>
              <w:overflowPunct w:val="0"/>
              <w:autoSpaceDE w:val="0"/>
              <w:autoSpaceDN w:val="0"/>
              <w:adjustRightInd w:val="0"/>
              <w:rPr>
                <w:color w:val="auto"/>
                <w:sz w:val="20"/>
                <w:lang w:eastAsia="en-US"/>
              </w:rPr>
            </w:pPr>
          </w:p>
        </w:tc>
        <w:tc>
          <w:tcPr>
            <w:tcW w:w="2552" w:type="dxa"/>
            <w:gridSpan w:val="2"/>
            <w:shd w:val="clear" w:color="auto" w:fill="auto"/>
          </w:tcPr>
          <w:p w14:paraId="02A7AD11" w14:textId="77777777" w:rsidR="00643BD9" w:rsidRPr="00CA56DB" w:rsidRDefault="00643BD9" w:rsidP="00AC70C1">
            <w:pPr>
              <w:overflowPunct w:val="0"/>
              <w:autoSpaceDE w:val="0"/>
              <w:autoSpaceDN w:val="0"/>
              <w:adjustRightInd w:val="0"/>
              <w:rPr>
                <w:color w:val="auto"/>
                <w:sz w:val="20"/>
                <w:lang w:eastAsia="en-US"/>
              </w:rPr>
            </w:pPr>
          </w:p>
        </w:tc>
        <w:tc>
          <w:tcPr>
            <w:tcW w:w="2247" w:type="dxa"/>
            <w:gridSpan w:val="3"/>
            <w:shd w:val="clear" w:color="auto" w:fill="auto"/>
          </w:tcPr>
          <w:p w14:paraId="75A722FD" w14:textId="77777777" w:rsidR="00643BD9" w:rsidRPr="00CA56DB" w:rsidRDefault="00643BD9" w:rsidP="00AC70C1">
            <w:pPr>
              <w:overflowPunct w:val="0"/>
              <w:autoSpaceDE w:val="0"/>
              <w:autoSpaceDN w:val="0"/>
              <w:adjustRightInd w:val="0"/>
              <w:jc w:val="both"/>
              <w:rPr>
                <w:color w:val="auto"/>
                <w:sz w:val="20"/>
                <w:lang w:eastAsia="en-US"/>
              </w:rPr>
            </w:pPr>
          </w:p>
        </w:tc>
      </w:tr>
      <w:tr w:rsidR="00643BD9" w:rsidRPr="001D3940" w14:paraId="22A1D386" w14:textId="77777777" w:rsidTr="00D8581C">
        <w:tc>
          <w:tcPr>
            <w:tcW w:w="3074" w:type="dxa"/>
            <w:shd w:val="clear" w:color="auto" w:fill="auto"/>
          </w:tcPr>
          <w:p w14:paraId="2CC85EFC" w14:textId="77777777" w:rsidR="00643BD9" w:rsidRPr="00CA56DB" w:rsidRDefault="00643BD9" w:rsidP="00AC70C1">
            <w:pPr>
              <w:overflowPunct w:val="0"/>
              <w:autoSpaceDE w:val="0"/>
              <w:autoSpaceDN w:val="0"/>
              <w:adjustRightInd w:val="0"/>
              <w:jc w:val="both"/>
              <w:rPr>
                <w:rFonts w:cs="e364b11"/>
                <w:color w:val="auto"/>
                <w:sz w:val="20"/>
                <w:lang w:eastAsia="en-US"/>
              </w:rPr>
            </w:pPr>
            <w:r w:rsidRPr="00CA56DB">
              <w:rPr>
                <w:rFonts w:cs="e364b11"/>
                <w:color w:val="auto"/>
                <w:sz w:val="20"/>
              </w:rPr>
              <w:t>(3.70 ± 0.09)</w:t>
            </w:r>
            <w:r w:rsidRPr="00CA56DB">
              <w:rPr>
                <w:rFonts w:ascii="e364b11" w:hAnsi="e364b11" w:cs="e364b11"/>
                <w:color w:val="auto"/>
                <w:sz w:val="20"/>
              </w:rPr>
              <w:t xml:space="preserve"> </w:t>
            </w:r>
            <w:r w:rsidRPr="00CA56DB">
              <w:rPr>
                <w:rFonts w:ascii="Symbol" w:eastAsia="Symbol" w:hAnsi="Symbol" w:cs="Symbol"/>
                <w:sz w:val="20"/>
              </w:rPr>
              <w:t></w:t>
            </w:r>
            <w:r w:rsidRPr="00CA56DB">
              <w:rPr>
                <w:color w:val="auto"/>
                <w:sz w:val="20"/>
              </w:rPr>
              <w:t xml:space="preserve"> 10</w:t>
            </w:r>
            <w:r w:rsidRPr="00CA56DB">
              <w:rPr>
                <w:color w:val="auto"/>
                <w:sz w:val="20"/>
                <w:vertAlign w:val="superscript"/>
              </w:rPr>
              <w:t xml:space="preserve">-11 </w:t>
            </w:r>
            <w:r w:rsidRPr="00CA56DB">
              <w:rPr>
                <w:color w:val="auto"/>
                <w:sz w:val="20"/>
              </w:rPr>
              <w:t xml:space="preserve"> (199.7 Torr)</w:t>
            </w:r>
          </w:p>
        </w:tc>
        <w:tc>
          <w:tcPr>
            <w:tcW w:w="1134" w:type="dxa"/>
            <w:gridSpan w:val="2"/>
            <w:shd w:val="clear" w:color="auto" w:fill="auto"/>
          </w:tcPr>
          <w:p w14:paraId="1DF0C303" w14:textId="77777777" w:rsidR="00643BD9" w:rsidRPr="00CA56DB" w:rsidRDefault="00643BD9" w:rsidP="00AC70C1">
            <w:pPr>
              <w:overflowPunct w:val="0"/>
              <w:autoSpaceDE w:val="0"/>
              <w:autoSpaceDN w:val="0"/>
              <w:adjustRightInd w:val="0"/>
              <w:rPr>
                <w:color w:val="auto"/>
                <w:sz w:val="20"/>
                <w:lang w:eastAsia="en-US"/>
              </w:rPr>
            </w:pPr>
          </w:p>
        </w:tc>
        <w:tc>
          <w:tcPr>
            <w:tcW w:w="2552" w:type="dxa"/>
            <w:gridSpan w:val="2"/>
            <w:shd w:val="clear" w:color="auto" w:fill="auto"/>
          </w:tcPr>
          <w:p w14:paraId="38761F49" w14:textId="77777777" w:rsidR="00643BD9" w:rsidRPr="00CA56DB" w:rsidRDefault="00643BD9" w:rsidP="00AC70C1">
            <w:pPr>
              <w:overflowPunct w:val="0"/>
              <w:autoSpaceDE w:val="0"/>
              <w:autoSpaceDN w:val="0"/>
              <w:adjustRightInd w:val="0"/>
              <w:rPr>
                <w:color w:val="auto"/>
                <w:sz w:val="20"/>
                <w:lang w:eastAsia="en-US"/>
              </w:rPr>
            </w:pPr>
          </w:p>
        </w:tc>
        <w:tc>
          <w:tcPr>
            <w:tcW w:w="2247" w:type="dxa"/>
            <w:gridSpan w:val="3"/>
            <w:shd w:val="clear" w:color="auto" w:fill="auto"/>
          </w:tcPr>
          <w:p w14:paraId="269AFB27" w14:textId="77777777" w:rsidR="00643BD9" w:rsidRPr="00CA56DB" w:rsidRDefault="00643BD9" w:rsidP="00AC70C1">
            <w:pPr>
              <w:overflowPunct w:val="0"/>
              <w:autoSpaceDE w:val="0"/>
              <w:autoSpaceDN w:val="0"/>
              <w:adjustRightInd w:val="0"/>
              <w:jc w:val="both"/>
              <w:rPr>
                <w:color w:val="auto"/>
                <w:sz w:val="20"/>
                <w:lang w:eastAsia="en-US"/>
              </w:rPr>
            </w:pPr>
          </w:p>
        </w:tc>
      </w:tr>
      <w:tr w:rsidR="00643BD9" w:rsidRPr="001D3940" w14:paraId="57EBB0B2" w14:textId="77777777" w:rsidTr="007B5080">
        <w:tc>
          <w:tcPr>
            <w:tcW w:w="3074" w:type="dxa"/>
            <w:shd w:val="clear" w:color="auto" w:fill="auto"/>
          </w:tcPr>
          <w:p w14:paraId="353C72AE" w14:textId="77777777" w:rsidR="00643BD9" w:rsidRPr="00CA56DB" w:rsidRDefault="00643BD9" w:rsidP="000B4DB6">
            <w:pPr>
              <w:overflowPunct w:val="0"/>
              <w:autoSpaceDE w:val="0"/>
              <w:autoSpaceDN w:val="0"/>
              <w:adjustRightInd w:val="0"/>
              <w:jc w:val="both"/>
              <w:rPr>
                <w:rFonts w:cs="e364b11"/>
                <w:color w:val="auto"/>
                <w:sz w:val="20"/>
                <w:lang w:eastAsia="en-US"/>
              </w:rPr>
            </w:pPr>
            <w:r w:rsidRPr="00CA56DB">
              <w:rPr>
                <w:rFonts w:cs="e364b11"/>
                <w:color w:val="auto"/>
                <w:sz w:val="20"/>
              </w:rPr>
              <w:t>(3.30 ± 0.15)</w:t>
            </w:r>
            <w:r w:rsidRPr="00CA56DB">
              <w:rPr>
                <w:rFonts w:ascii="e364b11" w:hAnsi="e364b11" w:cs="e364b11"/>
                <w:color w:val="auto"/>
                <w:sz w:val="20"/>
              </w:rPr>
              <w:t xml:space="preserve"> </w:t>
            </w:r>
            <w:r w:rsidR="00AC70C1" w:rsidRPr="00CA56DB">
              <w:rPr>
                <w:rFonts w:ascii="Symbol" w:eastAsia="Symbol" w:hAnsi="Symbol" w:cs="Symbol"/>
                <w:sz w:val="20"/>
              </w:rPr>
              <w:t></w:t>
            </w:r>
            <w:r w:rsidRPr="00CA56DB">
              <w:rPr>
                <w:color w:val="auto"/>
                <w:sz w:val="20"/>
              </w:rPr>
              <w:t xml:space="preserve"> 10</w:t>
            </w:r>
            <w:r w:rsidRPr="00CA56DB">
              <w:rPr>
                <w:color w:val="auto"/>
                <w:sz w:val="20"/>
                <w:vertAlign w:val="superscript"/>
              </w:rPr>
              <w:t xml:space="preserve">-11 </w:t>
            </w:r>
            <w:r w:rsidRPr="00CA56DB">
              <w:rPr>
                <w:color w:val="auto"/>
                <w:sz w:val="20"/>
              </w:rPr>
              <w:t xml:space="preserve"> (755.6 Torr)</w:t>
            </w:r>
          </w:p>
        </w:tc>
        <w:tc>
          <w:tcPr>
            <w:tcW w:w="1134" w:type="dxa"/>
            <w:gridSpan w:val="2"/>
            <w:shd w:val="clear" w:color="auto" w:fill="auto"/>
          </w:tcPr>
          <w:p w14:paraId="6B083D1F" w14:textId="77777777" w:rsidR="00643BD9" w:rsidRPr="00CA56DB" w:rsidRDefault="00643BD9" w:rsidP="000B4DB6">
            <w:pPr>
              <w:overflowPunct w:val="0"/>
              <w:autoSpaceDE w:val="0"/>
              <w:autoSpaceDN w:val="0"/>
              <w:adjustRightInd w:val="0"/>
              <w:rPr>
                <w:color w:val="auto"/>
                <w:sz w:val="20"/>
                <w:lang w:eastAsia="en-US"/>
              </w:rPr>
            </w:pPr>
          </w:p>
        </w:tc>
        <w:tc>
          <w:tcPr>
            <w:tcW w:w="2552" w:type="dxa"/>
            <w:gridSpan w:val="2"/>
            <w:shd w:val="clear" w:color="auto" w:fill="auto"/>
          </w:tcPr>
          <w:p w14:paraId="361DCC24" w14:textId="77777777" w:rsidR="00643BD9" w:rsidRPr="00CA56DB" w:rsidRDefault="00643BD9" w:rsidP="000B4DB6">
            <w:pPr>
              <w:overflowPunct w:val="0"/>
              <w:autoSpaceDE w:val="0"/>
              <w:autoSpaceDN w:val="0"/>
              <w:adjustRightInd w:val="0"/>
              <w:rPr>
                <w:color w:val="auto"/>
                <w:sz w:val="20"/>
                <w:lang w:eastAsia="en-US"/>
              </w:rPr>
            </w:pPr>
          </w:p>
        </w:tc>
        <w:tc>
          <w:tcPr>
            <w:tcW w:w="2247" w:type="dxa"/>
            <w:gridSpan w:val="3"/>
            <w:shd w:val="clear" w:color="auto" w:fill="auto"/>
          </w:tcPr>
          <w:p w14:paraId="302D60EA" w14:textId="77777777" w:rsidR="00643BD9" w:rsidRPr="00CA56DB" w:rsidRDefault="00643BD9" w:rsidP="000B4DB6">
            <w:pPr>
              <w:overflowPunct w:val="0"/>
              <w:autoSpaceDE w:val="0"/>
              <w:autoSpaceDN w:val="0"/>
              <w:adjustRightInd w:val="0"/>
              <w:jc w:val="both"/>
              <w:rPr>
                <w:color w:val="auto"/>
                <w:sz w:val="20"/>
                <w:lang w:eastAsia="en-US"/>
              </w:rPr>
            </w:pPr>
          </w:p>
        </w:tc>
      </w:tr>
      <w:tr w:rsidR="00AD533F" w:rsidRPr="001D3940" w14:paraId="30B2E58D" w14:textId="77777777" w:rsidTr="007B5080">
        <w:tc>
          <w:tcPr>
            <w:tcW w:w="3074" w:type="dxa"/>
            <w:shd w:val="clear" w:color="auto" w:fill="auto"/>
          </w:tcPr>
          <w:p w14:paraId="07E685A4" w14:textId="77777777" w:rsidR="00AD533F" w:rsidRPr="00CA56DB" w:rsidRDefault="00AD533F" w:rsidP="00AD533F">
            <w:pPr>
              <w:overflowPunct w:val="0"/>
              <w:autoSpaceDE w:val="0"/>
              <w:autoSpaceDN w:val="0"/>
              <w:adjustRightInd w:val="0"/>
              <w:jc w:val="both"/>
              <w:rPr>
                <w:rFonts w:cs="e364b11"/>
                <w:color w:val="auto"/>
                <w:sz w:val="20"/>
              </w:rPr>
            </w:pPr>
            <w:r w:rsidRPr="00CA56DB">
              <w:rPr>
                <w:sz w:val="20"/>
              </w:rPr>
              <w:t>(3.</w:t>
            </w:r>
            <w:r>
              <w:rPr>
                <w:sz w:val="20"/>
              </w:rPr>
              <w:t>3</w:t>
            </w:r>
            <w:r w:rsidRPr="00CA56DB">
              <w:rPr>
                <w:sz w:val="20"/>
              </w:rPr>
              <w:t xml:space="preserve"> ± 0.</w:t>
            </w:r>
            <w:r>
              <w:rPr>
                <w:sz w:val="20"/>
              </w:rPr>
              <w:t>9</w:t>
            </w:r>
            <w:r w:rsidRPr="00CA56DB">
              <w:rPr>
                <w:sz w:val="20"/>
              </w:rPr>
              <w:t xml:space="preserve">) </w:t>
            </w:r>
            <w:r w:rsidRPr="00CA56DB">
              <w:rPr>
                <w:rFonts w:ascii="Symbol" w:eastAsia="Symbol" w:hAnsi="Symbol" w:cs="Symbol"/>
                <w:sz w:val="20"/>
              </w:rPr>
              <w:t></w:t>
            </w:r>
            <w:r w:rsidRPr="00CA56DB">
              <w:rPr>
                <w:sz w:val="20"/>
              </w:rPr>
              <w:t xml:space="preserve"> 10</w:t>
            </w:r>
            <w:r w:rsidRPr="00CA56DB">
              <w:rPr>
                <w:sz w:val="20"/>
                <w:vertAlign w:val="superscript"/>
              </w:rPr>
              <w:t>-11</w:t>
            </w:r>
          </w:p>
        </w:tc>
        <w:tc>
          <w:tcPr>
            <w:tcW w:w="1134" w:type="dxa"/>
            <w:gridSpan w:val="2"/>
            <w:shd w:val="clear" w:color="auto" w:fill="auto"/>
          </w:tcPr>
          <w:p w14:paraId="31A1AA6A" w14:textId="77777777" w:rsidR="00AD533F" w:rsidRPr="00CA56DB" w:rsidRDefault="00AD533F" w:rsidP="00AD533F">
            <w:pPr>
              <w:overflowPunct w:val="0"/>
              <w:autoSpaceDE w:val="0"/>
              <w:autoSpaceDN w:val="0"/>
              <w:adjustRightInd w:val="0"/>
              <w:rPr>
                <w:color w:val="auto"/>
                <w:sz w:val="20"/>
                <w:lang w:eastAsia="en-US"/>
              </w:rPr>
            </w:pPr>
            <w:r w:rsidRPr="00CA56DB">
              <w:rPr>
                <w:sz w:val="20"/>
              </w:rPr>
              <w:t>295</w:t>
            </w:r>
          </w:p>
        </w:tc>
        <w:tc>
          <w:tcPr>
            <w:tcW w:w="2552" w:type="dxa"/>
            <w:gridSpan w:val="2"/>
            <w:shd w:val="clear" w:color="auto" w:fill="auto"/>
          </w:tcPr>
          <w:p w14:paraId="22136313" w14:textId="77777777" w:rsidR="00AD533F" w:rsidRPr="00CA56DB" w:rsidRDefault="00AD533F" w:rsidP="00AD533F">
            <w:pPr>
              <w:overflowPunct w:val="0"/>
              <w:autoSpaceDE w:val="0"/>
              <w:autoSpaceDN w:val="0"/>
              <w:adjustRightInd w:val="0"/>
              <w:rPr>
                <w:color w:val="auto"/>
                <w:sz w:val="20"/>
                <w:lang w:eastAsia="en-US"/>
              </w:rPr>
            </w:pPr>
            <w:r>
              <w:rPr>
                <w:sz w:val="20"/>
              </w:rPr>
              <w:t>Berndt</w:t>
            </w:r>
            <w:r w:rsidRPr="008A2ABA">
              <w:rPr>
                <w:sz w:val="20"/>
              </w:rPr>
              <w:t xml:space="preserve"> et al., 201</w:t>
            </w:r>
            <w:r>
              <w:rPr>
                <w:sz w:val="20"/>
              </w:rPr>
              <w:t>7</w:t>
            </w:r>
          </w:p>
        </w:tc>
        <w:tc>
          <w:tcPr>
            <w:tcW w:w="2247" w:type="dxa"/>
            <w:gridSpan w:val="3"/>
            <w:shd w:val="clear" w:color="auto" w:fill="auto"/>
          </w:tcPr>
          <w:p w14:paraId="5CCC9D14" w14:textId="77777777" w:rsidR="00AD533F" w:rsidRPr="00CA56DB" w:rsidRDefault="00AD533F" w:rsidP="00AD533F">
            <w:pPr>
              <w:overflowPunct w:val="0"/>
              <w:autoSpaceDE w:val="0"/>
              <w:autoSpaceDN w:val="0"/>
              <w:adjustRightInd w:val="0"/>
              <w:jc w:val="both"/>
              <w:rPr>
                <w:color w:val="auto"/>
                <w:sz w:val="20"/>
                <w:lang w:eastAsia="en-US"/>
              </w:rPr>
            </w:pPr>
            <w:r w:rsidRPr="006F0123">
              <w:rPr>
                <w:sz w:val="20"/>
              </w:rPr>
              <w:t>Free-Jet FR-</w:t>
            </w:r>
            <w:r>
              <w:rPr>
                <w:sz w:val="20"/>
              </w:rPr>
              <w:t xml:space="preserve">CIMS </w:t>
            </w:r>
            <w:r w:rsidRPr="006F0123">
              <w:rPr>
                <w:sz w:val="20"/>
              </w:rPr>
              <w:t>(</w:t>
            </w:r>
            <w:r>
              <w:rPr>
                <w:sz w:val="20"/>
              </w:rPr>
              <w:t>g</w:t>
            </w:r>
            <w:r w:rsidRPr="006F0123">
              <w:rPr>
                <w:sz w:val="20"/>
              </w:rPr>
              <w:t>)</w:t>
            </w:r>
          </w:p>
        </w:tc>
      </w:tr>
      <w:tr w:rsidR="00AD533F" w:rsidRPr="001D3940" w14:paraId="5CBD21B2" w14:textId="77777777" w:rsidTr="007B5080">
        <w:tc>
          <w:tcPr>
            <w:tcW w:w="3074" w:type="dxa"/>
            <w:shd w:val="clear" w:color="auto" w:fill="auto"/>
          </w:tcPr>
          <w:p w14:paraId="5A1D3188" w14:textId="77777777" w:rsidR="00AD533F" w:rsidRPr="00CA56DB" w:rsidRDefault="00AD533F" w:rsidP="00AD533F">
            <w:pPr>
              <w:overflowPunct w:val="0"/>
              <w:autoSpaceDE w:val="0"/>
              <w:autoSpaceDN w:val="0"/>
              <w:adjustRightInd w:val="0"/>
              <w:jc w:val="both"/>
              <w:rPr>
                <w:sz w:val="20"/>
                <w:lang w:eastAsia="en-US"/>
              </w:rPr>
            </w:pPr>
            <w:r w:rsidRPr="00CA56DB">
              <w:rPr>
                <w:sz w:val="20"/>
              </w:rPr>
              <w:t>(3.</w:t>
            </w:r>
            <w:r>
              <w:rPr>
                <w:sz w:val="20"/>
              </w:rPr>
              <w:t>74</w:t>
            </w:r>
            <w:r w:rsidRPr="00CA56DB">
              <w:rPr>
                <w:sz w:val="20"/>
              </w:rPr>
              <w:t xml:space="preserve"> ± 0.4</w:t>
            </w:r>
            <w:r>
              <w:rPr>
                <w:sz w:val="20"/>
              </w:rPr>
              <w:t>3</w:t>
            </w:r>
            <w:r w:rsidRPr="00CA56DB">
              <w:rPr>
                <w:sz w:val="20"/>
              </w:rPr>
              <w:t xml:space="preserve">) </w:t>
            </w:r>
            <w:r w:rsidRPr="00CA56DB">
              <w:rPr>
                <w:rFonts w:ascii="Symbol" w:eastAsia="Symbol" w:hAnsi="Symbol" w:cs="Symbol"/>
                <w:sz w:val="20"/>
              </w:rPr>
              <w:t></w:t>
            </w:r>
            <w:r w:rsidRPr="00CA56DB">
              <w:rPr>
                <w:sz w:val="20"/>
              </w:rPr>
              <w:t xml:space="preserve"> 10</w:t>
            </w:r>
            <w:r w:rsidRPr="00CA56DB">
              <w:rPr>
                <w:sz w:val="20"/>
                <w:vertAlign w:val="superscript"/>
              </w:rPr>
              <w:t>-11</w:t>
            </w:r>
          </w:p>
        </w:tc>
        <w:tc>
          <w:tcPr>
            <w:tcW w:w="1134" w:type="dxa"/>
            <w:gridSpan w:val="2"/>
            <w:shd w:val="clear" w:color="auto" w:fill="auto"/>
          </w:tcPr>
          <w:p w14:paraId="2D020A0C" w14:textId="77777777" w:rsidR="00AD533F" w:rsidRPr="00CA56DB" w:rsidRDefault="00AD533F" w:rsidP="00AD533F">
            <w:pPr>
              <w:overflowPunct w:val="0"/>
              <w:autoSpaceDE w:val="0"/>
              <w:autoSpaceDN w:val="0"/>
              <w:adjustRightInd w:val="0"/>
              <w:rPr>
                <w:sz w:val="20"/>
                <w:lang w:eastAsia="en-US"/>
              </w:rPr>
            </w:pPr>
            <w:r w:rsidRPr="00CA56DB">
              <w:rPr>
                <w:sz w:val="20"/>
              </w:rPr>
              <w:t>295</w:t>
            </w:r>
          </w:p>
        </w:tc>
        <w:tc>
          <w:tcPr>
            <w:tcW w:w="2552" w:type="dxa"/>
            <w:gridSpan w:val="2"/>
            <w:shd w:val="clear" w:color="auto" w:fill="auto"/>
          </w:tcPr>
          <w:p w14:paraId="42482774" w14:textId="77777777" w:rsidR="00AD533F" w:rsidRPr="00CA56DB" w:rsidRDefault="00AD533F" w:rsidP="00AD533F">
            <w:pPr>
              <w:overflowPunct w:val="0"/>
              <w:autoSpaceDE w:val="0"/>
              <w:autoSpaceDN w:val="0"/>
              <w:adjustRightInd w:val="0"/>
              <w:rPr>
                <w:sz w:val="20"/>
                <w:lang w:eastAsia="en-US"/>
              </w:rPr>
            </w:pPr>
            <w:r>
              <w:rPr>
                <w:sz w:val="20"/>
              </w:rPr>
              <w:t>Howes</w:t>
            </w:r>
            <w:r w:rsidRPr="00CA56DB">
              <w:rPr>
                <w:sz w:val="20"/>
              </w:rPr>
              <w:t xml:space="preserve"> et al., 201</w:t>
            </w:r>
            <w:r>
              <w:rPr>
                <w:sz w:val="20"/>
              </w:rPr>
              <w:t>8</w:t>
            </w:r>
          </w:p>
        </w:tc>
        <w:tc>
          <w:tcPr>
            <w:tcW w:w="2247" w:type="dxa"/>
            <w:gridSpan w:val="3"/>
            <w:shd w:val="clear" w:color="auto" w:fill="auto"/>
          </w:tcPr>
          <w:p w14:paraId="651E76B6" w14:textId="77777777" w:rsidR="00AD533F" w:rsidRPr="00CA56DB" w:rsidRDefault="00AD533F" w:rsidP="00AD533F">
            <w:pPr>
              <w:overflowPunct w:val="0"/>
              <w:autoSpaceDE w:val="0"/>
              <w:autoSpaceDN w:val="0"/>
              <w:adjustRightInd w:val="0"/>
              <w:jc w:val="both"/>
              <w:rPr>
                <w:sz w:val="20"/>
                <w:lang w:eastAsia="en-US"/>
              </w:rPr>
            </w:pPr>
            <w:r w:rsidRPr="00CA56DB">
              <w:rPr>
                <w:sz w:val="20"/>
              </w:rPr>
              <w:t>PLP-PIMS (</w:t>
            </w:r>
            <w:r>
              <w:rPr>
                <w:sz w:val="20"/>
              </w:rPr>
              <w:t>h</w:t>
            </w:r>
            <w:r w:rsidRPr="00CA56DB">
              <w:rPr>
                <w:sz w:val="20"/>
              </w:rPr>
              <w:t>)</w:t>
            </w:r>
          </w:p>
        </w:tc>
      </w:tr>
      <w:tr w:rsidR="00AD533F" w:rsidRPr="001D3940" w14:paraId="3AE3A732" w14:textId="77777777" w:rsidTr="0035415F">
        <w:tc>
          <w:tcPr>
            <w:tcW w:w="3074" w:type="dxa"/>
            <w:shd w:val="clear" w:color="auto" w:fill="auto"/>
          </w:tcPr>
          <w:p w14:paraId="5EC293FC" w14:textId="77777777" w:rsidR="00AD533F" w:rsidRPr="00CA56DB" w:rsidRDefault="00AD533F" w:rsidP="0035415F">
            <w:pPr>
              <w:overflowPunct w:val="0"/>
              <w:autoSpaceDE w:val="0"/>
              <w:autoSpaceDN w:val="0"/>
              <w:adjustRightInd w:val="0"/>
              <w:jc w:val="both"/>
              <w:rPr>
                <w:rFonts w:cs="e364b11"/>
                <w:color w:val="auto"/>
                <w:sz w:val="20"/>
              </w:rPr>
            </w:pPr>
            <w:r w:rsidRPr="00CA56DB">
              <w:rPr>
                <w:sz w:val="20"/>
              </w:rPr>
              <w:t>(3.</w:t>
            </w:r>
            <w:r>
              <w:rPr>
                <w:sz w:val="20"/>
              </w:rPr>
              <w:t>87</w:t>
            </w:r>
            <w:r w:rsidRPr="00CA56DB">
              <w:rPr>
                <w:sz w:val="20"/>
              </w:rPr>
              <w:t xml:space="preserve"> ± 0.4</w:t>
            </w:r>
            <w:r>
              <w:rPr>
                <w:sz w:val="20"/>
              </w:rPr>
              <w:t>5</w:t>
            </w:r>
            <w:r w:rsidRPr="00CA56DB">
              <w:rPr>
                <w:sz w:val="20"/>
              </w:rPr>
              <w:t xml:space="preserve">) </w:t>
            </w:r>
            <w:r w:rsidRPr="00CA56DB">
              <w:rPr>
                <w:rFonts w:ascii="Symbol" w:eastAsia="Symbol" w:hAnsi="Symbol" w:cs="Symbol"/>
                <w:sz w:val="20"/>
              </w:rPr>
              <w:t></w:t>
            </w:r>
            <w:r w:rsidRPr="00CA56DB">
              <w:rPr>
                <w:sz w:val="20"/>
              </w:rPr>
              <w:t xml:space="preserve"> 10</w:t>
            </w:r>
            <w:r w:rsidRPr="00CA56DB">
              <w:rPr>
                <w:sz w:val="20"/>
                <w:vertAlign w:val="superscript"/>
              </w:rPr>
              <w:t>-11</w:t>
            </w:r>
          </w:p>
        </w:tc>
        <w:tc>
          <w:tcPr>
            <w:tcW w:w="1134" w:type="dxa"/>
            <w:gridSpan w:val="2"/>
            <w:shd w:val="clear" w:color="auto" w:fill="auto"/>
          </w:tcPr>
          <w:p w14:paraId="69B42115" w14:textId="77777777" w:rsidR="00AD533F" w:rsidRPr="00CA56DB" w:rsidRDefault="00AD533F" w:rsidP="00A71470">
            <w:pPr>
              <w:overflowPunct w:val="0"/>
              <w:autoSpaceDE w:val="0"/>
              <w:autoSpaceDN w:val="0"/>
              <w:adjustRightInd w:val="0"/>
              <w:rPr>
                <w:color w:val="auto"/>
                <w:sz w:val="20"/>
                <w:lang w:eastAsia="en-US"/>
              </w:rPr>
            </w:pPr>
            <w:r>
              <w:rPr>
                <w:color w:val="auto"/>
                <w:sz w:val="20"/>
                <w:lang w:eastAsia="en-US"/>
              </w:rPr>
              <w:t>295</w:t>
            </w:r>
          </w:p>
        </w:tc>
        <w:tc>
          <w:tcPr>
            <w:tcW w:w="2552" w:type="dxa"/>
            <w:gridSpan w:val="2"/>
            <w:shd w:val="clear" w:color="auto" w:fill="auto"/>
          </w:tcPr>
          <w:p w14:paraId="3E660A1B" w14:textId="77777777" w:rsidR="00AD533F" w:rsidRPr="00CA56DB" w:rsidRDefault="00AD533F" w:rsidP="00A71470">
            <w:pPr>
              <w:overflowPunct w:val="0"/>
              <w:autoSpaceDE w:val="0"/>
              <w:autoSpaceDN w:val="0"/>
              <w:adjustRightInd w:val="0"/>
              <w:rPr>
                <w:color w:val="auto"/>
                <w:sz w:val="20"/>
                <w:lang w:eastAsia="en-US"/>
              </w:rPr>
            </w:pPr>
          </w:p>
        </w:tc>
        <w:tc>
          <w:tcPr>
            <w:tcW w:w="2247" w:type="dxa"/>
            <w:gridSpan w:val="3"/>
            <w:shd w:val="clear" w:color="auto" w:fill="auto"/>
          </w:tcPr>
          <w:p w14:paraId="6B9E81BA" w14:textId="0BE5911F" w:rsidR="00AD533F" w:rsidRPr="00CA56DB" w:rsidRDefault="00AD533F" w:rsidP="00AD533F">
            <w:pPr>
              <w:overflowPunct w:val="0"/>
              <w:autoSpaceDE w:val="0"/>
              <w:autoSpaceDN w:val="0"/>
              <w:adjustRightInd w:val="0"/>
              <w:jc w:val="both"/>
              <w:rPr>
                <w:color w:val="auto"/>
                <w:sz w:val="20"/>
                <w:lang w:eastAsia="en-US"/>
              </w:rPr>
            </w:pPr>
            <w:r w:rsidRPr="00CA56DB">
              <w:rPr>
                <w:sz w:val="20"/>
              </w:rPr>
              <w:t>PLP-</w:t>
            </w:r>
            <w:r>
              <w:rPr>
                <w:sz w:val="20"/>
              </w:rPr>
              <w:t>UVA</w:t>
            </w:r>
            <w:r w:rsidRPr="00CA56DB">
              <w:rPr>
                <w:sz w:val="20"/>
              </w:rPr>
              <w:t xml:space="preserve"> (</w:t>
            </w:r>
            <w:r>
              <w:rPr>
                <w:sz w:val="20"/>
              </w:rPr>
              <w:t>h</w:t>
            </w:r>
            <w:r w:rsidRPr="00CA56DB">
              <w:rPr>
                <w:sz w:val="20"/>
              </w:rPr>
              <w:t>)</w:t>
            </w:r>
          </w:p>
        </w:tc>
      </w:tr>
      <w:tr w:rsidR="00A71470" w:rsidRPr="001D3940" w14:paraId="4292F25C" w14:textId="77777777" w:rsidTr="00A914B7">
        <w:tc>
          <w:tcPr>
            <w:tcW w:w="3074" w:type="dxa"/>
            <w:tcBorders>
              <w:bottom w:val="single" w:sz="4" w:space="0" w:color="auto"/>
            </w:tcBorders>
            <w:shd w:val="clear" w:color="auto" w:fill="auto"/>
          </w:tcPr>
          <w:p w14:paraId="132C0859" w14:textId="55BF2631" w:rsidR="00A71470" w:rsidRPr="00CA56DB" w:rsidRDefault="00A71470" w:rsidP="00A71470">
            <w:pPr>
              <w:overflowPunct w:val="0"/>
              <w:autoSpaceDE w:val="0"/>
              <w:autoSpaceDN w:val="0"/>
              <w:adjustRightInd w:val="0"/>
              <w:spacing w:after="120"/>
              <w:jc w:val="both"/>
              <w:rPr>
                <w:sz w:val="20"/>
              </w:rPr>
            </w:pPr>
            <w:r>
              <w:rPr>
                <w:sz w:val="20"/>
              </w:rPr>
              <w:t xml:space="preserve">(3.6 ± 0.1) </w:t>
            </w:r>
            <w:r w:rsidRPr="00CA56DB">
              <w:rPr>
                <w:rFonts w:ascii="Symbol" w:eastAsia="Symbol" w:hAnsi="Symbol" w:cs="Symbol"/>
                <w:sz w:val="20"/>
              </w:rPr>
              <w:t></w:t>
            </w:r>
            <w:r>
              <w:rPr>
                <w:sz w:val="20"/>
              </w:rPr>
              <w:t xml:space="preserve"> 10</w:t>
            </w:r>
            <w:r>
              <w:rPr>
                <w:sz w:val="20"/>
                <w:vertAlign w:val="superscript"/>
              </w:rPr>
              <w:t>-11</w:t>
            </w:r>
          </w:p>
        </w:tc>
        <w:tc>
          <w:tcPr>
            <w:tcW w:w="1134" w:type="dxa"/>
            <w:gridSpan w:val="2"/>
            <w:tcBorders>
              <w:bottom w:val="single" w:sz="4" w:space="0" w:color="auto"/>
            </w:tcBorders>
            <w:shd w:val="clear" w:color="auto" w:fill="auto"/>
          </w:tcPr>
          <w:p w14:paraId="1B48FFBF" w14:textId="2128FA66" w:rsidR="00A71470" w:rsidRDefault="00A71470" w:rsidP="00A71470">
            <w:pPr>
              <w:overflowPunct w:val="0"/>
              <w:autoSpaceDE w:val="0"/>
              <w:autoSpaceDN w:val="0"/>
              <w:adjustRightInd w:val="0"/>
              <w:rPr>
                <w:color w:val="auto"/>
                <w:sz w:val="20"/>
                <w:lang w:eastAsia="en-US"/>
              </w:rPr>
            </w:pPr>
            <w:r>
              <w:rPr>
                <w:sz w:val="20"/>
              </w:rPr>
              <w:t>295</w:t>
            </w:r>
          </w:p>
        </w:tc>
        <w:tc>
          <w:tcPr>
            <w:tcW w:w="2552" w:type="dxa"/>
            <w:gridSpan w:val="2"/>
            <w:tcBorders>
              <w:bottom w:val="single" w:sz="4" w:space="0" w:color="auto"/>
            </w:tcBorders>
            <w:shd w:val="clear" w:color="auto" w:fill="auto"/>
          </w:tcPr>
          <w:p w14:paraId="5A880BD1" w14:textId="3C1AD14E" w:rsidR="00A71470" w:rsidRPr="00CA56DB" w:rsidRDefault="00A71470" w:rsidP="00A71470">
            <w:pPr>
              <w:overflowPunct w:val="0"/>
              <w:autoSpaceDE w:val="0"/>
              <w:autoSpaceDN w:val="0"/>
              <w:adjustRightInd w:val="0"/>
              <w:rPr>
                <w:color w:val="auto"/>
                <w:sz w:val="20"/>
                <w:lang w:eastAsia="en-US"/>
              </w:rPr>
            </w:pPr>
            <w:proofErr w:type="spellStart"/>
            <w:r>
              <w:rPr>
                <w:sz w:val="20"/>
              </w:rPr>
              <w:t>Qiu</w:t>
            </w:r>
            <w:proofErr w:type="spellEnd"/>
            <w:r>
              <w:rPr>
                <w:sz w:val="20"/>
              </w:rPr>
              <w:t xml:space="preserve"> and </w:t>
            </w:r>
            <w:proofErr w:type="spellStart"/>
            <w:r>
              <w:rPr>
                <w:sz w:val="20"/>
              </w:rPr>
              <w:t>Tonokura</w:t>
            </w:r>
            <w:proofErr w:type="spellEnd"/>
            <w:r>
              <w:rPr>
                <w:sz w:val="20"/>
              </w:rPr>
              <w:t>, 2019</w:t>
            </w:r>
          </w:p>
        </w:tc>
        <w:tc>
          <w:tcPr>
            <w:tcW w:w="2247" w:type="dxa"/>
            <w:gridSpan w:val="3"/>
            <w:tcBorders>
              <w:bottom w:val="single" w:sz="4" w:space="0" w:color="auto"/>
            </w:tcBorders>
            <w:shd w:val="clear" w:color="auto" w:fill="auto"/>
          </w:tcPr>
          <w:p w14:paraId="303A2B11" w14:textId="6BDC644A" w:rsidR="00A71470" w:rsidRPr="00CA56DB" w:rsidRDefault="00A71470" w:rsidP="00A71470">
            <w:pPr>
              <w:overflowPunct w:val="0"/>
              <w:autoSpaceDE w:val="0"/>
              <w:autoSpaceDN w:val="0"/>
              <w:adjustRightInd w:val="0"/>
              <w:jc w:val="both"/>
              <w:rPr>
                <w:sz w:val="20"/>
              </w:rPr>
            </w:pPr>
            <w:r>
              <w:rPr>
                <w:sz w:val="20"/>
              </w:rPr>
              <w:t>PLP-IR (</w:t>
            </w:r>
            <w:proofErr w:type="spellStart"/>
            <w:r>
              <w:rPr>
                <w:sz w:val="20"/>
              </w:rPr>
              <w:t>i</w:t>
            </w:r>
            <w:proofErr w:type="spellEnd"/>
            <w:r>
              <w:rPr>
                <w:sz w:val="20"/>
              </w:rPr>
              <w:t>)</w:t>
            </w:r>
          </w:p>
        </w:tc>
      </w:tr>
    </w:tbl>
    <w:p w14:paraId="4A91EEEC" w14:textId="77777777" w:rsidR="00F340B1" w:rsidRPr="001D3940" w:rsidRDefault="00F340B1" w:rsidP="00F340B1">
      <w:pPr>
        <w:tabs>
          <w:tab w:val="center" w:pos="4680"/>
        </w:tabs>
        <w:jc w:val="both"/>
        <w:rPr>
          <w:color w:val="auto"/>
        </w:rPr>
      </w:pPr>
    </w:p>
    <w:p w14:paraId="5B87B1B1" w14:textId="77777777" w:rsidR="00F340B1" w:rsidRPr="001D3940" w:rsidRDefault="00F340B1" w:rsidP="00F340B1">
      <w:pPr>
        <w:pStyle w:val="Heading5"/>
        <w:rPr>
          <w:color w:val="auto"/>
        </w:rPr>
      </w:pPr>
      <w:r w:rsidRPr="001D3940">
        <w:rPr>
          <w:color w:val="auto"/>
        </w:rPr>
        <w:t>Comments</w:t>
      </w:r>
    </w:p>
    <w:p w14:paraId="7FB8CAF5" w14:textId="77777777" w:rsidR="00F340B1" w:rsidRPr="001D3940" w:rsidRDefault="00F340B1" w:rsidP="00F340B1">
      <w:pPr>
        <w:tabs>
          <w:tab w:val="left" w:pos="-1440"/>
          <w:tab w:val="left" w:pos="-720"/>
          <w:tab w:val="left" w:pos="444"/>
        </w:tabs>
        <w:jc w:val="both"/>
        <w:rPr>
          <w:color w:val="auto"/>
        </w:rPr>
      </w:pPr>
    </w:p>
    <w:p w14:paraId="6F4F1C47" w14:textId="47818CD7" w:rsidR="00ED24D0" w:rsidRPr="001D3940" w:rsidRDefault="00AC70C1" w:rsidP="00ED24D0">
      <w:pPr>
        <w:numPr>
          <w:ilvl w:val="0"/>
          <w:numId w:val="3"/>
        </w:numPr>
        <w:tabs>
          <w:tab w:val="left" w:pos="-1440"/>
          <w:tab w:val="left" w:pos="-720"/>
          <w:tab w:val="left" w:pos="426"/>
        </w:tabs>
        <w:jc w:val="both"/>
        <w:rPr>
          <w:color w:val="auto"/>
          <w:spacing w:val="-3"/>
        </w:rPr>
      </w:pPr>
      <w:r>
        <w:t>CH</w:t>
      </w:r>
      <w:r>
        <w:rPr>
          <w:vertAlign w:val="subscript"/>
        </w:rPr>
        <w:t>2</w:t>
      </w:r>
      <w:r>
        <w:t>OO was produced by the reaction of CH</w:t>
      </w:r>
      <w:r>
        <w:rPr>
          <w:vertAlign w:val="subscript"/>
        </w:rPr>
        <w:t>2</w:t>
      </w:r>
      <w:r>
        <w:t>I + O</w:t>
      </w:r>
      <w:r>
        <w:rPr>
          <w:vertAlign w:val="subscript"/>
        </w:rPr>
        <w:t>2</w:t>
      </w:r>
      <w:r>
        <w:t>. CH</w:t>
      </w:r>
      <w:r>
        <w:rPr>
          <w:vertAlign w:val="subscript"/>
        </w:rPr>
        <w:t>2</w:t>
      </w:r>
      <w:r>
        <w:t>I was generated by 248</w:t>
      </w:r>
      <w:r w:rsidR="00FE29E1">
        <w:t xml:space="preserve"> </w:t>
      </w:r>
      <w:r>
        <w:t>nm laser photolysis of diiodomethane, CH</w:t>
      </w:r>
      <w:r>
        <w:rPr>
          <w:vertAlign w:val="subscript"/>
        </w:rPr>
        <w:t>2</w:t>
      </w:r>
      <w:r>
        <w:t>I</w:t>
      </w:r>
      <w:r>
        <w:rPr>
          <w:vertAlign w:val="subscript"/>
        </w:rPr>
        <w:t>2</w:t>
      </w:r>
      <w:r>
        <w:t xml:space="preserve">, at </w:t>
      </w:r>
      <w:r w:rsidR="00A71470">
        <w:t>29</w:t>
      </w:r>
      <w:r w:rsidR="00A71470">
        <w:t>8</w:t>
      </w:r>
      <w:r w:rsidR="00A71470">
        <w:t xml:space="preserve"> </w:t>
      </w:r>
      <w:r>
        <w:t>K and 4 torr total pressure in a large excess of O</w:t>
      </w:r>
      <w:r>
        <w:rPr>
          <w:vertAlign w:val="subscript"/>
        </w:rPr>
        <w:t>2</w:t>
      </w:r>
      <w:r>
        <w:t xml:space="preserve">. The reacting mixture was monitored by tunable synchrotron photoionization mass spectrometry, which allowed </w:t>
      </w:r>
      <w:proofErr w:type="spellStart"/>
      <w:r>
        <w:t>characterisation</w:t>
      </w:r>
      <w:proofErr w:type="spellEnd"/>
      <w:r>
        <w:t xml:space="preserve"> of the PIMS for CH</w:t>
      </w:r>
      <w:r>
        <w:rPr>
          <w:vertAlign w:val="subscript"/>
        </w:rPr>
        <w:t>2</w:t>
      </w:r>
      <w:r>
        <w:t>OO and its reaction products over the region 9.5 – 11.5 eV,</w:t>
      </w:r>
      <w:r w:rsidR="00920B71">
        <w:t xml:space="preserve"> and t</w:t>
      </w:r>
      <w:r>
        <w:t>ime-resolved direct detection of CH</w:t>
      </w:r>
      <w:r>
        <w:rPr>
          <w:vertAlign w:val="subscript"/>
        </w:rPr>
        <w:t>2</w:t>
      </w:r>
      <w:r>
        <w:t xml:space="preserve">OO at m/z = 46 </w:t>
      </w:r>
      <w:proofErr w:type="spellStart"/>
      <w:r>
        <w:t>amu</w:t>
      </w:r>
      <w:proofErr w:type="spellEnd"/>
      <w:r>
        <w:t>.  The first order decay CH</w:t>
      </w:r>
      <w:r>
        <w:rPr>
          <w:vertAlign w:val="subscript"/>
        </w:rPr>
        <w:t>2</w:t>
      </w:r>
      <w:r>
        <w:t>OO in the presence of excess known concentrations of SO</w:t>
      </w:r>
      <w:r>
        <w:rPr>
          <w:vertAlign w:val="subscript"/>
        </w:rPr>
        <w:t>2</w:t>
      </w:r>
      <w:r>
        <w:t xml:space="preserve"> was used to determine the rate constants.  The uncertainty limits are 95 %, based on unweighted linear fit of [SO</w:t>
      </w:r>
      <w:r>
        <w:rPr>
          <w:vertAlign w:val="subscript"/>
        </w:rPr>
        <w:t>2</w:t>
      </w:r>
      <w:r>
        <w:t>] dependence of decay lifetimes.</w:t>
      </w:r>
    </w:p>
    <w:p w14:paraId="48FCB2A0" w14:textId="77777777" w:rsidR="00ED24D0" w:rsidRPr="00263004" w:rsidRDefault="00AC70C1" w:rsidP="00ED24D0">
      <w:pPr>
        <w:numPr>
          <w:ilvl w:val="0"/>
          <w:numId w:val="3"/>
        </w:numPr>
        <w:tabs>
          <w:tab w:val="left" w:pos="-1440"/>
          <w:tab w:val="left" w:pos="-720"/>
        </w:tabs>
        <w:jc w:val="both"/>
        <w:rPr>
          <w:color w:val="auto"/>
        </w:rPr>
      </w:pPr>
      <w:r>
        <w:t>CH</w:t>
      </w:r>
      <w:r>
        <w:rPr>
          <w:vertAlign w:val="subscript"/>
        </w:rPr>
        <w:t>2</w:t>
      </w:r>
      <w:r>
        <w:t>OO prepared by PLP (266 nm) of CH</w:t>
      </w:r>
      <w:r>
        <w:rPr>
          <w:vertAlign w:val="subscript"/>
        </w:rPr>
        <w:t>2</w:t>
      </w:r>
      <w:r>
        <w:t>I</w:t>
      </w:r>
      <w:r>
        <w:rPr>
          <w:vertAlign w:val="subscript"/>
        </w:rPr>
        <w:t>2</w:t>
      </w:r>
      <w:r>
        <w:t xml:space="preserve"> in O</w:t>
      </w:r>
      <w:r>
        <w:rPr>
          <w:vertAlign w:val="subscript"/>
        </w:rPr>
        <w:t>2</w:t>
      </w:r>
      <w:r>
        <w:t>/</w:t>
      </w:r>
      <w:proofErr w:type="spellStart"/>
      <w:r>
        <w:t>Ar</w:t>
      </w:r>
      <w:proofErr w:type="spellEnd"/>
      <w:r>
        <w:t xml:space="preserve"> mixtures at 5.1 Torr pressure. CH</w:t>
      </w:r>
      <w:r>
        <w:rPr>
          <w:vertAlign w:val="subscript"/>
        </w:rPr>
        <w:t>2</w:t>
      </w:r>
      <w:r>
        <w:t xml:space="preserve">OO kinetics observed by time-resolved UV absorption in the B̃ (1A′) ← X̃(1A′) electronic </w:t>
      </w:r>
      <w:r w:rsidR="00920B71">
        <w:t>spectrum</w:t>
      </w:r>
      <w:r>
        <w:t xml:space="preserve"> in presence of excess SO</w:t>
      </w:r>
      <w:r>
        <w:rPr>
          <w:vertAlign w:val="subscript"/>
        </w:rPr>
        <w:t>2</w:t>
      </w:r>
      <w:r w:rsidR="00ED24D0" w:rsidRPr="001D3940">
        <w:rPr>
          <w:color w:val="auto"/>
          <w:spacing w:val="-3"/>
        </w:rPr>
        <w:t>.</w:t>
      </w:r>
    </w:p>
    <w:p w14:paraId="215D6E15" w14:textId="77777777" w:rsidR="00ED24D0" w:rsidRPr="00AC70C1" w:rsidRDefault="00AC70C1" w:rsidP="00ED24D0">
      <w:pPr>
        <w:numPr>
          <w:ilvl w:val="0"/>
          <w:numId w:val="3"/>
        </w:numPr>
        <w:tabs>
          <w:tab w:val="left" w:pos="-1440"/>
          <w:tab w:val="left" w:pos="-720"/>
        </w:tabs>
        <w:jc w:val="both"/>
        <w:rPr>
          <w:color w:val="auto"/>
        </w:rPr>
      </w:pPr>
      <w:r>
        <w:t>Photolysis of CH</w:t>
      </w:r>
      <w:r>
        <w:rPr>
          <w:vertAlign w:val="subscript"/>
        </w:rPr>
        <w:t>2</w:t>
      </w:r>
      <w:r>
        <w:t>I</w:t>
      </w:r>
      <w:r>
        <w:rPr>
          <w:vertAlign w:val="subscript"/>
        </w:rPr>
        <w:t>2</w:t>
      </w:r>
      <w:r>
        <w:t>-O</w:t>
      </w:r>
      <w:r>
        <w:rPr>
          <w:vertAlign w:val="subscript"/>
        </w:rPr>
        <w:t>2</w:t>
      </w:r>
      <w:r>
        <w:t>-N</w:t>
      </w:r>
      <w:r>
        <w:rPr>
          <w:vertAlign w:val="subscript"/>
        </w:rPr>
        <w:t>2</w:t>
      </w:r>
      <w:r>
        <w:t xml:space="preserve"> mixtures. in the presence of excess SO</w:t>
      </w:r>
      <w:r>
        <w:rPr>
          <w:vertAlign w:val="subscript"/>
        </w:rPr>
        <w:t>2</w:t>
      </w:r>
      <w:r>
        <w:t>, under pseudo-first-order conditions. Kinetics of CH</w:t>
      </w:r>
      <w:r>
        <w:rPr>
          <w:vertAlign w:val="subscript"/>
        </w:rPr>
        <w:t>2</w:t>
      </w:r>
      <w:r>
        <w:t>OO + SO</w:t>
      </w:r>
      <w:r>
        <w:rPr>
          <w:vertAlign w:val="subscript"/>
        </w:rPr>
        <w:t>2</w:t>
      </w:r>
      <w:r>
        <w:t xml:space="preserve"> reaction were followed by time-resolved monitoring of HCHO products by laser-induced fluorescence (LIF) spectroscopy (pressure range: 50 – 450 Torr), and also by direct detection of CH</w:t>
      </w:r>
      <w:r>
        <w:rPr>
          <w:vertAlign w:val="subscript"/>
        </w:rPr>
        <w:t>2</w:t>
      </w:r>
      <w:r>
        <w:t>OO by photo-</w:t>
      </w:r>
      <w:proofErr w:type="spellStart"/>
      <w:r>
        <w:t>ionisation</w:t>
      </w:r>
      <w:proofErr w:type="spellEnd"/>
      <w:r>
        <w:t xml:space="preserve"> mass spectrometry (PIMS) at 1.5 Torr pressure.  Rate coefficients for CH</w:t>
      </w:r>
      <w:r>
        <w:rPr>
          <w:vertAlign w:val="subscript"/>
        </w:rPr>
        <w:t>2</w:t>
      </w:r>
      <w:r>
        <w:t>OO + SO</w:t>
      </w:r>
      <w:r>
        <w:rPr>
          <w:vertAlign w:val="subscript"/>
        </w:rPr>
        <w:t>2</w:t>
      </w:r>
      <w:r>
        <w:t xml:space="preserve"> were independent of pressure between 1.5 - 450 Torr, and cited values of </w:t>
      </w:r>
      <w:r>
        <w:rPr>
          <w:i/>
        </w:rPr>
        <w:t>k</w:t>
      </w:r>
      <w:r>
        <w:t xml:space="preserve"> are average values in this range. The uncertainty limits are 1</w:t>
      </w:r>
      <w:r>
        <w:rPr>
          <w:rFonts w:ascii="Symbol" w:hAnsi="Symbol"/>
          <w:i/>
        </w:rPr>
        <w:t></w:t>
      </w:r>
      <w:r>
        <w:t xml:space="preserve"> errors from fitting data.</w:t>
      </w:r>
    </w:p>
    <w:p w14:paraId="1854D9D2" w14:textId="5004F77E" w:rsidR="00AC70C1" w:rsidRPr="00AC70C1" w:rsidRDefault="00AC70C1" w:rsidP="00ED24D0">
      <w:pPr>
        <w:numPr>
          <w:ilvl w:val="0"/>
          <w:numId w:val="3"/>
        </w:numPr>
        <w:tabs>
          <w:tab w:val="left" w:pos="-1440"/>
          <w:tab w:val="left" w:pos="-720"/>
        </w:tabs>
        <w:jc w:val="both"/>
        <w:rPr>
          <w:color w:val="auto"/>
        </w:rPr>
      </w:pPr>
      <w:r>
        <w:lastRenderedPageBreak/>
        <w:t>Cavity ring-down spectroscopy was used to perform kinetic measurements at 293 K under low pressure (7 to 30 Torr) conditions, for reactions of CH</w:t>
      </w:r>
      <w:r>
        <w:rPr>
          <w:vertAlign w:val="subscript"/>
        </w:rPr>
        <w:t>2</w:t>
      </w:r>
      <w:r>
        <w:t>OO generated by (248</w:t>
      </w:r>
      <w:r w:rsidR="007650D2">
        <w:t xml:space="preserve"> </w:t>
      </w:r>
      <w:r>
        <w:t>nm) laser photolysis of CH</w:t>
      </w:r>
      <w:r>
        <w:rPr>
          <w:vertAlign w:val="subscript"/>
        </w:rPr>
        <w:t>2</w:t>
      </w:r>
      <w:r>
        <w:t>I</w:t>
      </w:r>
      <w:r>
        <w:rPr>
          <w:vertAlign w:val="subscript"/>
        </w:rPr>
        <w:t>2</w:t>
      </w:r>
      <w:r>
        <w:t xml:space="preserve"> in the presence of O</w:t>
      </w:r>
      <w:r>
        <w:rPr>
          <w:vertAlign w:val="subscript"/>
        </w:rPr>
        <w:t>2</w:t>
      </w:r>
      <w:r>
        <w:t xml:space="preserve">. The cited </w:t>
      </w:r>
      <w:r>
        <w:rPr>
          <w:i/>
        </w:rPr>
        <w:t>k</w:t>
      </w:r>
      <w:r>
        <w:t xml:space="preserve"> value for the CH</w:t>
      </w:r>
      <w:r>
        <w:rPr>
          <w:vertAlign w:val="subscript"/>
        </w:rPr>
        <w:t>2</w:t>
      </w:r>
      <w:r>
        <w:t>OO + SO</w:t>
      </w:r>
      <w:r>
        <w:rPr>
          <w:vertAlign w:val="subscript"/>
        </w:rPr>
        <w:t>2</w:t>
      </w:r>
      <w:r>
        <w:t xml:space="preserve"> reaction was determined from pseudo first order decay constants, obtained by fitting decay curves at different [SO</w:t>
      </w:r>
      <w:r>
        <w:rPr>
          <w:vertAlign w:val="subscript"/>
        </w:rPr>
        <w:t>2</w:t>
      </w:r>
      <w:r>
        <w:t>], accounting for contribution from self-reaction of CH</w:t>
      </w:r>
      <w:r>
        <w:rPr>
          <w:vertAlign w:val="subscript"/>
        </w:rPr>
        <w:t>2</w:t>
      </w:r>
      <w:r>
        <w:t xml:space="preserve">OO and unimolecular decay. </w:t>
      </w:r>
      <w:r>
        <w:rPr>
          <w:i/>
        </w:rPr>
        <w:t>k</w:t>
      </w:r>
      <w:r>
        <w:t xml:space="preserve"> was independent of pressure up to 30 Torr.  An upper limit for the unimolecular CH</w:t>
      </w:r>
      <w:r>
        <w:rPr>
          <w:vertAlign w:val="subscript"/>
        </w:rPr>
        <w:t>2</w:t>
      </w:r>
      <w:r>
        <w:t xml:space="preserve">OO loss rate coefficient of (11.6 </w:t>
      </w:r>
      <w:r>
        <w:rPr>
          <w:rFonts w:cs="Apple Symbols"/>
        </w:rPr>
        <w:t xml:space="preserve">± </w:t>
      </w:r>
      <w:r>
        <w:t>8.0) s</w:t>
      </w:r>
      <w:r>
        <w:rPr>
          <w:rFonts w:ascii="Apple Symbols" w:hAnsi="Apple Symbols" w:cs="Apple Symbols"/>
          <w:vertAlign w:val="superscript"/>
        </w:rPr>
        <w:t>-</w:t>
      </w:r>
      <w:r>
        <w:rPr>
          <w:vertAlign w:val="superscript"/>
        </w:rPr>
        <w:t>1</w:t>
      </w:r>
      <w:r>
        <w:t xml:space="preserve"> was deduced from the analysis. An SO</w:t>
      </w:r>
      <w:r>
        <w:rPr>
          <w:vertAlign w:val="subscript"/>
        </w:rPr>
        <w:t>2</w:t>
      </w:r>
      <w:r>
        <w:t xml:space="preserve"> </w:t>
      </w:r>
      <w:proofErr w:type="spellStart"/>
      <w:r>
        <w:t>catalysed</w:t>
      </w:r>
      <w:proofErr w:type="spellEnd"/>
      <w:r>
        <w:t xml:space="preserve"> CH</w:t>
      </w:r>
      <w:r>
        <w:rPr>
          <w:vertAlign w:val="subscript"/>
        </w:rPr>
        <w:t>2</w:t>
      </w:r>
      <w:r>
        <w:t xml:space="preserve">OO isomerization or intersystem crossing is proposed to occur with a rate coefficient of (3.53 </w:t>
      </w:r>
      <w:r>
        <w:rPr>
          <w:rFonts w:cs="Apple Symbols"/>
        </w:rPr>
        <w:t>±</w:t>
      </w:r>
      <w:r>
        <w:t xml:space="preserve"> 0.32) </w:t>
      </w:r>
      <w:r w:rsidRPr="001D3940">
        <w:rPr>
          <w:rFonts w:ascii="Symbol" w:hAnsi="Symbol" w:cs="Symbol"/>
          <w:color w:val="auto"/>
        </w:rPr>
        <w:t></w:t>
      </w:r>
      <w:r>
        <w:t xml:space="preserve"> 10</w:t>
      </w:r>
      <w:r>
        <w:rPr>
          <w:vertAlign w:val="superscript"/>
        </w:rPr>
        <w:t>-11</w:t>
      </w:r>
      <w:r>
        <w:t xml:space="preserve"> cm</w:t>
      </w:r>
      <w:r>
        <w:rPr>
          <w:vertAlign w:val="superscript"/>
        </w:rPr>
        <w:t>3</w:t>
      </w:r>
      <w:r>
        <w:t xml:space="preserve"> molecule</w:t>
      </w:r>
      <w:r>
        <w:rPr>
          <w:rFonts w:ascii="Apple Symbols" w:hAnsi="Apple Symbols" w:cs="Apple Symbols"/>
          <w:vertAlign w:val="superscript"/>
        </w:rPr>
        <w:t>-</w:t>
      </w:r>
      <w:r>
        <w:rPr>
          <w:vertAlign w:val="superscript"/>
        </w:rPr>
        <w:t>1</w:t>
      </w:r>
      <w:r>
        <w:t xml:space="preserve"> s</w:t>
      </w:r>
      <w:r>
        <w:rPr>
          <w:rFonts w:ascii="Apple Symbols" w:hAnsi="Apple Symbols" w:cs="Apple Symbols"/>
          <w:vertAlign w:val="superscript"/>
        </w:rPr>
        <w:t>-</w:t>
      </w:r>
      <w:r>
        <w:rPr>
          <w:vertAlign w:val="superscript"/>
        </w:rPr>
        <w:t>1</w:t>
      </w:r>
      <w:r>
        <w:t>.</w:t>
      </w:r>
    </w:p>
    <w:p w14:paraId="0A351DFE" w14:textId="69A027BC" w:rsidR="00AC70C1" w:rsidRPr="00AC70C1" w:rsidRDefault="00AC70C1" w:rsidP="00ED24D0">
      <w:pPr>
        <w:numPr>
          <w:ilvl w:val="0"/>
          <w:numId w:val="3"/>
        </w:numPr>
        <w:tabs>
          <w:tab w:val="left" w:pos="-1440"/>
          <w:tab w:val="left" w:pos="-720"/>
        </w:tabs>
        <w:jc w:val="both"/>
        <w:rPr>
          <w:color w:val="auto"/>
        </w:rPr>
      </w:pPr>
      <w:r>
        <w:t>CH</w:t>
      </w:r>
      <w:r>
        <w:rPr>
          <w:vertAlign w:val="subscript"/>
        </w:rPr>
        <w:t>2</w:t>
      </w:r>
      <w:r>
        <w:t>OO generated by 351nm laser flash photolysis of CH</w:t>
      </w:r>
      <w:r>
        <w:rPr>
          <w:vertAlign w:val="subscript"/>
        </w:rPr>
        <w:t>2</w:t>
      </w:r>
      <w:r>
        <w:t>I/O</w:t>
      </w:r>
      <w:r>
        <w:rPr>
          <w:vertAlign w:val="subscript"/>
        </w:rPr>
        <w:t xml:space="preserve">2 </w:t>
      </w:r>
      <w:r>
        <w:t xml:space="preserve">mixtures is accompanied by significant amounts of </w:t>
      </w:r>
      <w:r w:rsidR="00A71470">
        <w:t>HO</w:t>
      </w:r>
      <w:r>
        <w:t xml:space="preserve">, observed by time resolved LIF. At least two different processes formed </w:t>
      </w:r>
      <w:r w:rsidR="00A71470">
        <w:t>HO</w:t>
      </w:r>
      <w:r>
        <w:t>; a second, slower process appeared to be associated with the decay of CH</w:t>
      </w:r>
      <w:r>
        <w:rPr>
          <w:vertAlign w:val="subscript"/>
        </w:rPr>
        <w:t>2</w:t>
      </w:r>
      <w:r>
        <w:t xml:space="preserve">OO. Using the </w:t>
      </w:r>
      <w:r w:rsidR="00A71470">
        <w:t>HO</w:t>
      </w:r>
      <w:r w:rsidR="00A71470">
        <w:t xml:space="preserve"> </w:t>
      </w:r>
      <w:r>
        <w:t>signals as a proxy for the [CH</w:t>
      </w:r>
      <w:r>
        <w:rPr>
          <w:vertAlign w:val="subscript"/>
        </w:rPr>
        <w:t>2</w:t>
      </w:r>
      <w:r>
        <w:t>OO] concentration in the presence of excess SO</w:t>
      </w:r>
      <w:r>
        <w:rPr>
          <w:vertAlign w:val="subscript"/>
        </w:rPr>
        <w:t>2</w:t>
      </w:r>
      <w:r>
        <w:t xml:space="preserve"> the rate constant for the reaction of SO</w:t>
      </w:r>
      <w:r>
        <w:rPr>
          <w:vertAlign w:val="subscript"/>
        </w:rPr>
        <w:t>2</w:t>
      </w:r>
      <w:r>
        <w:t xml:space="preserve"> with CH</w:t>
      </w:r>
      <w:r>
        <w:rPr>
          <w:vertAlign w:val="subscript"/>
        </w:rPr>
        <w:t>2</w:t>
      </w:r>
      <w:r>
        <w:t xml:space="preserve">OO could be determined under pseudo first order conditions. </w:t>
      </w:r>
      <w:r>
        <w:rPr>
          <w:i/>
        </w:rPr>
        <w:t>k</w:t>
      </w:r>
      <w:r>
        <w:t xml:space="preserve"> showed no pressure dependence over the range of 50−200 </w:t>
      </w:r>
      <w:r w:rsidR="00661F61">
        <w:t>T</w:t>
      </w:r>
      <w:r>
        <w:t xml:space="preserve">orr, the average value was (3.53 ± 0.29) </w:t>
      </w:r>
      <w:r w:rsidRPr="001D3940">
        <w:rPr>
          <w:rFonts w:ascii="Symbol" w:hAnsi="Symbol" w:cs="Symbol"/>
          <w:color w:val="auto"/>
        </w:rPr>
        <w:t></w:t>
      </w:r>
      <w:r>
        <w:t xml:space="preserve"> 10</w:t>
      </w:r>
      <w:r>
        <w:rPr>
          <w:vertAlign w:val="superscript"/>
        </w:rPr>
        <w:t xml:space="preserve">-11 </w:t>
      </w:r>
      <w:r>
        <w:t>cm</w:t>
      </w:r>
      <w:r>
        <w:rPr>
          <w:vertAlign w:val="superscript"/>
        </w:rPr>
        <w:t>3</w:t>
      </w:r>
      <w:r>
        <w:t xml:space="preserve"> molecule</w:t>
      </w:r>
      <w:r>
        <w:rPr>
          <w:rFonts w:ascii="Apple Symbols" w:hAnsi="Apple Symbols" w:cs="Apple Symbols"/>
          <w:vertAlign w:val="superscript"/>
        </w:rPr>
        <w:t>-</w:t>
      </w:r>
      <w:r>
        <w:rPr>
          <w:vertAlign w:val="superscript"/>
        </w:rPr>
        <w:t>1</w:t>
      </w:r>
      <w:r>
        <w:t xml:space="preserve"> s</w:t>
      </w:r>
      <w:r>
        <w:rPr>
          <w:rFonts w:ascii="Apple Symbols" w:hAnsi="Apple Symbols" w:cs="Apple Symbols"/>
          <w:vertAlign w:val="superscript"/>
        </w:rPr>
        <w:t>-</w:t>
      </w:r>
      <w:r>
        <w:rPr>
          <w:vertAlign w:val="superscript"/>
        </w:rPr>
        <w:t>1</w:t>
      </w:r>
      <w:r>
        <w:t>.</w:t>
      </w:r>
    </w:p>
    <w:p w14:paraId="32CC3E70" w14:textId="4021419F" w:rsidR="00263004" w:rsidRDefault="00AC70C1" w:rsidP="00777B41">
      <w:pPr>
        <w:numPr>
          <w:ilvl w:val="0"/>
          <w:numId w:val="3"/>
        </w:numPr>
        <w:tabs>
          <w:tab w:val="left" w:pos="-1440"/>
          <w:tab w:val="left" w:pos="-720"/>
        </w:tabs>
        <w:jc w:val="both"/>
        <w:rPr>
          <w:color w:val="auto"/>
        </w:rPr>
      </w:pPr>
      <w:r w:rsidRPr="00CA56DB">
        <w:rPr>
          <w:color w:val="auto"/>
        </w:rPr>
        <w:t>CH</w:t>
      </w:r>
      <w:r w:rsidRPr="00CA56DB">
        <w:rPr>
          <w:color w:val="auto"/>
          <w:vertAlign w:val="subscript"/>
        </w:rPr>
        <w:t>2</w:t>
      </w:r>
      <w:r w:rsidRPr="00CA56DB">
        <w:rPr>
          <w:color w:val="auto"/>
        </w:rPr>
        <w:t>OO prepared by PLP (266 nm) of CH</w:t>
      </w:r>
      <w:r w:rsidRPr="00CA56DB">
        <w:rPr>
          <w:color w:val="auto"/>
          <w:vertAlign w:val="subscript"/>
        </w:rPr>
        <w:t>2</w:t>
      </w:r>
      <w:r w:rsidRPr="00CA56DB">
        <w:rPr>
          <w:color w:val="auto"/>
        </w:rPr>
        <w:t>I</w:t>
      </w:r>
      <w:r w:rsidRPr="00CA56DB">
        <w:rPr>
          <w:color w:val="auto"/>
          <w:vertAlign w:val="subscript"/>
        </w:rPr>
        <w:t>2</w:t>
      </w:r>
      <w:r w:rsidRPr="00CA56DB">
        <w:rPr>
          <w:color w:val="auto"/>
        </w:rPr>
        <w:t xml:space="preserve"> in O</w:t>
      </w:r>
      <w:r w:rsidRPr="00CA56DB">
        <w:rPr>
          <w:color w:val="auto"/>
          <w:vertAlign w:val="subscript"/>
        </w:rPr>
        <w:t>2</w:t>
      </w:r>
      <w:r w:rsidRPr="00CA56DB">
        <w:rPr>
          <w:color w:val="auto"/>
        </w:rPr>
        <w:t>/N</w:t>
      </w:r>
      <w:r w:rsidRPr="00CA56DB">
        <w:rPr>
          <w:color w:val="auto"/>
          <w:vertAlign w:val="subscript"/>
        </w:rPr>
        <w:t>2</w:t>
      </w:r>
      <w:r w:rsidRPr="00CA56DB">
        <w:rPr>
          <w:color w:val="auto"/>
        </w:rPr>
        <w:t xml:space="preserve"> mixtures at 30 - 755 Torr total pressure and 298 K. CH</w:t>
      </w:r>
      <w:r w:rsidRPr="00CA56DB">
        <w:rPr>
          <w:color w:val="auto"/>
          <w:vertAlign w:val="subscript"/>
        </w:rPr>
        <w:t>2</w:t>
      </w:r>
      <w:r w:rsidRPr="00CA56DB">
        <w:rPr>
          <w:color w:val="auto"/>
        </w:rPr>
        <w:t>OO kinetics observed by time-resolved UV absorption spectrum in the B̃ (1A′) ← X̃(1A′) electronic transition in presence of excess SO</w:t>
      </w:r>
      <w:r w:rsidRPr="00CA56DB">
        <w:rPr>
          <w:color w:val="auto"/>
          <w:vertAlign w:val="subscript"/>
        </w:rPr>
        <w:t>2</w:t>
      </w:r>
      <w:r w:rsidRPr="00CA56DB">
        <w:rPr>
          <w:color w:val="auto"/>
        </w:rPr>
        <w:t>. CH</w:t>
      </w:r>
      <w:r w:rsidRPr="00CA56DB">
        <w:rPr>
          <w:color w:val="auto"/>
          <w:vertAlign w:val="subscript"/>
        </w:rPr>
        <w:t>2</w:t>
      </w:r>
      <w:r w:rsidRPr="00CA56DB">
        <w:rPr>
          <w:color w:val="auto"/>
        </w:rPr>
        <w:t xml:space="preserve">OO was monitored by UV absorption </w:t>
      </w:r>
      <w:r w:rsidR="008C14EC">
        <w:rPr>
          <w:color w:val="auto"/>
        </w:rPr>
        <w:t>at</w:t>
      </w:r>
      <w:r w:rsidRPr="00CA56DB">
        <w:rPr>
          <w:color w:val="auto"/>
        </w:rPr>
        <w:t xml:space="preserve"> 340 nm, corresponding to the maximum in the B̃ (1A′) ← X̃(1A′) electronic transition. </w:t>
      </w:r>
      <w:r w:rsidR="00920B71">
        <w:rPr>
          <w:color w:val="auto"/>
        </w:rPr>
        <w:t>A</w:t>
      </w:r>
      <w:r w:rsidRPr="00CA56DB">
        <w:rPr>
          <w:color w:val="auto"/>
        </w:rPr>
        <w:t xml:space="preserve"> mean value of </w:t>
      </w:r>
      <w:r w:rsidRPr="0044732A">
        <w:rPr>
          <w:i/>
          <w:color w:val="auto"/>
        </w:rPr>
        <w:t>k</w:t>
      </w:r>
      <w:r w:rsidRPr="00CA56DB">
        <w:rPr>
          <w:color w:val="auto"/>
        </w:rPr>
        <w:t xml:space="preserve"> = (3.56 ± 0.11) </w:t>
      </w:r>
      <w:r w:rsidR="0085481F" w:rsidRPr="00CA56DB">
        <w:rPr>
          <w:rFonts w:ascii="Symbol" w:hAnsi="Symbol" w:cs="Symbol"/>
          <w:color w:val="auto"/>
        </w:rPr>
        <w:t></w:t>
      </w:r>
      <w:r w:rsidRPr="00CA56DB">
        <w:rPr>
          <w:color w:val="auto"/>
        </w:rPr>
        <w:t xml:space="preserve"> 10</w:t>
      </w:r>
      <w:r w:rsidRPr="00CA56DB">
        <w:rPr>
          <w:color w:val="auto"/>
          <w:vertAlign w:val="superscript"/>
        </w:rPr>
        <w:t xml:space="preserve">-11 </w:t>
      </w:r>
      <w:r w:rsidRPr="00CA56DB">
        <w:rPr>
          <w:color w:val="auto"/>
        </w:rPr>
        <w:t>cm</w:t>
      </w:r>
      <w:r w:rsidRPr="00CA56DB">
        <w:rPr>
          <w:color w:val="auto"/>
          <w:vertAlign w:val="superscript"/>
        </w:rPr>
        <w:t>3</w:t>
      </w:r>
      <w:r w:rsidRPr="00CA56DB">
        <w:rPr>
          <w:color w:val="auto"/>
        </w:rPr>
        <w:t xml:space="preserve"> molecule</w:t>
      </w:r>
      <w:r w:rsidRPr="00CA56DB">
        <w:rPr>
          <w:rFonts w:ascii="Apple Symbols" w:hAnsi="Apple Symbols" w:cs="Apple Symbols"/>
          <w:color w:val="auto"/>
          <w:vertAlign w:val="superscript"/>
        </w:rPr>
        <w:t>-</w:t>
      </w:r>
      <w:r w:rsidRPr="00CA56DB">
        <w:rPr>
          <w:color w:val="auto"/>
          <w:vertAlign w:val="superscript"/>
        </w:rPr>
        <w:t>1</w:t>
      </w:r>
      <w:r w:rsidRPr="00CA56DB">
        <w:rPr>
          <w:color w:val="auto"/>
        </w:rPr>
        <w:t xml:space="preserve"> s</w:t>
      </w:r>
      <w:r w:rsidRPr="00CA56DB">
        <w:rPr>
          <w:rFonts w:ascii="Apple Symbols" w:hAnsi="Apple Symbols" w:cs="Apple Symbols"/>
          <w:color w:val="auto"/>
          <w:vertAlign w:val="superscript"/>
        </w:rPr>
        <w:t>-</w:t>
      </w:r>
      <w:r w:rsidRPr="00CA56DB">
        <w:rPr>
          <w:color w:val="auto"/>
          <w:vertAlign w:val="superscript"/>
        </w:rPr>
        <w:t>1</w:t>
      </w:r>
      <w:r w:rsidRPr="00CA56DB">
        <w:rPr>
          <w:color w:val="auto"/>
        </w:rPr>
        <w:t xml:space="preserve">, was reported, with no significant pressure dependence of </w:t>
      </w:r>
      <w:r w:rsidRPr="00CA56DB">
        <w:rPr>
          <w:i/>
          <w:color w:val="auto"/>
        </w:rPr>
        <w:t xml:space="preserve">k </w:t>
      </w:r>
      <w:r w:rsidRPr="00CA56DB">
        <w:rPr>
          <w:color w:val="auto"/>
        </w:rPr>
        <w:t>in the experimental pressure range.</w:t>
      </w:r>
    </w:p>
    <w:p w14:paraId="60842C1F" w14:textId="77777777" w:rsidR="00AD533F" w:rsidRPr="00AD533F" w:rsidRDefault="00AD533F" w:rsidP="00AD533F">
      <w:pPr>
        <w:numPr>
          <w:ilvl w:val="0"/>
          <w:numId w:val="3"/>
        </w:numPr>
        <w:tabs>
          <w:tab w:val="left" w:pos="-1440"/>
          <w:tab w:val="left" w:pos="-720"/>
        </w:tabs>
        <w:jc w:val="both"/>
        <w:rPr>
          <w:color w:val="auto"/>
        </w:rPr>
      </w:pPr>
      <w:r w:rsidRPr="00FD6B87">
        <w:rPr>
          <w:color w:val="auto"/>
        </w:rPr>
        <w:t>CH</w:t>
      </w:r>
      <w:r w:rsidRPr="00FD6B87">
        <w:rPr>
          <w:color w:val="auto"/>
          <w:vertAlign w:val="subscript"/>
        </w:rPr>
        <w:t>2</w:t>
      </w:r>
      <w:r w:rsidRPr="00FD6B87">
        <w:rPr>
          <w:color w:val="auto"/>
        </w:rPr>
        <w:t>OO</w:t>
      </w:r>
      <w:r>
        <w:t xml:space="preserve"> (formaldehyde oxide)</w:t>
      </w:r>
      <w:r w:rsidRPr="00FD6B87">
        <w:rPr>
          <w:color w:val="auto"/>
        </w:rPr>
        <w:t xml:space="preserve"> was produced by the O</w:t>
      </w:r>
      <w:r w:rsidRPr="00FD6B87">
        <w:rPr>
          <w:color w:val="auto"/>
          <w:vertAlign w:val="subscript"/>
        </w:rPr>
        <w:t>3</w:t>
      </w:r>
      <w:r w:rsidRPr="00FD6B87">
        <w:rPr>
          <w:color w:val="auto"/>
        </w:rPr>
        <w:t xml:space="preserve"> + C</w:t>
      </w:r>
      <w:r w:rsidRPr="00FD6B87">
        <w:rPr>
          <w:color w:val="auto"/>
          <w:vertAlign w:val="subscript"/>
        </w:rPr>
        <w:t>2</w:t>
      </w:r>
      <w:r w:rsidRPr="00FD6B87">
        <w:rPr>
          <w:color w:val="auto"/>
        </w:rPr>
        <w:t>H</w:t>
      </w:r>
      <w:r w:rsidRPr="00FD6B87">
        <w:rPr>
          <w:color w:val="auto"/>
          <w:vertAlign w:val="subscript"/>
        </w:rPr>
        <w:t>4</w:t>
      </w:r>
      <w:r w:rsidRPr="00FD6B87">
        <w:rPr>
          <w:color w:val="auto"/>
        </w:rPr>
        <w:t xml:space="preserve"> reaction in air in a free-jet flow reactor at 1 bar and 295 ± 2 K. </w:t>
      </w:r>
      <w:r>
        <w:rPr>
          <w:color w:val="auto"/>
        </w:rPr>
        <w:t>CH</w:t>
      </w:r>
      <w:r w:rsidRPr="00FD6B87">
        <w:rPr>
          <w:color w:val="auto"/>
          <w:vertAlign w:val="subscript"/>
        </w:rPr>
        <w:t>2</w:t>
      </w:r>
      <w:r>
        <w:rPr>
          <w:color w:val="auto"/>
        </w:rPr>
        <w:t>OO was detected as CH</w:t>
      </w:r>
      <w:r w:rsidRPr="00FD6B87">
        <w:rPr>
          <w:color w:val="auto"/>
          <w:vertAlign w:val="subscript"/>
        </w:rPr>
        <w:t>2</w:t>
      </w:r>
      <w:r>
        <w:rPr>
          <w:color w:val="auto"/>
        </w:rPr>
        <w:t>OO-H</w:t>
      </w:r>
      <w:r w:rsidRPr="00FD6B87">
        <w:rPr>
          <w:color w:val="auto"/>
          <w:vertAlign w:val="superscript"/>
        </w:rPr>
        <w:t>+</w:t>
      </w:r>
      <w:r w:rsidRPr="00FD6B87">
        <w:rPr>
          <w:color w:val="auto"/>
        </w:rPr>
        <w:t xml:space="preserve"> </w:t>
      </w:r>
      <w:r>
        <w:rPr>
          <w:color w:val="auto"/>
        </w:rPr>
        <w:t>u</w:t>
      </w:r>
      <w:r w:rsidRPr="00FD6B87">
        <w:rPr>
          <w:color w:val="auto"/>
        </w:rPr>
        <w:t>sing CI-</w:t>
      </w:r>
      <w:proofErr w:type="spellStart"/>
      <w:r w:rsidRPr="00FD6B87">
        <w:rPr>
          <w:color w:val="auto"/>
        </w:rPr>
        <w:t>APi</w:t>
      </w:r>
      <w:proofErr w:type="spellEnd"/>
      <w:r w:rsidRPr="00FD6B87">
        <w:rPr>
          <w:color w:val="auto"/>
        </w:rPr>
        <w:t>-TOF mass spectromet</w:t>
      </w:r>
      <w:r>
        <w:rPr>
          <w:color w:val="auto"/>
        </w:rPr>
        <w:t xml:space="preserve">ry. </w:t>
      </w:r>
      <w:r w:rsidRPr="00FD6B87">
        <w:rPr>
          <w:i/>
          <w:iCs/>
          <w:color w:val="auto"/>
        </w:rPr>
        <w:t>k</w:t>
      </w:r>
      <w:r w:rsidRPr="00FD6B87">
        <w:rPr>
          <w:color w:val="auto"/>
        </w:rPr>
        <w:t xml:space="preserve"> was determined from the </w:t>
      </w:r>
      <w:r>
        <w:rPr>
          <w:color w:val="auto"/>
        </w:rPr>
        <w:t xml:space="preserve">relative </w:t>
      </w:r>
      <w:r w:rsidRPr="00FD6B87">
        <w:rPr>
          <w:color w:val="auto"/>
        </w:rPr>
        <w:t>suppression of the</w:t>
      </w:r>
      <w:r>
        <w:rPr>
          <w:color w:val="auto"/>
        </w:rPr>
        <w:t xml:space="preserve"> steady state concentration of the protonated species</w:t>
      </w:r>
      <w:r w:rsidRPr="00FD6B87">
        <w:rPr>
          <w:color w:val="auto"/>
        </w:rPr>
        <w:t xml:space="preserve"> </w:t>
      </w:r>
      <w:r>
        <w:rPr>
          <w:color w:val="auto"/>
        </w:rPr>
        <w:t>as a function of [SO</w:t>
      </w:r>
      <w:r w:rsidRPr="00AD533F">
        <w:rPr>
          <w:color w:val="auto"/>
          <w:vertAlign w:val="subscript"/>
        </w:rPr>
        <w:t>2</w:t>
      </w:r>
      <w:r>
        <w:rPr>
          <w:color w:val="auto"/>
        </w:rPr>
        <w:t>].</w:t>
      </w:r>
    </w:p>
    <w:p w14:paraId="499D8E82" w14:textId="18044684" w:rsidR="007B5080" w:rsidRPr="0035415F" w:rsidRDefault="007B5080" w:rsidP="00777B41">
      <w:pPr>
        <w:numPr>
          <w:ilvl w:val="0"/>
          <w:numId w:val="3"/>
        </w:numPr>
        <w:tabs>
          <w:tab w:val="left" w:pos="-1440"/>
          <w:tab w:val="left" w:pos="-720"/>
        </w:tabs>
        <w:jc w:val="both"/>
        <w:rPr>
          <w:color w:val="auto"/>
        </w:rPr>
      </w:pPr>
      <w:r w:rsidRPr="007B5080">
        <w:t>CH</w:t>
      </w:r>
      <w:r w:rsidRPr="007B5080">
        <w:rPr>
          <w:vertAlign w:val="subscript"/>
        </w:rPr>
        <w:t>2</w:t>
      </w:r>
      <w:r w:rsidRPr="007B5080">
        <w:t>OO generated by laser flash photolysis (LF) of CH</w:t>
      </w:r>
      <w:r w:rsidRPr="007B5080">
        <w:rPr>
          <w:vertAlign w:val="subscript"/>
        </w:rPr>
        <w:t>2</w:t>
      </w:r>
      <w:r w:rsidRPr="007B5080">
        <w:t>I</w:t>
      </w:r>
      <w:r w:rsidRPr="007B5080">
        <w:rPr>
          <w:vertAlign w:val="subscript"/>
        </w:rPr>
        <w:t>2</w:t>
      </w:r>
      <w:r w:rsidRPr="007B5080">
        <w:t>/O</w:t>
      </w:r>
      <w:r w:rsidRPr="007B5080">
        <w:rPr>
          <w:vertAlign w:val="subscript"/>
        </w:rPr>
        <w:t xml:space="preserve">2 </w:t>
      </w:r>
      <w:r w:rsidRPr="007B5080">
        <w:t>and its concentration monitored by photoionization mass spectrometry (PIMS). PIMS has been used to determine the rate coefficient for the reaction of CH</w:t>
      </w:r>
      <w:r w:rsidRPr="007B5080">
        <w:rPr>
          <w:vertAlign w:val="subscript"/>
        </w:rPr>
        <w:t>2</w:t>
      </w:r>
      <w:r w:rsidRPr="007B5080">
        <w:t>OO with SO</w:t>
      </w:r>
      <w:r w:rsidRPr="007B5080">
        <w:rPr>
          <w:vertAlign w:val="subscript"/>
        </w:rPr>
        <w:t>2</w:t>
      </w:r>
      <w:r w:rsidRPr="007B5080">
        <w:t xml:space="preserve"> at 295 K and 2 Torr (He). Additional LFP experiments were performed monitoring CH</w:t>
      </w:r>
      <w:r w:rsidRPr="007B5080">
        <w:rPr>
          <w:vertAlign w:val="subscript"/>
        </w:rPr>
        <w:t>2</w:t>
      </w:r>
      <w:r w:rsidRPr="007B5080">
        <w:t>OO by time resolved broadband UV absorption spectroscopy (TRUVAS) at 295 K and 50 Torr (N</w:t>
      </w:r>
      <w:r w:rsidRPr="007B5080">
        <w:rPr>
          <w:vertAlign w:val="subscript"/>
        </w:rPr>
        <w:t>2</w:t>
      </w:r>
      <w:r w:rsidRPr="007B5080">
        <w:t>). The rate coefficients determined at 295</w:t>
      </w:r>
      <w:r w:rsidR="00661F61">
        <w:t xml:space="preserve"> </w:t>
      </w:r>
      <w:r w:rsidRPr="007B5080">
        <w:t>±</w:t>
      </w:r>
      <w:r w:rsidR="00661F61">
        <w:t xml:space="preserve"> </w:t>
      </w:r>
      <w:r w:rsidRPr="007B5080">
        <w:t>2 K in both experimental systems are in excellent agreement.</w:t>
      </w:r>
    </w:p>
    <w:p w14:paraId="5D60F7CF" w14:textId="32666BD3" w:rsidR="00A71470" w:rsidRPr="007B5080" w:rsidRDefault="00A71470" w:rsidP="00777B41">
      <w:pPr>
        <w:numPr>
          <w:ilvl w:val="0"/>
          <w:numId w:val="3"/>
        </w:numPr>
        <w:tabs>
          <w:tab w:val="left" w:pos="-1440"/>
          <w:tab w:val="left" w:pos="-720"/>
        </w:tabs>
        <w:jc w:val="both"/>
        <w:rPr>
          <w:color w:val="auto"/>
        </w:rPr>
      </w:pPr>
      <w:r>
        <w:t>CH</w:t>
      </w:r>
      <w:r w:rsidRPr="00E84DFA">
        <w:rPr>
          <w:vertAlign w:val="subscript"/>
        </w:rPr>
        <w:t>2</w:t>
      </w:r>
      <w:r>
        <w:t>OO was produced by the 266 nm laser photolysis of CH</w:t>
      </w:r>
      <w:r w:rsidRPr="00E84DFA">
        <w:rPr>
          <w:vertAlign w:val="subscript"/>
        </w:rPr>
        <w:t>2</w:t>
      </w:r>
      <w:r>
        <w:t>I</w:t>
      </w:r>
      <w:r w:rsidRPr="00E84DFA">
        <w:rPr>
          <w:vertAlign w:val="subscript"/>
        </w:rPr>
        <w:t>2</w:t>
      </w:r>
      <w:r>
        <w:t>-O</w:t>
      </w:r>
      <w:r w:rsidRPr="00E84DFA">
        <w:rPr>
          <w:vertAlign w:val="subscript"/>
        </w:rPr>
        <w:t>2</w:t>
      </w:r>
      <w:r>
        <w:t>-N</w:t>
      </w:r>
      <w:r w:rsidRPr="00E84DFA">
        <w:rPr>
          <w:vertAlign w:val="subscript"/>
        </w:rPr>
        <w:t>2</w:t>
      </w:r>
      <w:r>
        <w:t xml:space="preserve"> mixtures at 295 ± 3 K and 7.7 Torr. The time-resolved decay kinetics of CH</w:t>
      </w:r>
      <w:r w:rsidRPr="00E84DFA">
        <w:rPr>
          <w:vertAlign w:val="subscript"/>
        </w:rPr>
        <w:t>2</w:t>
      </w:r>
      <w:r>
        <w:t>OO were followed by mid-IR continuous-wave quantum cascade laser spectroscopy in the ν</w:t>
      </w:r>
      <w:r w:rsidRPr="00E84DFA">
        <w:rPr>
          <w:vertAlign w:val="subscript"/>
        </w:rPr>
        <w:t>4</w:t>
      </w:r>
      <w:r>
        <w:t xml:space="preserve"> band at 1274 cm</w:t>
      </w:r>
      <w:r w:rsidRPr="00E84DFA">
        <w:rPr>
          <w:vertAlign w:val="superscript"/>
        </w:rPr>
        <w:t>-1</w:t>
      </w:r>
      <w:r>
        <w:t>, under pseudo-first order conditions in the presence of excess [SO</w:t>
      </w:r>
      <w:r w:rsidRPr="00E84DFA">
        <w:rPr>
          <w:vertAlign w:val="subscript"/>
        </w:rPr>
        <w:t>2</w:t>
      </w:r>
      <w:r>
        <w:t xml:space="preserve">]. The tabulated value of </w:t>
      </w:r>
      <w:r w:rsidRPr="00111548">
        <w:rPr>
          <w:i/>
          <w:iCs/>
        </w:rPr>
        <w:t>k</w:t>
      </w:r>
      <w:r>
        <w:t xml:space="preserve"> was determined from the dependence of the first-order decay constant on [SO</w:t>
      </w:r>
      <w:r w:rsidRPr="00E84DFA">
        <w:rPr>
          <w:vertAlign w:val="subscript"/>
        </w:rPr>
        <w:t>2</w:t>
      </w:r>
      <w:r>
        <w:t>].</w:t>
      </w:r>
    </w:p>
    <w:p w14:paraId="3C70E49F" w14:textId="77777777" w:rsidR="00ED24D0" w:rsidRDefault="00ED24D0">
      <w:pPr>
        <w:tabs>
          <w:tab w:val="left" w:pos="-1440"/>
          <w:tab w:val="left" w:pos="-720"/>
          <w:tab w:val="left" w:pos="444"/>
        </w:tabs>
        <w:jc w:val="both"/>
      </w:pPr>
    </w:p>
    <w:p w14:paraId="51FF87F8" w14:textId="77777777" w:rsidR="00ED24D0" w:rsidRPr="001D3940" w:rsidRDefault="00ED24D0" w:rsidP="00ED24D0">
      <w:pPr>
        <w:pStyle w:val="Heading5"/>
        <w:tabs>
          <w:tab w:val="clear" w:pos="4867"/>
          <w:tab w:val="clear" w:pos="7982"/>
          <w:tab w:val="clear" w:pos="8395"/>
          <w:tab w:val="clear" w:pos="8812"/>
        </w:tabs>
        <w:rPr>
          <w:color w:val="auto"/>
        </w:rPr>
      </w:pPr>
      <w:r w:rsidRPr="001D3940">
        <w:rPr>
          <w:color w:val="auto"/>
        </w:rPr>
        <w:t>Preferred Values</w:t>
      </w:r>
    </w:p>
    <w:p w14:paraId="531017A0" w14:textId="77777777" w:rsidR="00ED24D0" w:rsidRPr="001D3940" w:rsidRDefault="00ED24D0" w:rsidP="00ED24D0">
      <w:pPr>
        <w:tabs>
          <w:tab w:val="left" w:pos="-1440"/>
          <w:tab w:val="left" w:pos="-720"/>
          <w:tab w:val="left" w:pos="444"/>
        </w:tabs>
        <w:jc w:val="both"/>
        <w:rPr>
          <w:color w:val="auto"/>
        </w:rPr>
      </w:pPr>
    </w:p>
    <w:tbl>
      <w:tblPr>
        <w:tblW w:w="0" w:type="auto"/>
        <w:tblInd w:w="454" w:type="dxa"/>
        <w:tblLayout w:type="fixed"/>
        <w:tblLook w:val="0000" w:firstRow="0" w:lastRow="0" w:firstColumn="0" w:lastColumn="0" w:noHBand="0" w:noVBand="0"/>
      </w:tblPr>
      <w:tblGrid>
        <w:gridCol w:w="3100"/>
        <w:gridCol w:w="3430"/>
        <w:gridCol w:w="1992"/>
      </w:tblGrid>
      <w:tr w:rsidR="00ED24D0" w:rsidRPr="001D3940" w14:paraId="24B43FA0" w14:textId="77777777" w:rsidTr="003964D0">
        <w:tc>
          <w:tcPr>
            <w:tcW w:w="3100" w:type="dxa"/>
            <w:tcBorders>
              <w:top w:val="single" w:sz="4" w:space="0" w:color="000000"/>
              <w:bottom w:val="single" w:sz="4" w:space="0" w:color="000000"/>
            </w:tcBorders>
            <w:shd w:val="clear" w:color="auto" w:fill="auto"/>
          </w:tcPr>
          <w:p w14:paraId="2B67297F" w14:textId="77777777" w:rsidR="00ED24D0" w:rsidRPr="001D3940" w:rsidRDefault="00ED24D0" w:rsidP="003964D0">
            <w:pPr>
              <w:tabs>
                <w:tab w:val="left" w:pos="0"/>
                <w:tab w:val="left" w:pos="444"/>
                <w:tab w:val="left" w:pos="720"/>
              </w:tabs>
              <w:spacing w:line="240" w:lineRule="atLeast"/>
              <w:jc w:val="center"/>
              <w:rPr>
                <w:b/>
                <w:color w:val="auto"/>
                <w:spacing w:val="-3"/>
                <w:szCs w:val="24"/>
              </w:rPr>
            </w:pPr>
            <w:r w:rsidRPr="001D3940">
              <w:rPr>
                <w:b/>
                <w:color w:val="auto"/>
                <w:spacing w:val="-3"/>
                <w:szCs w:val="24"/>
              </w:rPr>
              <w:t>Parameter</w:t>
            </w:r>
          </w:p>
        </w:tc>
        <w:tc>
          <w:tcPr>
            <w:tcW w:w="3430" w:type="dxa"/>
            <w:tcBorders>
              <w:top w:val="single" w:sz="4" w:space="0" w:color="000000"/>
              <w:bottom w:val="single" w:sz="4" w:space="0" w:color="000000"/>
            </w:tcBorders>
            <w:shd w:val="clear" w:color="auto" w:fill="auto"/>
          </w:tcPr>
          <w:p w14:paraId="2FAFB4D8" w14:textId="77777777" w:rsidR="00ED24D0" w:rsidRPr="001D3940" w:rsidRDefault="00ED24D0" w:rsidP="003964D0">
            <w:pPr>
              <w:tabs>
                <w:tab w:val="left" w:pos="0"/>
                <w:tab w:val="left" w:pos="444"/>
                <w:tab w:val="left" w:pos="720"/>
              </w:tabs>
              <w:spacing w:line="240" w:lineRule="atLeast"/>
              <w:jc w:val="center"/>
              <w:rPr>
                <w:b/>
                <w:color w:val="auto"/>
                <w:spacing w:val="-3"/>
                <w:szCs w:val="24"/>
              </w:rPr>
            </w:pPr>
            <w:r w:rsidRPr="001D3940">
              <w:rPr>
                <w:b/>
                <w:color w:val="auto"/>
                <w:spacing w:val="-3"/>
                <w:szCs w:val="24"/>
              </w:rPr>
              <w:t>Value</w:t>
            </w:r>
          </w:p>
        </w:tc>
        <w:tc>
          <w:tcPr>
            <w:tcW w:w="1992" w:type="dxa"/>
            <w:tcBorders>
              <w:top w:val="single" w:sz="4" w:space="0" w:color="000000"/>
              <w:bottom w:val="single" w:sz="4" w:space="0" w:color="000000"/>
            </w:tcBorders>
            <w:shd w:val="clear" w:color="auto" w:fill="auto"/>
          </w:tcPr>
          <w:p w14:paraId="02B995CB" w14:textId="77777777" w:rsidR="00ED24D0" w:rsidRPr="001D3940" w:rsidRDefault="00ED24D0" w:rsidP="003964D0">
            <w:pPr>
              <w:tabs>
                <w:tab w:val="left" w:pos="0"/>
                <w:tab w:val="left" w:pos="444"/>
                <w:tab w:val="left" w:pos="720"/>
              </w:tabs>
              <w:spacing w:line="240" w:lineRule="atLeast"/>
              <w:jc w:val="center"/>
              <w:rPr>
                <w:color w:val="auto"/>
              </w:rPr>
            </w:pPr>
            <w:r w:rsidRPr="001D3940">
              <w:rPr>
                <w:b/>
                <w:color w:val="auto"/>
                <w:spacing w:val="-3"/>
                <w:szCs w:val="24"/>
              </w:rPr>
              <w:t>T/K</w:t>
            </w:r>
          </w:p>
        </w:tc>
      </w:tr>
      <w:tr w:rsidR="00ED24D0" w:rsidRPr="001D3940" w14:paraId="225DEDB7" w14:textId="77777777" w:rsidTr="003964D0">
        <w:tc>
          <w:tcPr>
            <w:tcW w:w="3100" w:type="dxa"/>
            <w:tcBorders>
              <w:top w:val="single" w:sz="4" w:space="0" w:color="000000"/>
            </w:tcBorders>
            <w:shd w:val="clear" w:color="auto" w:fill="auto"/>
          </w:tcPr>
          <w:p w14:paraId="31F99D6B" w14:textId="77777777" w:rsidR="00ED24D0" w:rsidRPr="001D3940" w:rsidRDefault="00ED24D0" w:rsidP="003964D0">
            <w:pPr>
              <w:tabs>
                <w:tab w:val="left" w:pos="0"/>
                <w:tab w:val="left" w:pos="444"/>
                <w:tab w:val="left" w:pos="720"/>
              </w:tabs>
              <w:snapToGrid w:val="0"/>
              <w:spacing w:line="240" w:lineRule="atLeast"/>
              <w:jc w:val="center"/>
              <w:rPr>
                <w:i/>
                <w:color w:val="auto"/>
                <w:spacing w:val="-3"/>
                <w:szCs w:val="24"/>
              </w:rPr>
            </w:pPr>
          </w:p>
        </w:tc>
        <w:tc>
          <w:tcPr>
            <w:tcW w:w="3430" w:type="dxa"/>
            <w:tcBorders>
              <w:top w:val="single" w:sz="4" w:space="0" w:color="000000"/>
            </w:tcBorders>
            <w:shd w:val="clear" w:color="auto" w:fill="auto"/>
          </w:tcPr>
          <w:p w14:paraId="5018D681" w14:textId="77777777" w:rsidR="00ED24D0" w:rsidRPr="001D3940" w:rsidRDefault="00ED24D0" w:rsidP="003964D0">
            <w:pPr>
              <w:tabs>
                <w:tab w:val="left" w:pos="0"/>
                <w:tab w:val="left" w:pos="444"/>
                <w:tab w:val="left" w:pos="720"/>
              </w:tabs>
              <w:snapToGrid w:val="0"/>
              <w:spacing w:line="240" w:lineRule="atLeast"/>
              <w:rPr>
                <w:color w:val="auto"/>
                <w:spacing w:val="-3"/>
                <w:szCs w:val="24"/>
              </w:rPr>
            </w:pPr>
          </w:p>
        </w:tc>
        <w:tc>
          <w:tcPr>
            <w:tcW w:w="1992" w:type="dxa"/>
            <w:tcBorders>
              <w:top w:val="single" w:sz="4" w:space="0" w:color="000000"/>
            </w:tcBorders>
            <w:shd w:val="clear" w:color="auto" w:fill="auto"/>
          </w:tcPr>
          <w:p w14:paraId="63E9FB63" w14:textId="77777777" w:rsidR="00ED24D0" w:rsidRPr="001D3940" w:rsidRDefault="00ED24D0" w:rsidP="003964D0">
            <w:pPr>
              <w:tabs>
                <w:tab w:val="left" w:pos="0"/>
                <w:tab w:val="left" w:pos="444"/>
                <w:tab w:val="left" w:pos="720"/>
              </w:tabs>
              <w:snapToGrid w:val="0"/>
              <w:spacing w:line="240" w:lineRule="atLeast"/>
              <w:jc w:val="center"/>
              <w:rPr>
                <w:color w:val="auto"/>
                <w:spacing w:val="-3"/>
                <w:szCs w:val="24"/>
              </w:rPr>
            </w:pPr>
          </w:p>
        </w:tc>
      </w:tr>
      <w:tr w:rsidR="00ED24D0" w:rsidRPr="001D3940" w14:paraId="2B63814F" w14:textId="77777777" w:rsidTr="003964D0">
        <w:tc>
          <w:tcPr>
            <w:tcW w:w="3100" w:type="dxa"/>
            <w:shd w:val="clear" w:color="auto" w:fill="auto"/>
          </w:tcPr>
          <w:p w14:paraId="08755CC7" w14:textId="77777777" w:rsidR="00ED24D0" w:rsidRPr="001D3940" w:rsidRDefault="00ED24D0" w:rsidP="003964D0">
            <w:pPr>
              <w:tabs>
                <w:tab w:val="left" w:pos="0"/>
                <w:tab w:val="left" w:pos="444"/>
                <w:tab w:val="left" w:pos="720"/>
              </w:tabs>
              <w:spacing w:line="240" w:lineRule="atLeast"/>
              <w:jc w:val="center"/>
              <w:rPr>
                <w:color w:val="auto"/>
                <w:spacing w:val="-3"/>
              </w:rPr>
            </w:pPr>
            <w:r w:rsidRPr="001D3940">
              <w:rPr>
                <w:i/>
                <w:color w:val="auto"/>
                <w:spacing w:val="-3"/>
                <w:szCs w:val="24"/>
              </w:rPr>
              <w:t>k</w:t>
            </w:r>
            <w:r w:rsidRPr="001D3940">
              <w:rPr>
                <w:color w:val="auto"/>
                <w:spacing w:val="-3"/>
                <w:szCs w:val="24"/>
              </w:rPr>
              <w:t xml:space="preserve"> /cm</w:t>
            </w:r>
            <w:r w:rsidRPr="001D3940">
              <w:rPr>
                <w:color w:val="auto"/>
                <w:spacing w:val="-3"/>
                <w:szCs w:val="24"/>
                <w:vertAlign w:val="superscript"/>
              </w:rPr>
              <w:t>3</w:t>
            </w:r>
            <w:r w:rsidRPr="001D3940">
              <w:rPr>
                <w:color w:val="auto"/>
                <w:spacing w:val="-3"/>
                <w:szCs w:val="24"/>
              </w:rPr>
              <w:t xml:space="preserve"> molecule</w:t>
            </w:r>
            <w:r w:rsidRPr="001D3940">
              <w:rPr>
                <w:color w:val="auto"/>
                <w:spacing w:val="-3"/>
                <w:szCs w:val="24"/>
                <w:vertAlign w:val="superscript"/>
              </w:rPr>
              <w:t>-1</w:t>
            </w:r>
            <w:r w:rsidRPr="001D3940">
              <w:rPr>
                <w:color w:val="auto"/>
                <w:spacing w:val="-3"/>
                <w:szCs w:val="24"/>
              </w:rPr>
              <w:t xml:space="preserve"> s</w:t>
            </w:r>
            <w:r w:rsidRPr="001D3940">
              <w:rPr>
                <w:color w:val="auto"/>
                <w:spacing w:val="-3"/>
                <w:szCs w:val="24"/>
                <w:vertAlign w:val="superscript"/>
              </w:rPr>
              <w:t>-1</w:t>
            </w:r>
          </w:p>
        </w:tc>
        <w:tc>
          <w:tcPr>
            <w:tcW w:w="3430" w:type="dxa"/>
            <w:shd w:val="clear" w:color="auto" w:fill="auto"/>
          </w:tcPr>
          <w:p w14:paraId="1974E2DC" w14:textId="7712073F" w:rsidR="00ED24D0" w:rsidRPr="001D3940" w:rsidRDefault="0085481F" w:rsidP="00E81FFB">
            <w:pPr>
              <w:tabs>
                <w:tab w:val="left" w:pos="0"/>
                <w:tab w:val="left" w:pos="444"/>
                <w:tab w:val="left" w:pos="720"/>
              </w:tabs>
              <w:spacing w:line="240" w:lineRule="atLeast"/>
              <w:rPr>
                <w:color w:val="auto"/>
                <w:spacing w:val="-3"/>
                <w:szCs w:val="24"/>
              </w:rPr>
            </w:pPr>
            <w:r>
              <w:t xml:space="preserve">3.7 </w:t>
            </w:r>
            <w:r w:rsidRPr="001D3940">
              <w:rPr>
                <w:rFonts w:ascii="Symbol" w:hAnsi="Symbol" w:cs="Symbol"/>
                <w:color w:val="auto"/>
              </w:rPr>
              <w:t></w:t>
            </w:r>
            <w:r>
              <w:t xml:space="preserve"> 10</w:t>
            </w:r>
            <w:r>
              <w:rPr>
                <w:vertAlign w:val="superscript"/>
              </w:rPr>
              <w:t>-11</w:t>
            </w:r>
          </w:p>
        </w:tc>
        <w:tc>
          <w:tcPr>
            <w:tcW w:w="1992" w:type="dxa"/>
            <w:shd w:val="clear" w:color="auto" w:fill="auto"/>
          </w:tcPr>
          <w:p w14:paraId="342FDDFA" w14:textId="77777777" w:rsidR="00ED24D0" w:rsidRPr="001D3940" w:rsidRDefault="00ED24D0" w:rsidP="003964D0">
            <w:pPr>
              <w:tabs>
                <w:tab w:val="left" w:pos="0"/>
                <w:tab w:val="left" w:pos="444"/>
                <w:tab w:val="left" w:pos="720"/>
              </w:tabs>
              <w:spacing w:line="240" w:lineRule="atLeast"/>
              <w:jc w:val="center"/>
              <w:rPr>
                <w:color w:val="auto"/>
              </w:rPr>
            </w:pPr>
            <w:r w:rsidRPr="001D3940">
              <w:rPr>
                <w:color w:val="auto"/>
                <w:spacing w:val="-3"/>
                <w:szCs w:val="24"/>
              </w:rPr>
              <w:t>298</w:t>
            </w:r>
          </w:p>
        </w:tc>
      </w:tr>
    </w:tbl>
    <w:p w14:paraId="23648419" w14:textId="77777777" w:rsidR="00ED24D0" w:rsidRPr="001D3940" w:rsidRDefault="00ED24D0" w:rsidP="00ED24D0">
      <w:pPr>
        <w:tabs>
          <w:tab w:val="left" w:pos="0"/>
          <w:tab w:val="left" w:pos="444"/>
          <w:tab w:val="left" w:pos="720"/>
        </w:tabs>
        <w:spacing w:line="240" w:lineRule="atLeast"/>
        <w:jc w:val="both"/>
        <w:rPr>
          <w:color w:val="auto"/>
        </w:rPr>
      </w:pPr>
    </w:p>
    <w:p w14:paraId="622C8919" w14:textId="77777777" w:rsidR="00ED24D0" w:rsidRPr="001D3940" w:rsidRDefault="00ED24D0" w:rsidP="00ED24D0">
      <w:pPr>
        <w:tabs>
          <w:tab w:val="left" w:pos="0"/>
          <w:tab w:val="left" w:pos="444"/>
          <w:tab w:val="left" w:pos="720"/>
        </w:tabs>
        <w:spacing w:line="240" w:lineRule="atLeast"/>
        <w:jc w:val="both"/>
        <w:rPr>
          <w:rFonts w:ascii="Symbol" w:hAnsi="Symbol"/>
          <w:color w:val="auto"/>
          <w:spacing w:val="-3"/>
          <w:szCs w:val="24"/>
        </w:rPr>
      </w:pPr>
      <w:r w:rsidRPr="001D3940">
        <w:rPr>
          <w:i/>
          <w:color w:val="auto"/>
          <w:spacing w:val="-3"/>
          <w:szCs w:val="24"/>
        </w:rPr>
        <w:t>Reliability</w:t>
      </w:r>
    </w:p>
    <w:tbl>
      <w:tblPr>
        <w:tblW w:w="0" w:type="auto"/>
        <w:tblInd w:w="454" w:type="dxa"/>
        <w:tblLayout w:type="fixed"/>
        <w:tblLook w:val="0000" w:firstRow="0" w:lastRow="0" w:firstColumn="0" w:lastColumn="0" w:noHBand="0" w:noVBand="0"/>
      </w:tblPr>
      <w:tblGrid>
        <w:gridCol w:w="3056"/>
        <w:gridCol w:w="3455"/>
        <w:gridCol w:w="2011"/>
      </w:tblGrid>
      <w:tr w:rsidR="0085481F" w:rsidRPr="001D3940" w14:paraId="14DB678E" w14:textId="77777777" w:rsidTr="003964D0">
        <w:tc>
          <w:tcPr>
            <w:tcW w:w="3056" w:type="dxa"/>
            <w:tcBorders>
              <w:bottom w:val="single" w:sz="4" w:space="0" w:color="auto"/>
            </w:tcBorders>
            <w:shd w:val="clear" w:color="auto" w:fill="auto"/>
          </w:tcPr>
          <w:p w14:paraId="61947200" w14:textId="77777777" w:rsidR="0085481F" w:rsidRPr="001D3940" w:rsidRDefault="0085481F" w:rsidP="0085481F">
            <w:pPr>
              <w:tabs>
                <w:tab w:val="left" w:pos="0"/>
                <w:tab w:val="left" w:pos="444"/>
                <w:tab w:val="left" w:pos="720"/>
              </w:tabs>
              <w:spacing w:after="120" w:line="240" w:lineRule="atLeast"/>
              <w:jc w:val="center"/>
              <w:rPr>
                <w:color w:val="auto"/>
                <w:spacing w:val="-3"/>
                <w:szCs w:val="24"/>
              </w:rPr>
            </w:pPr>
            <w:r w:rsidRPr="001D3940">
              <w:rPr>
                <w:rFonts w:ascii="Symbol" w:hAnsi="Symbol"/>
                <w:color w:val="auto"/>
                <w:spacing w:val="-3"/>
                <w:szCs w:val="24"/>
              </w:rPr>
              <w:t></w:t>
            </w:r>
            <w:r w:rsidRPr="001D3940">
              <w:rPr>
                <w:color w:val="auto"/>
                <w:spacing w:val="-3"/>
                <w:szCs w:val="24"/>
              </w:rPr>
              <w:t xml:space="preserve"> log</w:t>
            </w:r>
            <w:r w:rsidRPr="001D3940">
              <w:rPr>
                <w:i/>
                <w:color w:val="auto"/>
                <w:spacing w:val="-3"/>
                <w:szCs w:val="24"/>
              </w:rPr>
              <w:t xml:space="preserve"> k</w:t>
            </w:r>
          </w:p>
        </w:tc>
        <w:tc>
          <w:tcPr>
            <w:tcW w:w="3455" w:type="dxa"/>
            <w:tcBorders>
              <w:bottom w:val="single" w:sz="4" w:space="0" w:color="auto"/>
            </w:tcBorders>
            <w:shd w:val="clear" w:color="auto" w:fill="auto"/>
          </w:tcPr>
          <w:p w14:paraId="16E655C0" w14:textId="77777777" w:rsidR="0085481F" w:rsidRPr="001D3940" w:rsidRDefault="0085481F" w:rsidP="0085481F">
            <w:pPr>
              <w:tabs>
                <w:tab w:val="left" w:pos="0"/>
                <w:tab w:val="left" w:pos="444"/>
                <w:tab w:val="left" w:pos="720"/>
              </w:tabs>
              <w:spacing w:after="120" w:line="240" w:lineRule="atLeast"/>
              <w:rPr>
                <w:color w:val="auto"/>
                <w:spacing w:val="-3"/>
                <w:szCs w:val="24"/>
              </w:rPr>
            </w:pPr>
            <w:r w:rsidRPr="001D3940">
              <w:rPr>
                <w:color w:val="auto"/>
                <w:spacing w:val="-3"/>
                <w:szCs w:val="24"/>
              </w:rPr>
              <w:t>± 0.</w:t>
            </w:r>
            <w:r>
              <w:rPr>
                <w:color w:val="auto"/>
                <w:spacing w:val="-3"/>
                <w:szCs w:val="24"/>
              </w:rPr>
              <w:t>05</w:t>
            </w:r>
          </w:p>
        </w:tc>
        <w:tc>
          <w:tcPr>
            <w:tcW w:w="2011" w:type="dxa"/>
            <w:tcBorders>
              <w:bottom w:val="single" w:sz="4" w:space="0" w:color="auto"/>
            </w:tcBorders>
            <w:shd w:val="clear" w:color="auto" w:fill="auto"/>
          </w:tcPr>
          <w:p w14:paraId="1D7461DF" w14:textId="77777777" w:rsidR="0085481F" w:rsidRPr="001D3940" w:rsidRDefault="0085481F" w:rsidP="0085481F">
            <w:pPr>
              <w:tabs>
                <w:tab w:val="left" w:pos="0"/>
                <w:tab w:val="left" w:pos="444"/>
                <w:tab w:val="left" w:pos="720"/>
              </w:tabs>
              <w:spacing w:after="120" w:line="240" w:lineRule="atLeast"/>
              <w:jc w:val="center"/>
              <w:rPr>
                <w:color w:val="auto"/>
              </w:rPr>
            </w:pPr>
            <w:r w:rsidRPr="001D3940">
              <w:rPr>
                <w:color w:val="auto"/>
                <w:spacing w:val="-3"/>
                <w:szCs w:val="24"/>
              </w:rPr>
              <w:t>298</w:t>
            </w:r>
          </w:p>
        </w:tc>
      </w:tr>
    </w:tbl>
    <w:p w14:paraId="40206743" w14:textId="77777777" w:rsidR="0085481F" w:rsidRPr="0085481F" w:rsidRDefault="0085481F" w:rsidP="00ED24D0">
      <w:pPr>
        <w:numPr>
          <w:ilvl w:val="0"/>
          <w:numId w:val="2"/>
        </w:numPr>
        <w:tabs>
          <w:tab w:val="left" w:pos="-1440"/>
          <w:tab w:val="left" w:pos="-720"/>
          <w:tab w:val="left" w:pos="444"/>
        </w:tabs>
        <w:jc w:val="both"/>
        <w:rPr>
          <w:color w:val="auto"/>
        </w:rPr>
      </w:pPr>
    </w:p>
    <w:p w14:paraId="3626436B" w14:textId="77777777" w:rsidR="00CA56DB" w:rsidRPr="00CA56DB" w:rsidRDefault="00CA56DB" w:rsidP="00ED24D0">
      <w:pPr>
        <w:numPr>
          <w:ilvl w:val="0"/>
          <w:numId w:val="2"/>
        </w:numPr>
        <w:tabs>
          <w:tab w:val="left" w:pos="-1440"/>
          <w:tab w:val="left" w:pos="-720"/>
          <w:tab w:val="left" w:pos="444"/>
        </w:tabs>
        <w:jc w:val="both"/>
        <w:rPr>
          <w:color w:val="auto"/>
        </w:rPr>
      </w:pPr>
    </w:p>
    <w:p w14:paraId="70635753" w14:textId="77777777" w:rsidR="00A71470" w:rsidRPr="0035415F" w:rsidRDefault="00A71470" w:rsidP="00ED24D0">
      <w:pPr>
        <w:numPr>
          <w:ilvl w:val="0"/>
          <w:numId w:val="2"/>
        </w:numPr>
        <w:tabs>
          <w:tab w:val="left" w:pos="-1440"/>
          <w:tab w:val="left" w:pos="-720"/>
          <w:tab w:val="left" w:pos="444"/>
        </w:tabs>
        <w:jc w:val="both"/>
        <w:rPr>
          <w:color w:val="auto"/>
        </w:rPr>
      </w:pPr>
    </w:p>
    <w:p w14:paraId="74F51DAF" w14:textId="601A6A0D" w:rsidR="00ED24D0" w:rsidRPr="001D3940" w:rsidRDefault="00ED24D0" w:rsidP="00ED24D0">
      <w:pPr>
        <w:numPr>
          <w:ilvl w:val="0"/>
          <w:numId w:val="2"/>
        </w:numPr>
        <w:tabs>
          <w:tab w:val="left" w:pos="-1440"/>
          <w:tab w:val="left" w:pos="-720"/>
          <w:tab w:val="left" w:pos="444"/>
        </w:tabs>
        <w:jc w:val="both"/>
        <w:rPr>
          <w:color w:val="auto"/>
        </w:rPr>
      </w:pPr>
      <w:r w:rsidRPr="001D3940">
        <w:rPr>
          <w:i/>
          <w:color w:val="auto"/>
        </w:rPr>
        <w:lastRenderedPageBreak/>
        <w:t>Comments on Preferred Values</w:t>
      </w:r>
    </w:p>
    <w:p w14:paraId="7A80BD27" w14:textId="2A0C79D4" w:rsidR="00ED24D0" w:rsidRDefault="0085481F" w:rsidP="00ED24D0">
      <w:pPr>
        <w:tabs>
          <w:tab w:val="left" w:pos="-1440"/>
          <w:tab w:val="left" w:pos="-720"/>
          <w:tab w:val="left" w:pos="444"/>
        </w:tabs>
        <w:ind w:firstLine="444"/>
        <w:jc w:val="both"/>
        <w:rPr>
          <w:color w:val="auto"/>
          <w:szCs w:val="24"/>
        </w:rPr>
      </w:pPr>
      <w:r w:rsidRPr="000B1E91">
        <w:rPr>
          <w:szCs w:val="24"/>
        </w:rPr>
        <w:t>The efficient and rapid production of CH</w:t>
      </w:r>
      <w:r w:rsidRPr="000B1E91">
        <w:rPr>
          <w:szCs w:val="24"/>
          <w:vertAlign w:val="subscript"/>
        </w:rPr>
        <w:t>2</w:t>
      </w:r>
      <w:r w:rsidRPr="000B1E91">
        <w:rPr>
          <w:szCs w:val="24"/>
        </w:rPr>
        <w:t>OO</w:t>
      </w:r>
      <w:r w:rsidR="00A71470">
        <w:rPr>
          <w:szCs w:val="24"/>
        </w:rPr>
        <w:t xml:space="preserve"> </w:t>
      </w:r>
      <w:r w:rsidR="00A71470">
        <w:t>in the photolysis of CH</w:t>
      </w:r>
      <w:r w:rsidR="00A71470" w:rsidRPr="00C35E32">
        <w:rPr>
          <w:vertAlign w:val="subscript"/>
        </w:rPr>
        <w:t>2</w:t>
      </w:r>
      <w:r w:rsidR="00A71470">
        <w:t>I</w:t>
      </w:r>
      <w:r w:rsidR="00A71470" w:rsidRPr="00C35E32">
        <w:rPr>
          <w:vertAlign w:val="subscript"/>
        </w:rPr>
        <w:t>2</w:t>
      </w:r>
      <w:r w:rsidR="00A71470">
        <w:t>/O</w:t>
      </w:r>
      <w:r w:rsidR="00A71470" w:rsidRPr="00C35E32">
        <w:rPr>
          <w:vertAlign w:val="subscript"/>
        </w:rPr>
        <w:t>2</w:t>
      </w:r>
      <w:r w:rsidR="00A71470">
        <w:t xml:space="preserve"> mixtures</w:t>
      </w:r>
      <w:r w:rsidRPr="000B1E91">
        <w:rPr>
          <w:szCs w:val="24"/>
        </w:rPr>
        <w:t xml:space="preserve"> has been shown to be due to the reaction of</w:t>
      </w:r>
      <w:r w:rsidR="00A71470">
        <w:rPr>
          <w:szCs w:val="24"/>
        </w:rPr>
        <w:t xml:space="preserve"> the</w:t>
      </w:r>
      <w:r w:rsidRPr="000B1E91">
        <w:rPr>
          <w:szCs w:val="24"/>
        </w:rPr>
        <w:t xml:space="preserve"> CH</w:t>
      </w:r>
      <w:r w:rsidRPr="000B1E91">
        <w:rPr>
          <w:szCs w:val="24"/>
          <w:vertAlign w:val="subscript"/>
        </w:rPr>
        <w:t>2</w:t>
      </w:r>
      <w:r w:rsidRPr="000B1E91">
        <w:rPr>
          <w:szCs w:val="24"/>
        </w:rPr>
        <w:t>I photofragment with O</w:t>
      </w:r>
      <w:r w:rsidRPr="000B1E91">
        <w:rPr>
          <w:szCs w:val="24"/>
          <w:vertAlign w:val="subscript"/>
        </w:rPr>
        <w:t>2</w:t>
      </w:r>
      <w:r w:rsidRPr="000B1E91">
        <w:rPr>
          <w:szCs w:val="24"/>
        </w:rPr>
        <w:t xml:space="preserve">. The results from several laboratories using different spectroscopic techniques, including use of </w:t>
      </w:r>
      <w:r w:rsidR="00A71470">
        <w:rPr>
          <w:szCs w:val="24"/>
        </w:rPr>
        <w:t>HO</w:t>
      </w:r>
      <w:r w:rsidRPr="000B1E91">
        <w:rPr>
          <w:szCs w:val="24"/>
        </w:rPr>
        <w:t>-LIF as a spectroscopic marker (Liu et al., 2014), to detect and make time-resolved measurements of decay of [CH</w:t>
      </w:r>
      <w:r w:rsidRPr="000B1E91">
        <w:rPr>
          <w:szCs w:val="24"/>
          <w:vertAlign w:val="subscript"/>
        </w:rPr>
        <w:t>2</w:t>
      </w:r>
      <w:r w:rsidRPr="000B1E91">
        <w:rPr>
          <w:szCs w:val="24"/>
        </w:rPr>
        <w:t>OO], or use of LIF (Stone et al, 2014) to follow formation of product HCHO, are in good agreement. The rate constants for CH</w:t>
      </w:r>
      <w:r w:rsidRPr="000B1E91">
        <w:rPr>
          <w:szCs w:val="24"/>
          <w:vertAlign w:val="subscript"/>
        </w:rPr>
        <w:t>2</w:t>
      </w:r>
      <w:r w:rsidRPr="000B1E91">
        <w:rPr>
          <w:szCs w:val="24"/>
        </w:rPr>
        <w:t>OO reaction with SO</w:t>
      </w:r>
      <w:r w:rsidRPr="000B1E91">
        <w:rPr>
          <w:szCs w:val="24"/>
          <w:vertAlign w:val="subscript"/>
        </w:rPr>
        <w:t>2</w:t>
      </w:r>
      <w:r w:rsidRPr="000B1E91">
        <w:rPr>
          <w:szCs w:val="24"/>
        </w:rPr>
        <w:t xml:space="preserve"> show no significant pressure dependence over the range 3 to 1000 mbar</w:t>
      </w:r>
      <w:r w:rsidR="00A71470">
        <w:rPr>
          <w:szCs w:val="24"/>
        </w:rPr>
        <w:t xml:space="preserve"> (</w:t>
      </w:r>
      <w:r w:rsidRPr="000B1E91">
        <w:rPr>
          <w:szCs w:val="24"/>
        </w:rPr>
        <w:t>Huang et al</w:t>
      </w:r>
      <w:r w:rsidR="008C14EC">
        <w:rPr>
          <w:szCs w:val="24"/>
        </w:rPr>
        <w:t>.</w:t>
      </w:r>
      <w:r w:rsidR="00A71470">
        <w:rPr>
          <w:szCs w:val="24"/>
        </w:rPr>
        <w:t>,</w:t>
      </w:r>
      <w:r w:rsidRPr="000B1E91">
        <w:rPr>
          <w:szCs w:val="24"/>
        </w:rPr>
        <w:t xml:space="preserve"> 2015). The rate coefficient is much larger than was deduced from earlier </w:t>
      </w:r>
      <w:r w:rsidRPr="008C14EC">
        <w:rPr>
          <w:iCs/>
          <w:szCs w:val="24"/>
        </w:rPr>
        <w:t>relative rate</w:t>
      </w:r>
      <w:r w:rsidRPr="000B1E91">
        <w:rPr>
          <w:szCs w:val="24"/>
        </w:rPr>
        <w:t xml:space="preserve"> studies</w:t>
      </w:r>
      <w:r w:rsidR="00556A3B">
        <w:rPr>
          <w:szCs w:val="24"/>
        </w:rPr>
        <w:t xml:space="preserve"> (e.g. see Johnson and Marston, 2008)</w:t>
      </w:r>
      <w:r w:rsidRPr="000B1E91">
        <w:rPr>
          <w:szCs w:val="24"/>
        </w:rPr>
        <w:t>. Although the temperature dependence has not been investigated</w:t>
      </w:r>
      <w:r w:rsidR="00A71470">
        <w:rPr>
          <w:szCs w:val="24"/>
        </w:rPr>
        <w:t>,</w:t>
      </w:r>
      <w:r w:rsidRPr="000B1E91">
        <w:rPr>
          <w:szCs w:val="24"/>
        </w:rPr>
        <w:t xml:space="preserve"> it is likely to be close to zero. The recommended temperature and pressure independent value of </w:t>
      </w:r>
      <w:r w:rsidRPr="000B1E91">
        <w:rPr>
          <w:i/>
          <w:szCs w:val="24"/>
        </w:rPr>
        <w:t>k</w:t>
      </w:r>
      <w:r w:rsidRPr="000B1E91">
        <w:rPr>
          <w:szCs w:val="24"/>
        </w:rPr>
        <w:t xml:space="preserve"> is a</w:t>
      </w:r>
      <w:r w:rsidR="00A71470">
        <w:rPr>
          <w:szCs w:val="24"/>
        </w:rPr>
        <w:t>n unweighted</w:t>
      </w:r>
      <w:r w:rsidRPr="000B1E91">
        <w:rPr>
          <w:szCs w:val="24"/>
        </w:rPr>
        <w:t xml:space="preserve"> mean of the values reported by </w:t>
      </w:r>
      <w:proofErr w:type="spellStart"/>
      <w:r w:rsidRPr="000B1E91">
        <w:rPr>
          <w:szCs w:val="24"/>
        </w:rPr>
        <w:t>Welz</w:t>
      </w:r>
      <w:proofErr w:type="spellEnd"/>
      <w:r w:rsidRPr="000B1E91">
        <w:rPr>
          <w:szCs w:val="24"/>
        </w:rPr>
        <w:t xml:space="preserve"> et al.</w:t>
      </w:r>
      <w:r w:rsidR="008C14EC">
        <w:rPr>
          <w:szCs w:val="24"/>
        </w:rPr>
        <w:t xml:space="preserve"> </w:t>
      </w:r>
      <w:r w:rsidRPr="000B1E91">
        <w:rPr>
          <w:szCs w:val="24"/>
        </w:rPr>
        <w:t>(2012)</w:t>
      </w:r>
      <w:r w:rsidR="007B5080">
        <w:rPr>
          <w:szCs w:val="24"/>
        </w:rPr>
        <w:t>,</w:t>
      </w:r>
      <w:r w:rsidRPr="000B1E91">
        <w:rPr>
          <w:szCs w:val="24"/>
        </w:rPr>
        <w:t xml:space="preserve"> </w:t>
      </w:r>
      <w:proofErr w:type="spellStart"/>
      <w:r w:rsidRPr="000B1E91">
        <w:rPr>
          <w:szCs w:val="24"/>
        </w:rPr>
        <w:t>Sheps</w:t>
      </w:r>
      <w:proofErr w:type="spellEnd"/>
      <w:r w:rsidRPr="000B1E91">
        <w:rPr>
          <w:szCs w:val="24"/>
        </w:rPr>
        <w:t xml:space="preserve"> (2013)</w:t>
      </w:r>
      <w:r w:rsidR="007B5080">
        <w:rPr>
          <w:szCs w:val="24"/>
        </w:rPr>
        <w:t>,</w:t>
      </w:r>
      <w:r w:rsidRPr="000B1E91">
        <w:rPr>
          <w:szCs w:val="24"/>
        </w:rPr>
        <w:t xml:space="preserve"> </w:t>
      </w:r>
      <w:r w:rsidRPr="000B1E91">
        <w:rPr>
          <w:rFonts w:cs="AdvOTd369e91e"/>
          <w:szCs w:val="24"/>
        </w:rPr>
        <w:t xml:space="preserve">Liu </w:t>
      </w:r>
      <w:r w:rsidRPr="000B1E91">
        <w:rPr>
          <w:szCs w:val="24"/>
        </w:rPr>
        <w:t>et al.</w:t>
      </w:r>
      <w:r w:rsidR="00661F61">
        <w:rPr>
          <w:szCs w:val="24"/>
        </w:rPr>
        <w:t xml:space="preserve"> </w:t>
      </w:r>
      <w:r w:rsidRPr="000B1E91">
        <w:rPr>
          <w:szCs w:val="24"/>
        </w:rPr>
        <w:t>(2014)</w:t>
      </w:r>
      <w:r w:rsidR="007B5080">
        <w:rPr>
          <w:szCs w:val="24"/>
        </w:rPr>
        <w:t>,</w:t>
      </w:r>
      <w:r w:rsidRPr="000B1E91">
        <w:rPr>
          <w:szCs w:val="24"/>
        </w:rPr>
        <w:t xml:space="preserve"> Stone et al.</w:t>
      </w:r>
      <w:r w:rsidR="00661F61">
        <w:rPr>
          <w:szCs w:val="24"/>
        </w:rPr>
        <w:t xml:space="preserve"> </w:t>
      </w:r>
      <w:r w:rsidRPr="000B1E91">
        <w:rPr>
          <w:szCs w:val="24"/>
        </w:rPr>
        <w:t>(2014)</w:t>
      </w:r>
      <w:r w:rsidR="007B5080">
        <w:rPr>
          <w:szCs w:val="24"/>
        </w:rPr>
        <w:t>,</w:t>
      </w:r>
      <w:r w:rsidRPr="000B1E91">
        <w:rPr>
          <w:szCs w:val="24"/>
        </w:rPr>
        <w:t xml:space="preserve"> </w:t>
      </w:r>
      <w:r w:rsidRPr="000B1E91">
        <w:rPr>
          <w:rFonts w:cs="AdvOTd369e91e"/>
          <w:szCs w:val="24"/>
        </w:rPr>
        <w:t>Chhantyal-Pun</w:t>
      </w:r>
      <w:r w:rsidRPr="000B1E91">
        <w:rPr>
          <w:szCs w:val="24"/>
        </w:rPr>
        <w:t xml:space="preserve"> et al. (</w:t>
      </w:r>
      <w:r w:rsidRPr="000B1E91">
        <w:rPr>
          <w:color w:val="auto"/>
          <w:szCs w:val="24"/>
        </w:rPr>
        <w:t>2015)</w:t>
      </w:r>
      <w:r w:rsidR="007B5080">
        <w:rPr>
          <w:color w:val="auto"/>
          <w:szCs w:val="24"/>
        </w:rPr>
        <w:t xml:space="preserve"> (</w:t>
      </w:r>
      <w:r w:rsidR="007B5080">
        <w:t>excluding the low [SO</w:t>
      </w:r>
      <w:r w:rsidR="007B5080">
        <w:rPr>
          <w:vertAlign w:val="subscript"/>
        </w:rPr>
        <w:t>2</w:t>
      </w:r>
      <w:r w:rsidR="007B5080">
        <w:t>] results)</w:t>
      </w:r>
      <w:r w:rsidR="007B5080">
        <w:rPr>
          <w:color w:val="auto"/>
          <w:szCs w:val="24"/>
        </w:rPr>
        <w:t>,</w:t>
      </w:r>
      <w:r w:rsidRPr="000B1E91">
        <w:rPr>
          <w:color w:val="auto"/>
          <w:szCs w:val="24"/>
        </w:rPr>
        <w:t xml:space="preserve"> Huang et al</w:t>
      </w:r>
      <w:r w:rsidR="00661F61">
        <w:rPr>
          <w:color w:val="auto"/>
          <w:szCs w:val="24"/>
        </w:rPr>
        <w:t>.</w:t>
      </w:r>
      <w:r w:rsidRPr="000B1E91">
        <w:rPr>
          <w:color w:val="auto"/>
          <w:szCs w:val="24"/>
        </w:rPr>
        <w:t xml:space="preserve"> (2015)</w:t>
      </w:r>
      <w:r w:rsidR="00A71470">
        <w:rPr>
          <w:color w:val="auto"/>
          <w:szCs w:val="24"/>
        </w:rPr>
        <w:t>,</w:t>
      </w:r>
      <w:r w:rsidR="007B5080">
        <w:rPr>
          <w:color w:val="auto"/>
          <w:szCs w:val="24"/>
        </w:rPr>
        <w:t xml:space="preserve"> Howes et al. (2018)</w:t>
      </w:r>
      <w:r w:rsidR="00A71470">
        <w:rPr>
          <w:color w:val="auto"/>
          <w:szCs w:val="24"/>
        </w:rPr>
        <w:t xml:space="preserve"> and</w:t>
      </w:r>
      <w:r w:rsidR="00A71470">
        <w:t xml:space="preserve"> </w:t>
      </w:r>
      <w:proofErr w:type="spellStart"/>
      <w:r w:rsidR="00A71470">
        <w:t>Qiu</w:t>
      </w:r>
      <w:proofErr w:type="spellEnd"/>
      <w:r w:rsidR="00A71470">
        <w:t xml:space="preserve"> and </w:t>
      </w:r>
      <w:proofErr w:type="spellStart"/>
      <w:r w:rsidR="00A71470">
        <w:t>Tonokura</w:t>
      </w:r>
      <w:proofErr w:type="spellEnd"/>
      <w:r w:rsidR="00A71470">
        <w:t xml:space="preserve"> (2019)</w:t>
      </w:r>
      <w:r w:rsidRPr="000B1E91">
        <w:rPr>
          <w:color w:val="auto"/>
          <w:szCs w:val="24"/>
        </w:rPr>
        <w:t>.</w:t>
      </w:r>
    </w:p>
    <w:p w14:paraId="37E587AA" w14:textId="77777777" w:rsidR="002D26FD" w:rsidRPr="000B1E91" w:rsidRDefault="0085481F" w:rsidP="002D26FD">
      <w:pPr>
        <w:tabs>
          <w:tab w:val="left" w:pos="-1440"/>
          <w:tab w:val="left" w:pos="-720"/>
          <w:tab w:val="left" w:pos="444"/>
        </w:tabs>
        <w:ind w:firstLine="444"/>
        <w:jc w:val="both"/>
        <w:rPr>
          <w:spacing w:val="-3"/>
          <w:szCs w:val="24"/>
        </w:rPr>
      </w:pPr>
      <w:r w:rsidRPr="000B1E91">
        <w:rPr>
          <w:szCs w:val="24"/>
        </w:rPr>
        <w:t>All these studies utilized the same photochemical source of CH</w:t>
      </w:r>
      <w:r w:rsidRPr="000B1E91">
        <w:rPr>
          <w:szCs w:val="24"/>
          <w:vertAlign w:val="subscript"/>
        </w:rPr>
        <w:t>2</w:t>
      </w:r>
      <w:r w:rsidRPr="000B1E91">
        <w:rPr>
          <w:szCs w:val="24"/>
        </w:rPr>
        <w:t xml:space="preserve">OO. This source provides a high yield of </w:t>
      </w:r>
      <w:proofErr w:type="spellStart"/>
      <w:r w:rsidRPr="000B1E91">
        <w:rPr>
          <w:szCs w:val="24"/>
        </w:rPr>
        <w:t>stab</w:t>
      </w:r>
      <w:r w:rsidR="00CA69DA">
        <w:rPr>
          <w:szCs w:val="24"/>
        </w:rPr>
        <w:t>i</w:t>
      </w:r>
      <w:r w:rsidRPr="000B1E91">
        <w:rPr>
          <w:szCs w:val="24"/>
        </w:rPr>
        <w:t>lised</w:t>
      </w:r>
      <w:proofErr w:type="spellEnd"/>
      <w:r w:rsidRPr="000B1E91">
        <w:rPr>
          <w:szCs w:val="24"/>
        </w:rPr>
        <w:t xml:space="preserve"> CH</w:t>
      </w:r>
      <w:r w:rsidRPr="000B1E91">
        <w:rPr>
          <w:szCs w:val="24"/>
          <w:vertAlign w:val="subscript"/>
        </w:rPr>
        <w:t>2</w:t>
      </w:r>
      <w:r w:rsidRPr="000B1E91">
        <w:rPr>
          <w:szCs w:val="24"/>
        </w:rPr>
        <w:t>OO and has been well characterized (</w:t>
      </w:r>
      <w:proofErr w:type="spellStart"/>
      <w:r w:rsidRPr="000B1E91">
        <w:rPr>
          <w:szCs w:val="24"/>
        </w:rPr>
        <w:t>Welz</w:t>
      </w:r>
      <w:proofErr w:type="spellEnd"/>
      <w:r w:rsidRPr="000B1E91">
        <w:rPr>
          <w:szCs w:val="24"/>
        </w:rPr>
        <w:t xml:space="preserve"> et al.</w:t>
      </w:r>
      <w:r w:rsidR="006610AF">
        <w:rPr>
          <w:szCs w:val="24"/>
        </w:rPr>
        <w:t>,</w:t>
      </w:r>
      <w:r w:rsidR="0044732A">
        <w:rPr>
          <w:szCs w:val="24"/>
        </w:rPr>
        <w:t xml:space="preserve"> </w:t>
      </w:r>
      <w:r w:rsidRPr="000B1E91">
        <w:rPr>
          <w:szCs w:val="24"/>
        </w:rPr>
        <w:t>2012</w:t>
      </w:r>
      <w:r w:rsidR="006610AF">
        <w:rPr>
          <w:szCs w:val="24"/>
        </w:rPr>
        <w:t xml:space="preserve">; </w:t>
      </w:r>
      <w:r w:rsidRPr="000B1E91">
        <w:rPr>
          <w:szCs w:val="24"/>
        </w:rPr>
        <w:t>Stone et al.</w:t>
      </w:r>
      <w:r w:rsidR="006610AF">
        <w:rPr>
          <w:szCs w:val="24"/>
        </w:rPr>
        <w:t>,</w:t>
      </w:r>
      <w:r w:rsidR="0044732A">
        <w:rPr>
          <w:szCs w:val="24"/>
        </w:rPr>
        <w:t xml:space="preserve"> </w:t>
      </w:r>
      <w:r w:rsidRPr="000B1E91">
        <w:rPr>
          <w:szCs w:val="24"/>
        </w:rPr>
        <w:t>2013</w:t>
      </w:r>
      <w:r w:rsidR="006610AF">
        <w:rPr>
          <w:szCs w:val="24"/>
        </w:rPr>
        <w:t>;</w:t>
      </w:r>
      <w:r w:rsidRPr="000B1E91">
        <w:rPr>
          <w:rFonts w:cs="AdvOTd369e91e"/>
          <w:szCs w:val="24"/>
        </w:rPr>
        <w:t xml:space="preserve"> </w:t>
      </w:r>
      <w:r w:rsidRPr="000B1E91">
        <w:rPr>
          <w:szCs w:val="24"/>
        </w:rPr>
        <w:t>Chhantyal-Pun et al.</w:t>
      </w:r>
      <w:r w:rsidR="006610AF">
        <w:rPr>
          <w:szCs w:val="24"/>
        </w:rPr>
        <w:t>,</w:t>
      </w:r>
      <w:r w:rsidR="0044732A">
        <w:rPr>
          <w:szCs w:val="24"/>
        </w:rPr>
        <w:t xml:space="preserve"> </w:t>
      </w:r>
      <w:r w:rsidRPr="000B1E91">
        <w:rPr>
          <w:szCs w:val="24"/>
        </w:rPr>
        <w:t xml:space="preserve">2015). </w:t>
      </w:r>
      <w:r w:rsidR="00AD533F">
        <w:rPr>
          <w:szCs w:val="24"/>
        </w:rPr>
        <w:t xml:space="preserve">The less direct determination of Berndt et al. (2017), using the </w:t>
      </w:r>
      <w:r w:rsidR="00AD533F" w:rsidRPr="000B1E91">
        <w:rPr>
          <w:szCs w:val="24"/>
        </w:rPr>
        <w:t>ethene + O</w:t>
      </w:r>
      <w:r w:rsidR="00AD533F" w:rsidRPr="000B1E91">
        <w:rPr>
          <w:szCs w:val="24"/>
          <w:vertAlign w:val="subscript"/>
        </w:rPr>
        <w:t>3</w:t>
      </w:r>
      <w:r w:rsidR="00AD533F" w:rsidRPr="000B1E91">
        <w:rPr>
          <w:szCs w:val="24"/>
        </w:rPr>
        <w:t xml:space="preserve"> reaction</w:t>
      </w:r>
      <w:r w:rsidR="00AD533F">
        <w:rPr>
          <w:szCs w:val="24"/>
        </w:rPr>
        <w:t xml:space="preserve"> as the CH</w:t>
      </w:r>
      <w:r w:rsidR="00AD533F" w:rsidRPr="00AD533F">
        <w:rPr>
          <w:szCs w:val="24"/>
          <w:vertAlign w:val="subscript"/>
        </w:rPr>
        <w:t>2</w:t>
      </w:r>
      <w:r w:rsidR="00AD533F">
        <w:rPr>
          <w:szCs w:val="24"/>
        </w:rPr>
        <w:t>OO source, and reported</w:t>
      </w:r>
      <w:r w:rsidRPr="000B1E91">
        <w:rPr>
          <w:szCs w:val="24"/>
        </w:rPr>
        <w:t xml:space="preserve"> relative rate studies (Berndt et al., 2014; Newland et al., 2015)</w:t>
      </w:r>
      <w:r w:rsidR="00AD533F">
        <w:rPr>
          <w:szCs w:val="24"/>
        </w:rPr>
        <w:t>,</w:t>
      </w:r>
      <w:r w:rsidRPr="000B1E91">
        <w:rPr>
          <w:szCs w:val="24"/>
        </w:rPr>
        <w:t xml:space="preserve"> </w:t>
      </w:r>
      <w:r w:rsidR="00AD533F">
        <w:rPr>
          <w:szCs w:val="24"/>
        </w:rPr>
        <w:t>all yield</w:t>
      </w:r>
      <w:r w:rsidRPr="000B1E91">
        <w:rPr>
          <w:szCs w:val="24"/>
        </w:rPr>
        <w:t xml:space="preserve"> results for</w:t>
      </w:r>
      <w:r w:rsidR="00AD533F">
        <w:rPr>
          <w:szCs w:val="24"/>
        </w:rPr>
        <w:t xml:space="preserve"> the</w:t>
      </w:r>
      <w:r w:rsidRPr="000B1E91">
        <w:rPr>
          <w:szCs w:val="24"/>
        </w:rPr>
        <w:t xml:space="preserve"> kinetics</w:t>
      </w:r>
      <w:r w:rsidR="00AD533F">
        <w:rPr>
          <w:szCs w:val="24"/>
        </w:rPr>
        <w:t xml:space="preserve"> that are</w:t>
      </w:r>
      <w:r w:rsidRPr="000B1E91">
        <w:rPr>
          <w:szCs w:val="24"/>
        </w:rPr>
        <w:t xml:space="preserve"> consistent with the direct </w:t>
      </w:r>
      <w:r w:rsidR="00AD533F">
        <w:rPr>
          <w:szCs w:val="24"/>
        </w:rPr>
        <w:t xml:space="preserve">laser photolysis </w:t>
      </w:r>
      <w:r w:rsidRPr="000B1E91">
        <w:rPr>
          <w:szCs w:val="24"/>
        </w:rPr>
        <w:t xml:space="preserve">measurements of </w:t>
      </w:r>
      <w:r w:rsidRPr="000B1E91">
        <w:rPr>
          <w:i/>
          <w:szCs w:val="24"/>
        </w:rPr>
        <w:t>k</w:t>
      </w:r>
      <w:r w:rsidRPr="000B1E91">
        <w:rPr>
          <w:szCs w:val="24"/>
        </w:rPr>
        <w:t>. Thus</w:t>
      </w:r>
      <w:r w:rsidR="006610AF">
        <w:rPr>
          <w:szCs w:val="24"/>
        </w:rPr>
        <w:t>,</w:t>
      </w:r>
      <w:r w:rsidRPr="000B1E91">
        <w:rPr>
          <w:szCs w:val="24"/>
        </w:rPr>
        <w:t xml:space="preserve"> the </w:t>
      </w:r>
      <w:r w:rsidR="006610AF">
        <w:rPr>
          <w:szCs w:val="24"/>
        </w:rPr>
        <w:t>recommendation is</w:t>
      </w:r>
      <w:r w:rsidRPr="000B1E91">
        <w:rPr>
          <w:szCs w:val="24"/>
        </w:rPr>
        <w:t xml:space="preserve"> valid for application in atmospheric mode</w:t>
      </w:r>
      <w:r w:rsidR="008C14EC">
        <w:rPr>
          <w:szCs w:val="24"/>
        </w:rPr>
        <w:t>l</w:t>
      </w:r>
      <w:r w:rsidRPr="000B1E91">
        <w:rPr>
          <w:szCs w:val="24"/>
        </w:rPr>
        <w:t>ling of CH</w:t>
      </w:r>
      <w:r w:rsidRPr="000B1E91">
        <w:rPr>
          <w:szCs w:val="24"/>
          <w:vertAlign w:val="subscript"/>
        </w:rPr>
        <w:t>2</w:t>
      </w:r>
      <w:r w:rsidRPr="000B1E91">
        <w:rPr>
          <w:szCs w:val="24"/>
        </w:rPr>
        <w:t>OO reactions produced in ozone + alkene reactions.</w:t>
      </w:r>
    </w:p>
    <w:p w14:paraId="7B926064" w14:textId="14EF442C" w:rsidR="00FD2AD1" w:rsidRPr="000B1E91" w:rsidRDefault="0085481F" w:rsidP="002D26FD">
      <w:pPr>
        <w:tabs>
          <w:tab w:val="left" w:pos="-1440"/>
          <w:tab w:val="left" w:pos="-720"/>
          <w:tab w:val="left" w:pos="444"/>
        </w:tabs>
        <w:ind w:firstLine="444"/>
        <w:jc w:val="both"/>
        <w:rPr>
          <w:spacing w:val="-3"/>
          <w:szCs w:val="24"/>
        </w:rPr>
      </w:pPr>
      <w:r w:rsidRPr="000B1E91">
        <w:rPr>
          <w:szCs w:val="24"/>
        </w:rPr>
        <w:t xml:space="preserve">Cox and </w:t>
      </w:r>
      <w:proofErr w:type="spellStart"/>
      <w:r w:rsidRPr="000B1E91">
        <w:rPr>
          <w:szCs w:val="24"/>
        </w:rPr>
        <w:t>Penkett</w:t>
      </w:r>
      <w:proofErr w:type="spellEnd"/>
      <w:r w:rsidRPr="000B1E91">
        <w:rPr>
          <w:szCs w:val="24"/>
        </w:rPr>
        <w:t xml:space="preserve"> (1972) proposed that oxidation of SO</w:t>
      </w:r>
      <w:r w:rsidRPr="000B1E91">
        <w:rPr>
          <w:szCs w:val="24"/>
          <w:vertAlign w:val="subscript"/>
        </w:rPr>
        <w:t>2</w:t>
      </w:r>
      <w:r w:rsidRPr="000B1E91">
        <w:rPr>
          <w:szCs w:val="24"/>
        </w:rPr>
        <w:t xml:space="preserve"> to H</w:t>
      </w:r>
      <w:r w:rsidRPr="000B1E91">
        <w:rPr>
          <w:szCs w:val="24"/>
          <w:vertAlign w:val="subscript"/>
        </w:rPr>
        <w:t>2</w:t>
      </w:r>
      <w:r w:rsidRPr="000B1E91">
        <w:rPr>
          <w:szCs w:val="24"/>
        </w:rPr>
        <w:t>SO</w:t>
      </w:r>
      <w:r w:rsidRPr="000B1E91">
        <w:rPr>
          <w:szCs w:val="24"/>
          <w:vertAlign w:val="subscript"/>
        </w:rPr>
        <w:t>4</w:t>
      </w:r>
      <w:r w:rsidRPr="000B1E91">
        <w:rPr>
          <w:szCs w:val="24"/>
        </w:rPr>
        <w:t xml:space="preserve"> aerosols in the presence of ozone + alkene, occurred as a result of its reaction with carbonyl oxide (</w:t>
      </w:r>
      <w:proofErr w:type="spellStart"/>
      <w:r w:rsidRPr="000B1E91">
        <w:rPr>
          <w:szCs w:val="24"/>
        </w:rPr>
        <w:t>Criegee</w:t>
      </w:r>
      <w:proofErr w:type="spellEnd"/>
      <w:r w:rsidRPr="000B1E91">
        <w:rPr>
          <w:szCs w:val="24"/>
        </w:rPr>
        <w:t>) intermediates to form SO</w:t>
      </w:r>
      <w:r w:rsidRPr="000B1E91">
        <w:rPr>
          <w:szCs w:val="24"/>
          <w:vertAlign w:val="subscript"/>
        </w:rPr>
        <w:t>3</w:t>
      </w:r>
      <w:r w:rsidRPr="000B1E91">
        <w:rPr>
          <w:szCs w:val="24"/>
        </w:rPr>
        <w:t xml:space="preserve"> molecules, which then reacted with water to produce H</w:t>
      </w:r>
      <w:r w:rsidRPr="000B1E91">
        <w:rPr>
          <w:szCs w:val="24"/>
          <w:vertAlign w:val="subscript"/>
        </w:rPr>
        <w:t>2</w:t>
      </w:r>
      <w:r w:rsidRPr="000B1E91">
        <w:rPr>
          <w:szCs w:val="24"/>
        </w:rPr>
        <w:t>SO</w:t>
      </w:r>
      <w:r w:rsidRPr="000B1E91">
        <w:rPr>
          <w:szCs w:val="24"/>
          <w:vertAlign w:val="subscript"/>
        </w:rPr>
        <w:t>4</w:t>
      </w:r>
      <w:r w:rsidRPr="000B1E91">
        <w:rPr>
          <w:szCs w:val="24"/>
        </w:rPr>
        <w:t xml:space="preserve"> aerosol particles. Many experimental studies of ozone + alkene reactions have subsequently confirmed the importance of this process, and it is generally assumed that</w:t>
      </w:r>
      <w:r w:rsidR="006610AF">
        <w:rPr>
          <w:szCs w:val="24"/>
        </w:rPr>
        <w:t xml:space="preserve"> the </w:t>
      </w:r>
      <w:r w:rsidR="006610AF" w:rsidRPr="000B1E91">
        <w:rPr>
          <w:szCs w:val="24"/>
        </w:rPr>
        <w:t>CH</w:t>
      </w:r>
      <w:r w:rsidR="006610AF" w:rsidRPr="000B1E91">
        <w:rPr>
          <w:szCs w:val="24"/>
          <w:vertAlign w:val="subscript"/>
        </w:rPr>
        <w:t>2</w:t>
      </w:r>
      <w:r w:rsidR="006610AF" w:rsidRPr="000B1E91">
        <w:rPr>
          <w:szCs w:val="24"/>
        </w:rPr>
        <w:t>OO + SO</w:t>
      </w:r>
      <w:r w:rsidR="006610AF" w:rsidRPr="000B1E91">
        <w:rPr>
          <w:szCs w:val="24"/>
          <w:vertAlign w:val="subscript"/>
        </w:rPr>
        <w:t xml:space="preserve">2 </w:t>
      </w:r>
      <w:r w:rsidR="006610AF" w:rsidRPr="000B1E91">
        <w:rPr>
          <w:szCs w:val="24"/>
        </w:rPr>
        <w:t>reaction</w:t>
      </w:r>
      <w:r w:rsidR="006610AF">
        <w:rPr>
          <w:szCs w:val="24"/>
        </w:rPr>
        <w:t xml:space="preserve"> </w:t>
      </w:r>
      <w:r w:rsidR="006610AF" w:rsidRPr="000B1E91">
        <w:rPr>
          <w:szCs w:val="24"/>
        </w:rPr>
        <w:t>predominant</w:t>
      </w:r>
      <w:r w:rsidR="006610AF">
        <w:rPr>
          <w:szCs w:val="24"/>
        </w:rPr>
        <w:t>ly forms HCHO +</w:t>
      </w:r>
      <w:r w:rsidRPr="000B1E91">
        <w:rPr>
          <w:szCs w:val="24"/>
        </w:rPr>
        <w:t xml:space="preserve"> SO</w:t>
      </w:r>
      <w:r w:rsidRPr="000B1E91">
        <w:rPr>
          <w:szCs w:val="24"/>
          <w:vertAlign w:val="subscript"/>
        </w:rPr>
        <w:t>3</w:t>
      </w:r>
      <w:r w:rsidR="001F5A2B">
        <w:rPr>
          <w:szCs w:val="24"/>
        </w:rPr>
        <w:t>.</w:t>
      </w:r>
      <w:r w:rsidRPr="000B1E91">
        <w:rPr>
          <w:szCs w:val="24"/>
        </w:rPr>
        <w:t xml:space="preserve"> </w:t>
      </w:r>
      <w:r w:rsidR="006610AF">
        <w:rPr>
          <w:szCs w:val="24"/>
        </w:rPr>
        <w:t>The</w:t>
      </w:r>
      <w:r w:rsidRPr="000B1E91">
        <w:rPr>
          <w:szCs w:val="24"/>
        </w:rPr>
        <w:t xml:space="preserve"> theoretical investigation of Vereecken et al. (2012) re-examined the </w:t>
      </w:r>
      <w:r w:rsidR="006610AF">
        <w:rPr>
          <w:szCs w:val="24"/>
        </w:rPr>
        <w:t>potential energy surface of the reaction</w:t>
      </w:r>
      <w:r w:rsidRPr="000B1E91">
        <w:rPr>
          <w:szCs w:val="24"/>
        </w:rPr>
        <w:t>,</w:t>
      </w:r>
      <w:r w:rsidR="001F5A2B">
        <w:rPr>
          <w:szCs w:val="24"/>
        </w:rPr>
        <w:t xml:space="preserve"> </w:t>
      </w:r>
      <w:r w:rsidRPr="000B1E91">
        <w:rPr>
          <w:szCs w:val="24"/>
        </w:rPr>
        <w:t xml:space="preserve">explicitly examining the open shell biradical structures than can be formed following barrierless formation of a </w:t>
      </w:r>
      <w:r w:rsidR="001F5A2B">
        <w:rPr>
          <w:szCs w:val="24"/>
        </w:rPr>
        <w:t>chemically-activated secondary</w:t>
      </w:r>
      <w:r w:rsidRPr="000B1E91">
        <w:rPr>
          <w:szCs w:val="24"/>
        </w:rPr>
        <w:t xml:space="preserve"> ozonide in the initial CH</w:t>
      </w:r>
      <w:r w:rsidRPr="000B1E91">
        <w:rPr>
          <w:szCs w:val="24"/>
          <w:vertAlign w:val="subscript"/>
        </w:rPr>
        <w:t>2</w:t>
      </w:r>
      <w:r w:rsidRPr="000B1E91">
        <w:rPr>
          <w:szCs w:val="24"/>
        </w:rPr>
        <w:t>OO + SO</w:t>
      </w:r>
      <w:r w:rsidRPr="000B1E91">
        <w:rPr>
          <w:szCs w:val="24"/>
          <w:vertAlign w:val="subscript"/>
        </w:rPr>
        <w:t>2</w:t>
      </w:r>
      <w:r w:rsidRPr="000B1E91">
        <w:rPr>
          <w:szCs w:val="24"/>
        </w:rPr>
        <w:t xml:space="preserve"> encounter. The subsequent </w:t>
      </w:r>
      <w:r w:rsidR="001F5A2B">
        <w:rPr>
          <w:szCs w:val="24"/>
        </w:rPr>
        <w:t>mechanism</w:t>
      </w:r>
      <w:r w:rsidRPr="000B1E91">
        <w:rPr>
          <w:szCs w:val="24"/>
        </w:rPr>
        <w:t xml:space="preserve"> involved</w:t>
      </w:r>
      <w:r w:rsidR="001F5A2B">
        <w:rPr>
          <w:szCs w:val="24"/>
        </w:rPr>
        <w:t xml:space="preserve"> rearrangement to</w:t>
      </w:r>
      <w:r w:rsidRPr="000B1E91">
        <w:rPr>
          <w:szCs w:val="24"/>
        </w:rPr>
        <w:t xml:space="preserve"> a singlet biradical intermediate,</w:t>
      </w:r>
      <w:r w:rsidR="00330C6B">
        <w:rPr>
          <w:szCs w:val="24"/>
        </w:rPr>
        <w:t xml:space="preserve"> </w:t>
      </w:r>
      <w:r w:rsidR="00330C6B" w:rsidRPr="00330C6B">
        <w:rPr>
          <w:szCs w:val="24"/>
        </w:rPr>
        <w:t>HC(O)OS(O)O</w:t>
      </w:r>
      <w:r w:rsidRPr="000B1E91">
        <w:rPr>
          <w:szCs w:val="24"/>
          <w:vertAlign w:val="superscript"/>
        </w:rPr>
        <w:t>.</w:t>
      </w:r>
      <w:r w:rsidR="00330C6B">
        <w:rPr>
          <w:szCs w:val="24"/>
        </w:rPr>
        <w:t>. Under atmospheric conditions</w:t>
      </w:r>
      <w:r w:rsidRPr="000B1E91">
        <w:rPr>
          <w:szCs w:val="24"/>
        </w:rPr>
        <w:t>,</w:t>
      </w:r>
      <w:r w:rsidR="00330C6B">
        <w:rPr>
          <w:szCs w:val="24"/>
        </w:rPr>
        <w:t xml:space="preserve"> this was calculated to dissociate mainly to</w:t>
      </w:r>
      <w:r w:rsidRPr="000B1E91">
        <w:rPr>
          <w:szCs w:val="24"/>
        </w:rPr>
        <w:t xml:space="preserve"> </w:t>
      </w:r>
      <w:r w:rsidR="00A71470">
        <w:rPr>
          <w:szCs w:val="24"/>
        </w:rPr>
        <w:t>form</w:t>
      </w:r>
      <w:r w:rsidR="00A71470">
        <w:rPr>
          <w:szCs w:val="24"/>
        </w:rPr>
        <w:t xml:space="preserve"> </w:t>
      </w:r>
      <w:r w:rsidR="00330C6B">
        <w:rPr>
          <w:szCs w:val="24"/>
        </w:rPr>
        <w:t>HCHO + SO</w:t>
      </w:r>
      <w:r w:rsidR="00330C6B" w:rsidRPr="00330C6B">
        <w:rPr>
          <w:szCs w:val="24"/>
          <w:vertAlign w:val="subscript"/>
        </w:rPr>
        <w:t>3</w:t>
      </w:r>
      <w:r w:rsidR="00330C6B">
        <w:rPr>
          <w:szCs w:val="24"/>
        </w:rPr>
        <w:t xml:space="preserve"> (68 %),</w:t>
      </w:r>
      <w:r w:rsidRPr="000B1E91">
        <w:rPr>
          <w:szCs w:val="24"/>
        </w:rPr>
        <w:t xml:space="preserve"> </w:t>
      </w:r>
      <w:r w:rsidR="00330C6B">
        <w:rPr>
          <w:szCs w:val="24"/>
        </w:rPr>
        <w:t>this being</w:t>
      </w:r>
      <w:r w:rsidRPr="000B1E91">
        <w:rPr>
          <w:szCs w:val="24"/>
        </w:rPr>
        <w:t xml:space="preserve"> the dissociation</w:t>
      </w:r>
      <w:r w:rsidR="00330C6B">
        <w:rPr>
          <w:szCs w:val="24"/>
        </w:rPr>
        <w:t xml:space="preserve"> channel with the </w:t>
      </w:r>
      <w:r w:rsidR="00330C6B" w:rsidRPr="000B1E91">
        <w:rPr>
          <w:szCs w:val="24"/>
        </w:rPr>
        <w:t>lowest barrier</w:t>
      </w:r>
      <w:r w:rsidRPr="000B1E91">
        <w:rPr>
          <w:szCs w:val="24"/>
        </w:rPr>
        <w:t>. Alternat</w:t>
      </w:r>
      <w:r w:rsidR="001F5A2B">
        <w:rPr>
          <w:szCs w:val="24"/>
        </w:rPr>
        <w:t>ive</w:t>
      </w:r>
      <w:r w:rsidRPr="000B1E91">
        <w:rPr>
          <w:szCs w:val="24"/>
        </w:rPr>
        <w:t xml:space="preserve"> channels involving </w:t>
      </w:r>
      <w:r w:rsidR="00330C6B">
        <w:rPr>
          <w:szCs w:val="24"/>
        </w:rPr>
        <w:t xml:space="preserve">formation of </w:t>
      </w:r>
      <w:r w:rsidRPr="000B1E91">
        <w:rPr>
          <w:szCs w:val="24"/>
        </w:rPr>
        <w:t>SO</w:t>
      </w:r>
      <w:r w:rsidRPr="000B1E91">
        <w:rPr>
          <w:szCs w:val="24"/>
          <w:vertAlign w:val="subscript"/>
        </w:rPr>
        <w:t>2</w:t>
      </w:r>
      <w:r w:rsidR="00330C6B">
        <w:rPr>
          <w:szCs w:val="24"/>
        </w:rPr>
        <w:t xml:space="preserve"> and</w:t>
      </w:r>
      <w:r w:rsidRPr="000B1E91">
        <w:rPr>
          <w:szCs w:val="24"/>
        </w:rPr>
        <w:t xml:space="preserve"> a bis-oxy diradical</w:t>
      </w:r>
      <w:r w:rsidR="00330C6B">
        <w:rPr>
          <w:szCs w:val="24"/>
        </w:rPr>
        <w:t>,</w:t>
      </w:r>
      <w:r w:rsidRPr="000B1E91">
        <w:rPr>
          <w:szCs w:val="24"/>
        </w:rPr>
        <w:t xml:space="preserve"> CH</w:t>
      </w:r>
      <w:r w:rsidRPr="000B1E91">
        <w:rPr>
          <w:szCs w:val="24"/>
          <w:vertAlign w:val="subscript"/>
        </w:rPr>
        <w:t>2</w:t>
      </w:r>
      <w:r w:rsidRPr="000B1E91">
        <w:rPr>
          <w:szCs w:val="24"/>
        </w:rPr>
        <w:t>(O</w:t>
      </w:r>
      <w:r w:rsidRPr="000B1E91">
        <w:rPr>
          <w:szCs w:val="24"/>
          <w:vertAlign w:val="superscript"/>
        </w:rPr>
        <w:t>.</w:t>
      </w:r>
      <w:r w:rsidRPr="000B1E91">
        <w:rPr>
          <w:szCs w:val="24"/>
        </w:rPr>
        <w:t>)O</w:t>
      </w:r>
      <w:r w:rsidRPr="000B1E91">
        <w:rPr>
          <w:szCs w:val="24"/>
          <w:vertAlign w:val="superscript"/>
        </w:rPr>
        <w:t xml:space="preserve">. </w:t>
      </w:r>
      <w:r w:rsidR="00330C6B">
        <w:rPr>
          <w:szCs w:val="24"/>
        </w:rPr>
        <w:t>(17 %), and</w:t>
      </w:r>
      <w:r w:rsidRPr="000B1E91">
        <w:rPr>
          <w:szCs w:val="24"/>
        </w:rPr>
        <w:t xml:space="preserve"> H-elimination to form </w:t>
      </w:r>
      <w:r w:rsidR="00330C6B">
        <w:rPr>
          <w:szCs w:val="24"/>
        </w:rPr>
        <w:t>the</w:t>
      </w:r>
      <w:r w:rsidRPr="000B1E91">
        <w:rPr>
          <w:szCs w:val="24"/>
        </w:rPr>
        <w:t xml:space="preserve"> very stable </w:t>
      </w:r>
      <w:proofErr w:type="spellStart"/>
      <w:r w:rsidRPr="000B1E91">
        <w:rPr>
          <w:szCs w:val="24"/>
        </w:rPr>
        <w:t>formylsulfinic</w:t>
      </w:r>
      <w:proofErr w:type="spellEnd"/>
      <w:r w:rsidRPr="000B1E91">
        <w:rPr>
          <w:szCs w:val="24"/>
        </w:rPr>
        <w:t xml:space="preserve"> acid</w:t>
      </w:r>
      <w:r w:rsidR="00330C6B">
        <w:rPr>
          <w:szCs w:val="24"/>
        </w:rPr>
        <w:t>,</w:t>
      </w:r>
      <w:r w:rsidRPr="000B1E91">
        <w:rPr>
          <w:szCs w:val="24"/>
        </w:rPr>
        <w:t xml:space="preserve"> HC(=O)OS(=O)OH</w:t>
      </w:r>
      <w:r w:rsidR="00330C6B">
        <w:rPr>
          <w:szCs w:val="24"/>
        </w:rPr>
        <w:t xml:space="preserve"> (15 %)</w:t>
      </w:r>
      <w:r w:rsidR="00BA6258">
        <w:rPr>
          <w:szCs w:val="24"/>
        </w:rPr>
        <w:t>,</w:t>
      </w:r>
      <w:r w:rsidRPr="000B1E91">
        <w:rPr>
          <w:szCs w:val="24"/>
        </w:rPr>
        <w:t xml:space="preserve"> were </w:t>
      </w:r>
      <w:r w:rsidR="00BA6258">
        <w:rPr>
          <w:szCs w:val="24"/>
        </w:rPr>
        <w:t xml:space="preserve">also calculated for atmospheric conditions, using </w:t>
      </w:r>
      <w:r w:rsidRPr="000B1E91">
        <w:rPr>
          <w:szCs w:val="24"/>
        </w:rPr>
        <w:t xml:space="preserve">RRKM methods. The results are consistent with </w:t>
      </w:r>
      <w:r w:rsidR="00BA6258">
        <w:rPr>
          <w:szCs w:val="24"/>
        </w:rPr>
        <w:t>reported</w:t>
      </w:r>
      <w:r w:rsidRPr="000B1E91">
        <w:rPr>
          <w:szCs w:val="24"/>
        </w:rPr>
        <w:t xml:space="preserve"> product observations</w:t>
      </w:r>
      <w:r w:rsidR="00BA6258">
        <w:rPr>
          <w:szCs w:val="24"/>
        </w:rPr>
        <w:t>,</w:t>
      </w:r>
      <w:r w:rsidRPr="000B1E91">
        <w:rPr>
          <w:szCs w:val="24"/>
        </w:rPr>
        <w:t xml:space="preserve"> i.e. formation of </w:t>
      </w:r>
      <w:r w:rsidR="00BA6258">
        <w:rPr>
          <w:szCs w:val="24"/>
        </w:rPr>
        <w:t>HCHO and/or</w:t>
      </w:r>
      <w:r w:rsidRPr="000B1E91">
        <w:rPr>
          <w:szCs w:val="24"/>
        </w:rPr>
        <w:t xml:space="preserve"> SO</w:t>
      </w:r>
      <w:r w:rsidRPr="000B1E91">
        <w:rPr>
          <w:szCs w:val="24"/>
          <w:vertAlign w:val="subscript"/>
        </w:rPr>
        <w:t>3</w:t>
      </w:r>
      <w:r w:rsidRPr="000B1E91">
        <w:rPr>
          <w:szCs w:val="24"/>
        </w:rPr>
        <w:t>, (</w:t>
      </w:r>
      <w:proofErr w:type="spellStart"/>
      <w:r w:rsidRPr="000B1E91">
        <w:rPr>
          <w:szCs w:val="24"/>
        </w:rPr>
        <w:t>Welz</w:t>
      </w:r>
      <w:proofErr w:type="spellEnd"/>
      <w:r w:rsidRPr="000B1E91">
        <w:rPr>
          <w:szCs w:val="24"/>
        </w:rPr>
        <w:t xml:space="preserve"> et al., 2012</w:t>
      </w:r>
      <w:r w:rsidR="00BA6258">
        <w:rPr>
          <w:szCs w:val="24"/>
        </w:rPr>
        <w:t>; Stone et al., 2014</w:t>
      </w:r>
      <w:r w:rsidRPr="000B1E91">
        <w:rPr>
          <w:szCs w:val="24"/>
        </w:rPr>
        <w:t>), regeneration of SO</w:t>
      </w:r>
      <w:r w:rsidRPr="000B1E91">
        <w:rPr>
          <w:szCs w:val="24"/>
          <w:vertAlign w:val="subscript"/>
        </w:rPr>
        <w:t>2</w:t>
      </w:r>
      <w:r w:rsidRPr="000B1E91">
        <w:rPr>
          <w:szCs w:val="24"/>
        </w:rPr>
        <w:t xml:space="preserve"> with an oxygen exchange between the </w:t>
      </w:r>
      <w:proofErr w:type="spellStart"/>
      <w:r w:rsidR="00BA6258">
        <w:rPr>
          <w:szCs w:val="24"/>
        </w:rPr>
        <w:t>sCI</w:t>
      </w:r>
      <w:proofErr w:type="spellEnd"/>
      <w:r w:rsidRPr="000B1E91">
        <w:rPr>
          <w:szCs w:val="24"/>
        </w:rPr>
        <w:t xml:space="preserve"> and SO</w:t>
      </w:r>
      <w:r w:rsidRPr="000B1E91">
        <w:rPr>
          <w:szCs w:val="24"/>
          <w:vertAlign w:val="subscript"/>
        </w:rPr>
        <w:t>2</w:t>
      </w:r>
      <w:r w:rsidRPr="000B1E91">
        <w:rPr>
          <w:szCs w:val="24"/>
        </w:rPr>
        <w:t xml:space="preserve"> moieties (</w:t>
      </w:r>
      <w:proofErr w:type="spellStart"/>
      <w:r w:rsidRPr="000B1E91">
        <w:rPr>
          <w:rFonts w:cs="AdvOTd369e91e"/>
          <w:szCs w:val="24"/>
        </w:rPr>
        <w:t>Hatakeyama</w:t>
      </w:r>
      <w:proofErr w:type="spellEnd"/>
      <w:r w:rsidRPr="000B1E91">
        <w:rPr>
          <w:rFonts w:cs="AdvOTd369e91e"/>
          <w:szCs w:val="24"/>
        </w:rPr>
        <w:t xml:space="preserve"> et al., 1984, 1986)</w:t>
      </w:r>
      <w:r w:rsidRPr="000B1E91">
        <w:rPr>
          <w:szCs w:val="24"/>
        </w:rPr>
        <w:t>, and kinetic anomalies at high [SO</w:t>
      </w:r>
      <w:r w:rsidRPr="000B1E91">
        <w:rPr>
          <w:szCs w:val="24"/>
          <w:vertAlign w:val="subscript"/>
        </w:rPr>
        <w:t>2</w:t>
      </w:r>
      <w:r w:rsidRPr="000B1E91">
        <w:rPr>
          <w:szCs w:val="24"/>
        </w:rPr>
        <w:t>], (</w:t>
      </w:r>
      <w:r w:rsidRPr="000B1E91">
        <w:rPr>
          <w:rFonts w:cs="AdvOTd369e91e"/>
          <w:szCs w:val="24"/>
        </w:rPr>
        <w:t xml:space="preserve">Chhantyal-Pun et al., 2015). Until </w:t>
      </w:r>
      <w:r w:rsidR="00BA6258">
        <w:rPr>
          <w:rFonts w:cs="AdvOTd369e91e"/>
          <w:szCs w:val="24"/>
        </w:rPr>
        <w:t xml:space="preserve">quantitative </w:t>
      </w:r>
      <w:r w:rsidRPr="000B1E91">
        <w:rPr>
          <w:rFonts w:cs="AdvOTd369e91e"/>
          <w:szCs w:val="24"/>
        </w:rPr>
        <w:t xml:space="preserve">experimental </w:t>
      </w:r>
      <w:r w:rsidR="00BA6258">
        <w:rPr>
          <w:rFonts w:cs="AdvOTd369e91e"/>
          <w:szCs w:val="24"/>
        </w:rPr>
        <w:t xml:space="preserve">product channel </w:t>
      </w:r>
      <w:r w:rsidRPr="000B1E91">
        <w:rPr>
          <w:rFonts w:cs="AdvOTd369e91e"/>
          <w:szCs w:val="24"/>
        </w:rPr>
        <w:t>data become available</w:t>
      </w:r>
      <w:r w:rsidR="00BA6258">
        <w:rPr>
          <w:rFonts w:cs="AdvOTd369e91e"/>
          <w:szCs w:val="24"/>
        </w:rPr>
        <w:t>,</w:t>
      </w:r>
      <w:r w:rsidRPr="000B1E91">
        <w:rPr>
          <w:rFonts w:cs="AdvOTd369e91e"/>
          <w:szCs w:val="24"/>
        </w:rPr>
        <w:t xml:space="preserve"> we</w:t>
      </w:r>
      <w:r w:rsidR="00BA6258">
        <w:rPr>
          <w:rFonts w:cs="AdvOTd369e91e"/>
          <w:szCs w:val="24"/>
        </w:rPr>
        <w:t xml:space="preserve"> recommend that</w:t>
      </w:r>
      <w:r w:rsidRPr="000B1E91">
        <w:rPr>
          <w:rFonts w:cs="AdvOTd369e91e"/>
          <w:szCs w:val="24"/>
        </w:rPr>
        <w:t xml:space="preserve"> </w:t>
      </w:r>
      <w:r w:rsidRPr="000B1E91">
        <w:rPr>
          <w:szCs w:val="24"/>
        </w:rPr>
        <w:t>the</w:t>
      </w:r>
      <w:r w:rsidR="00BA6258">
        <w:rPr>
          <w:szCs w:val="24"/>
        </w:rPr>
        <w:t xml:space="preserve"> reaction predominantly forms HCHO and</w:t>
      </w:r>
      <w:r w:rsidRPr="000B1E91">
        <w:rPr>
          <w:szCs w:val="24"/>
        </w:rPr>
        <w:t xml:space="preserve"> SO</w:t>
      </w:r>
      <w:r w:rsidRPr="000B1E91">
        <w:rPr>
          <w:szCs w:val="24"/>
          <w:vertAlign w:val="subscript"/>
        </w:rPr>
        <w:t>3</w:t>
      </w:r>
      <w:r w:rsidRPr="000B1E91">
        <w:rPr>
          <w:szCs w:val="24"/>
        </w:rPr>
        <w:t>.</w:t>
      </w:r>
    </w:p>
    <w:p w14:paraId="3988E227" w14:textId="77777777" w:rsidR="00945495" w:rsidRDefault="00945495" w:rsidP="00945495">
      <w:pPr>
        <w:tabs>
          <w:tab w:val="left" w:pos="-1440"/>
          <w:tab w:val="left" w:pos="-720"/>
          <w:tab w:val="left" w:pos="444"/>
        </w:tabs>
        <w:ind w:firstLine="444"/>
        <w:jc w:val="both"/>
      </w:pPr>
      <w:r w:rsidRPr="00945495">
        <w:t xml:space="preserve"> </w:t>
      </w:r>
    </w:p>
    <w:p w14:paraId="5358B587" w14:textId="77777777" w:rsidR="00945495" w:rsidRDefault="00945495" w:rsidP="00945495">
      <w:pPr>
        <w:jc w:val="center"/>
      </w:pPr>
      <w:r>
        <w:rPr>
          <w:b/>
          <w:bCs/>
        </w:rPr>
        <w:t>References</w:t>
      </w:r>
    </w:p>
    <w:p w14:paraId="0D38E133" w14:textId="77777777" w:rsidR="007A2AFA" w:rsidRDefault="007A2AFA" w:rsidP="007A2AFA">
      <w:pPr>
        <w:jc w:val="both"/>
        <w:rPr>
          <w:lang w:val="de-DE"/>
        </w:rPr>
      </w:pPr>
    </w:p>
    <w:p w14:paraId="5A241D3E" w14:textId="77777777" w:rsidR="0085481F" w:rsidRDefault="0085481F" w:rsidP="00C5195C">
      <w:pPr>
        <w:tabs>
          <w:tab w:val="center" w:pos="4680"/>
        </w:tabs>
        <w:ind w:left="289" w:right="-63" w:hanging="289"/>
        <w:jc w:val="both"/>
        <w:rPr>
          <w:color w:val="auto"/>
          <w:szCs w:val="24"/>
        </w:rPr>
      </w:pPr>
      <w:r w:rsidRPr="0085481F">
        <w:rPr>
          <w:color w:val="auto"/>
          <w:szCs w:val="24"/>
        </w:rPr>
        <w:t xml:space="preserve">Berndt, T., </w:t>
      </w:r>
      <w:proofErr w:type="spellStart"/>
      <w:r w:rsidRPr="0085481F">
        <w:rPr>
          <w:color w:val="auto"/>
          <w:szCs w:val="24"/>
        </w:rPr>
        <w:t>Voigtlander</w:t>
      </w:r>
      <w:proofErr w:type="spellEnd"/>
      <w:r w:rsidRPr="0085481F">
        <w:rPr>
          <w:color w:val="auto"/>
          <w:szCs w:val="24"/>
        </w:rPr>
        <w:t xml:space="preserve">, J., </w:t>
      </w:r>
      <w:proofErr w:type="spellStart"/>
      <w:r w:rsidRPr="0085481F">
        <w:rPr>
          <w:color w:val="auto"/>
          <w:szCs w:val="24"/>
        </w:rPr>
        <w:t>Stratmann</w:t>
      </w:r>
      <w:proofErr w:type="spellEnd"/>
      <w:r w:rsidRPr="0085481F">
        <w:rPr>
          <w:color w:val="auto"/>
          <w:szCs w:val="24"/>
        </w:rPr>
        <w:t xml:space="preserve">, F., </w:t>
      </w:r>
      <w:proofErr w:type="spellStart"/>
      <w:r w:rsidRPr="0085481F">
        <w:rPr>
          <w:color w:val="auto"/>
          <w:szCs w:val="24"/>
        </w:rPr>
        <w:t>Junninen</w:t>
      </w:r>
      <w:proofErr w:type="spellEnd"/>
      <w:r w:rsidRPr="0085481F">
        <w:rPr>
          <w:color w:val="auto"/>
          <w:szCs w:val="24"/>
        </w:rPr>
        <w:t xml:space="preserve">, H., Mauldin III, R.L., </w:t>
      </w:r>
      <w:proofErr w:type="spellStart"/>
      <w:r w:rsidRPr="0085481F">
        <w:rPr>
          <w:color w:val="auto"/>
          <w:szCs w:val="24"/>
        </w:rPr>
        <w:t>Sipila</w:t>
      </w:r>
      <w:proofErr w:type="spellEnd"/>
      <w:r w:rsidRPr="0085481F">
        <w:rPr>
          <w:color w:val="auto"/>
          <w:szCs w:val="24"/>
        </w:rPr>
        <w:t xml:space="preserve">, M., </w:t>
      </w:r>
      <w:proofErr w:type="spellStart"/>
      <w:r w:rsidRPr="0085481F">
        <w:rPr>
          <w:color w:val="auto"/>
          <w:szCs w:val="24"/>
        </w:rPr>
        <w:t>Kulmala</w:t>
      </w:r>
      <w:proofErr w:type="spellEnd"/>
      <w:r w:rsidRPr="0085481F">
        <w:rPr>
          <w:color w:val="auto"/>
          <w:szCs w:val="24"/>
        </w:rPr>
        <w:t xml:space="preserve">,. M., and Herrmann, H.: </w:t>
      </w:r>
      <w:r w:rsidRPr="0085481F">
        <w:rPr>
          <w:bCs/>
          <w:iCs/>
          <w:color w:val="auto"/>
          <w:szCs w:val="24"/>
        </w:rPr>
        <w:t>Phys. Chem. Chem. Phys.,</w:t>
      </w:r>
      <w:r w:rsidRPr="0085481F">
        <w:rPr>
          <w:color w:val="auto"/>
          <w:szCs w:val="24"/>
        </w:rPr>
        <w:t xml:space="preserve"> 16, 19130, 2014.</w:t>
      </w:r>
    </w:p>
    <w:p w14:paraId="3682CACF" w14:textId="77777777" w:rsidR="00AD533F" w:rsidRPr="00AD533F" w:rsidRDefault="00AD533F" w:rsidP="00AD533F">
      <w:pPr>
        <w:widowControl w:val="0"/>
        <w:overflowPunct w:val="0"/>
        <w:ind w:left="289" w:hanging="289"/>
        <w:jc w:val="both"/>
        <w:rPr>
          <w:rFonts w:cs="AdvOTd369e91e"/>
          <w:szCs w:val="24"/>
        </w:rPr>
      </w:pPr>
      <w:r>
        <w:rPr>
          <w:rFonts w:cs="AdvOTd369e91e"/>
          <w:szCs w:val="24"/>
        </w:rPr>
        <w:t xml:space="preserve">Berndt, T., </w:t>
      </w:r>
      <w:r w:rsidRPr="0090762E">
        <w:rPr>
          <w:rFonts w:cs="AdvOTd369e91e"/>
          <w:szCs w:val="24"/>
        </w:rPr>
        <w:t>Herrmann,</w:t>
      </w:r>
      <w:r>
        <w:rPr>
          <w:rFonts w:cs="AdvOTd369e91e"/>
          <w:szCs w:val="24"/>
        </w:rPr>
        <w:t xml:space="preserve"> H. and </w:t>
      </w:r>
      <w:proofErr w:type="spellStart"/>
      <w:r w:rsidRPr="0090762E">
        <w:rPr>
          <w:rFonts w:cs="AdvOTd369e91e"/>
          <w:szCs w:val="24"/>
        </w:rPr>
        <w:t>Kurtén</w:t>
      </w:r>
      <w:proofErr w:type="spellEnd"/>
      <w:r>
        <w:rPr>
          <w:rFonts w:cs="AdvOTd369e91e"/>
          <w:szCs w:val="24"/>
        </w:rPr>
        <w:t xml:space="preserve">, T.: </w:t>
      </w:r>
      <w:r w:rsidRPr="0090762E">
        <w:rPr>
          <w:rFonts w:cs="AdvOTd369e91e"/>
          <w:szCs w:val="24"/>
        </w:rPr>
        <w:t>J. Am. Chem. Soc., 139, 13387</w:t>
      </w:r>
      <w:r>
        <w:rPr>
          <w:rFonts w:cs="AdvOTd369e91e"/>
          <w:szCs w:val="24"/>
        </w:rPr>
        <w:t>, 2017.</w:t>
      </w:r>
    </w:p>
    <w:p w14:paraId="52AB47A2" w14:textId="77777777" w:rsidR="0085481F" w:rsidRPr="0085481F" w:rsidRDefault="0085481F" w:rsidP="00C5195C">
      <w:pPr>
        <w:ind w:left="289" w:hanging="289"/>
        <w:jc w:val="both"/>
        <w:rPr>
          <w:color w:val="auto"/>
          <w:szCs w:val="24"/>
        </w:rPr>
      </w:pPr>
      <w:r w:rsidRPr="0085481F">
        <w:rPr>
          <w:rFonts w:cs="AdvOTd369e91e"/>
          <w:color w:val="auto"/>
          <w:szCs w:val="24"/>
        </w:rPr>
        <w:t xml:space="preserve">Chhantyal-Pun, R., Davey, A., Shallcross, D.E., Percival, C.J., Orr-Ewing, A.J.: </w:t>
      </w:r>
      <w:r w:rsidRPr="0085481F">
        <w:rPr>
          <w:color w:val="auto"/>
          <w:szCs w:val="24"/>
        </w:rPr>
        <w:t>Phys. Chem. Chem. Phys., 17, 3617, 2015.</w:t>
      </w:r>
    </w:p>
    <w:p w14:paraId="0FE7E2ED" w14:textId="77777777" w:rsidR="0085481F" w:rsidRPr="0085481F" w:rsidRDefault="0085481F" w:rsidP="00C5195C">
      <w:pPr>
        <w:ind w:left="289" w:hanging="289"/>
        <w:rPr>
          <w:rFonts w:cs="AdvOTd369e91e"/>
          <w:color w:val="auto"/>
          <w:szCs w:val="24"/>
        </w:rPr>
      </w:pPr>
      <w:r w:rsidRPr="0085481F">
        <w:rPr>
          <w:rFonts w:cs="AdvOTd369e91e"/>
          <w:color w:val="auto"/>
          <w:szCs w:val="24"/>
        </w:rPr>
        <w:t xml:space="preserve">Cox, R. A. and </w:t>
      </w:r>
      <w:proofErr w:type="spellStart"/>
      <w:r w:rsidRPr="0085481F">
        <w:rPr>
          <w:rFonts w:cs="AdvOTd369e91e"/>
          <w:color w:val="auto"/>
          <w:szCs w:val="24"/>
        </w:rPr>
        <w:t>Penkett</w:t>
      </w:r>
      <w:proofErr w:type="spellEnd"/>
      <w:r w:rsidRPr="0085481F">
        <w:rPr>
          <w:rFonts w:cs="AdvOTd369e91e"/>
          <w:color w:val="auto"/>
          <w:szCs w:val="24"/>
        </w:rPr>
        <w:t>, S. A.</w:t>
      </w:r>
      <w:r>
        <w:rPr>
          <w:rFonts w:cs="AdvOTd369e91e"/>
          <w:color w:val="auto"/>
          <w:szCs w:val="24"/>
        </w:rPr>
        <w:t>:</w:t>
      </w:r>
      <w:r w:rsidRPr="0085481F">
        <w:rPr>
          <w:rFonts w:cs="AdvOTd369e91e"/>
          <w:color w:val="auto"/>
          <w:szCs w:val="24"/>
        </w:rPr>
        <w:t xml:space="preserve"> J. Chem. Soc., Faraday Trans. 1, 68, 1735, 1972.</w:t>
      </w:r>
    </w:p>
    <w:p w14:paraId="4DF9661A" w14:textId="77777777" w:rsidR="0085481F" w:rsidRPr="0085481F" w:rsidRDefault="0085481F" w:rsidP="00C5195C">
      <w:pPr>
        <w:ind w:left="289" w:hanging="289"/>
        <w:rPr>
          <w:rFonts w:cs="AdvOTd369e91e"/>
          <w:color w:val="auto"/>
          <w:szCs w:val="24"/>
        </w:rPr>
      </w:pPr>
      <w:proofErr w:type="spellStart"/>
      <w:r w:rsidRPr="0085481F">
        <w:rPr>
          <w:rFonts w:cs="AdvOTd369e91e"/>
          <w:color w:val="auto"/>
          <w:szCs w:val="24"/>
        </w:rPr>
        <w:t>Hatakeyama</w:t>
      </w:r>
      <w:proofErr w:type="spellEnd"/>
      <w:r w:rsidRPr="0085481F">
        <w:rPr>
          <w:rFonts w:cs="AdvOTd369e91e"/>
          <w:color w:val="auto"/>
          <w:szCs w:val="24"/>
        </w:rPr>
        <w:t>, S., Kobayashi, H. and Akimoto, H.</w:t>
      </w:r>
      <w:r>
        <w:rPr>
          <w:rFonts w:cs="AdvOTd369e91e"/>
          <w:color w:val="auto"/>
          <w:szCs w:val="24"/>
        </w:rPr>
        <w:t>:</w:t>
      </w:r>
      <w:r w:rsidRPr="0085481F">
        <w:rPr>
          <w:rFonts w:cs="AdvOTd369e91e"/>
          <w:color w:val="auto"/>
          <w:szCs w:val="24"/>
        </w:rPr>
        <w:t xml:space="preserve"> J. Phys. Chem., 88, 4736, 1984. </w:t>
      </w:r>
    </w:p>
    <w:p w14:paraId="73CEE2A3" w14:textId="77777777" w:rsidR="0085481F" w:rsidRPr="0085481F" w:rsidRDefault="0085481F" w:rsidP="00C5195C">
      <w:pPr>
        <w:ind w:left="289" w:hanging="289"/>
        <w:rPr>
          <w:rFonts w:cs="AdvOTd369e91e"/>
          <w:color w:val="auto"/>
          <w:szCs w:val="24"/>
        </w:rPr>
      </w:pPr>
      <w:proofErr w:type="spellStart"/>
      <w:r w:rsidRPr="0085481F">
        <w:rPr>
          <w:rFonts w:cs="AdvOTd369e91e"/>
          <w:color w:val="auto"/>
          <w:szCs w:val="24"/>
        </w:rPr>
        <w:t>Hatakeyama</w:t>
      </w:r>
      <w:proofErr w:type="spellEnd"/>
      <w:r w:rsidRPr="0085481F">
        <w:rPr>
          <w:rFonts w:cs="AdvOTd369e91e"/>
          <w:color w:val="auto"/>
          <w:szCs w:val="24"/>
        </w:rPr>
        <w:t>, S., Kobayashi, H., Lin, Z. Y., Takagi, H. and Akimoto, H.</w:t>
      </w:r>
      <w:r>
        <w:rPr>
          <w:rFonts w:cs="AdvOTd369e91e"/>
          <w:color w:val="auto"/>
          <w:szCs w:val="24"/>
        </w:rPr>
        <w:t>:</w:t>
      </w:r>
      <w:r w:rsidRPr="0085481F">
        <w:rPr>
          <w:rFonts w:cs="AdvOTd369e91e"/>
          <w:color w:val="auto"/>
          <w:szCs w:val="24"/>
        </w:rPr>
        <w:t xml:space="preserve"> J. Phys. Chem., 90, 4131</w:t>
      </w:r>
      <w:r>
        <w:rPr>
          <w:rFonts w:cs="AdvOTd369e91e"/>
          <w:color w:val="auto"/>
          <w:szCs w:val="24"/>
        </w:rPr>
        <w:t>, 1986.</w:t>
      </w:r>
    </w:p>
    <w:p w14:paraId="62D97655" w14:textId="77777777" w:rsidR="009B1A6B" w:rsidRDefault="009B1A6B" w:rsidP="00C5195C">
      <w:pPr>
        <w:ind w:left="289" w:hanging="289"/>
        <w:jc w:val="both"/>
        <w:rPr>
          <w:color w:val="auto"/>
          <w:szCs w:val="24"/>
        </w:rPr>
      </w:pPr>
      <w:r w:rsidRPr="009B1A6B">
        <w:rPr>
          <w:color w:val="auto"/>
          <w:szCs w:val="24"/>
        </w:rPr>
        <w:lastRenderedPageBreak/>
        <w:t>Howes, N. U. M., Mir, Z. S., Blitz, M. A., Hardman, S., Lewis, T.</w:t>
      </w:r>
      <w:r>
        <w:rPr>
          <w:color w:val="auto"/>
          <w:szCs w:val="24"/>
        </w:rPr>
        <w:t xml:space="preserve"> R.</w:t>
      </w:r>
      <w:r w:rsidRPr="009B1A6B">
        <w:rPr>
          <w:color w:val="auto"/>
          <w:szCs w:val="24"/>
        </w:rPr>
        <w:t>, Stone, D.,</w:t>
      </w:r>
      <w:r>
        <w:rPr>
          <w:color w:val="auto"/>
          <w:szCs w:val="24"/>
        </w:rPr>
        <w:t xml:space="preserve"> </w:t>
      </w:r>
      <w:r w:rsidRPr="009B1A6B">
        <w:rPr>
          <w:color w:val="auto"/>
          <w:szCs w:val="24"/>
        </w:rPr>
        <w:t>and Seakins, P. W.,</w:t>
      </w:r>
      <w:r>
        <w:rPr>
          <w:color w:val="auto"/>
          <w:szCs w:val="24"/>
        </w:rPr>
        <w:t xml:space="preserve"> P</w:t>
      </w:r>
      <w:r w:rsidRPr="009B1A6B">
        <w:rPr>
          <w:color w:val="auto"/>
          <w:szCs w:val="24"/>
        </w:rPr>
        <w:t>hys.</w:t>
      </w:r>
      <w:r>
        <w:rPr>
          <w:color w:val="auto"/>
          <w:szCs w:val="24"/>
        </w:rPr>
        <w:t xml:space="preserve"> </w:t>
      </w:r>
      <w:r w:rsidRPr="009B1A6B">
        <w:rPr>
          <w:color w:val="auto"/>
          <w:szCs w:val="24"/>
        </w:rPr>
        <w:t>Chem.</w:t>
      </w:r>
      <w:r>
        <w:rPr>
          <w:color w:val="auto"/>
          <w:szCs w:val="24"/>
        </w:rPr>
        <w:t xml:space="preserve"> </w:t>
      </w:r>
      <w:r w:rsidRPr="009B1A6B">
        <w:rPr>
          <w:color w:val="auto"/>
          <w:szCs w:val="24"/>
        </w:rPr>
        <w:t>Chem.</w:t>
      </w:r>
      <w:r>
        <w:rPr>
          <w:color w:val="auto"/>
          <w:szCs w:val="24"/>
        </w:rPr>
        <w:t xml:space="preserve"> </w:t>
      </w:r>
      <w:r w:rsidRPr="009B1A6B">
        <w:rPr>
          <w:color w:val="auto"/>
          <w:szCs w:val="24"/>
        </w:rPr>
        <w:t>Phys., 20, 22218, 2018.</w:t>
      </w:r>
    </w:p>
    <w:p w14:paraId="4B9D831B" w14:textId="77777777" w:rsidR="0085481F" w:rsidRPr="0085481F" w:rsidRDefault="0085481F" w:rsidP="00C5195C">
      <w:pPr>
        <w:ind w:left="289" w:hanging="289"/>
        <w:rPr>
          <w:rFonts w:cs="AdvOTd369e91e"/>
          <w:color w:val="auto"/>
          <w:szCs w:val="24"/>
        </w:rPr>
      </w:pPr>
      <w:r w:rsidRPr="00EA5447">
        <w:rPr>
          <w:color w:val="auto"/>
          <w:szCs w:val="24"/>
        </w:rPr>
        <w:t xml:space="preserve">Huang, H-L, Chao, W., and Lin, J Jr.-M.: PNAS, </w:t>
      </w:r>
      <w:r w:rsidR="00EA5447" w:rsidRPr="00EA5447">
        <w:rPr>
          <w:color w:val="auto"/>
          <w:szCs w:val="24"/>
        </w:rPr>
        <w:t>112, 10857</w:t>
      </w:r>
      <w:r w:rsidRPr="00EA5447">
        <w:rPr>
          <w:color w:val="auto"/>
          <w:szCs w:val="24"/>
        </w:rPr>
        <w:t>, 2015.</w:t>
      </w:r>
    </w:p>
    <w:p w14:paraId="74BB6FAF" w14:textId="77777777" w:rsidR="00556A3B" w:rsidRDefault="00556A3B" w:rsidP="00C5195C">
      <w:pPr>
        <w:ind w:left="289" w:hanging="289"/>
        <w:rPr>
          <w:spacing w:val="-3"/>
        </w:rPr>
      </w:pPr>
      <w:r w:rsidRPr="00774332">
        <w:rPr>
          <w:spacing w:val="-3"/>
        </w:rPr>
        <w:t>Johnson, D. and Marston, G.: Chem. Soc. Rev., 37, 699, 2008.</w:t>
      </w:r>
    </w:p>
    <w:p w14:paraId="55B87459" w14:textId="77777777" w:rsidR="0085481F" w:rsidRPr="0085481F" w:rsidRDefault="0085481F" w:rsidP="00C5195C">
      <w:pPr>
        <w:ind w:left="289" w:hanging="289"/>
        <w:rPr>
          <w:rFonts w:cs="FrutigerNeueLTW1G-LightIt"/>
          <w:color w:val="auto"/>
          <w:szCs w:val="24"/>
        </w:rPr>
      </w:pPr>
      <w:r w:rsidRPr="0085481F">
        <w:rPr>
          <w:rFonts w:cs="AdvOTd369e91e"/>
          <w:color w:val="auto"/>
          <w:szCs w:val="24"/>
        </w:rPr>
        <w:t>Liu, Y., Bayes, K. D. and Sander, S. P.</w:t>
      </w:r>
      <w:r>
        <w:rPr>
          <w:rFonts w:cs="AdvOTd369e91e"/>
          <w:color w:val="auto"/>
          <w:szCs w:val="24"/>
        </w:rPr>
        <w:t>:</w:t>
      </w:r>
      <w:r w:rsidRPr="0085481F">
        <w:rPr>
          <w:rFonts w:cs="AdvOTd369e91e"/>
          <w:color w:val="auto"/>
          <w:szCs w:val="24"/>
        </w:rPr>
        <w:t xml:space="preserve"> </w:t>
      </w:r>
      <w:r w:rsidRPr="0085481F">
        <w:rPr>
          <w:rFonts w:cs="FrutigerNeueLTW1G-LightIt"/>
          <w:color w:val="auto"/>
          <w:szCs w:val="24"/>
        </w:rPr>
        <w:t>J. Phys. Chem. A 118, 741, 2014.</w:t>
      </w:r>
    </w:p>
    <w:p w14:paraId="20546A34" w14:textId="181CE2A6" w:rsidR="0085481F" w:rsidRDefault="0085481F" w:rsidP="00C5195C">
      <w:pPr>
        <w:tabs>
          <w:tab w:val="left" w:pos="288"/>
          <w:tab w:val="left" w:pos="446"/>
        </w:tabs>
        <w:ind w:left="289" w:right="-63" w:hanging="289"/>
        <w:jc w:val="both"/>
        <w:rPr>
          <w:color w:val="auto"/>
          <w:szCs w:val="24"/>
        </w:rPr>
      </w:pPr>
      <w:r w:rsidRPr="0085481F">
        <w:rPr>
          <w:color w:val="auto"/>
          <w:szCs w:val="24"/>
        </w:rPr>
        <w:t>Newland, M.</w:t>
      </w:r>
      <w:r>
        <w:rPr>
          <w:color w:val="auto"/>
          <w:szCs w:val="24"/>
        </w:rPr>
        <w:t xml:space="preserve"> </w:t>
      </w:r>
      <w:r w:rsidRPr="0085481F">
        <w:rPr>
          <w:color w:val="auto"/>
          <w:szCs w:val="24"/>
        </w:rPr>
        <w:t>J., Rickard, A.</w:t>
      </w:r>
      <w:r>
        <w:rPr>
          <w:color w:val="auto"/>
          <w:szCs w:val="24"/>
        </w:rPr>
        <w:t xml:space="preserve"> </w:t>
      </w:r>
      <w:r w:rsidRPr="0085481F">
        <w:rPr>
          <w:color w:val="auto"/>
          <w:szCs w:val="24"/>
        </w:rPr>
        <w:t xml:space="preserve">R., </w:t>
      </w:r>
      <w:proofErr w:type="spellStart"/>
      <w:r w:rsidRPr="0085481F">
        <w:rPr>
          <w:color w:val="auto"/>
          <w:szCs w:val="24"/>
        </w:rPr>
        <w:t>Alam</w:t>
      </w:r>
      <w:proofErr w:type="spellEnd"/>
      <w:r w:rsidRPr="0085481F">
        <w:rPr>
          <w:color w:val="auto"/>
          <w:szCs w:val="24"/>
        </w:rPr>
        <w:t>, M.</w:t>
      </w:r>
      <w:r>
        <w:rPr>
          <w:color w:val="auto"/>
          <w:szCs w:val="24"/>
        </w:rPr>
        <w:t xml:space="preserve"> </w:t>
      </w:r>
      <w:r w:rsidRPr="0085481F">
        <w:rPr>
          <w:color w:val="auto"/>
          <w:szCs w:val="24"/>
        </w:rPr>
        <w:t xml:space="preserve">S., Vereecken, L., Munoz, A., </w:t>
      </w:r>
      <w:proofErr w:type="spellStart"/>
      <w:r w:rsidRPr="0085481F">
        <w:rPr>
          <w:color w:val="auto"/>
          <w:szCs w:val="24"/>
        </w:rPr>
        <w:t>Rodenas</w:t>
      </w:r>
      <w:proofErr w:type="spellEnd"/>
      <w:r w:rsidRPr="0085481F">
        <w:rPr>
          <w:color w:val="auto"/>
          <w:szCs w:val="24"/>
        </w:rPr>
        <w:t xml:space="preserve">, M., and </w:t>
      </w:r>
      <w:proofErr w:type="spellStart"/>
      <w:r w:rsidRPr="0085481F">
        <w:rPr>
          <w:color w:val="auto"/>
          <w:szCs w:val="24"/>
        </w:rPr>
        <w:t>Bloss</w:t>
      </w:r>
      <w:proofErr w:type="spellEnd"/>
      <w:r w:rsidRPr="0085481F">
        <w:rPr>
          <w:color w:val="auto"/>
          <w:szCs w:val="24"/>
        </w:rPr>
        <w:t>, W.</w:t>
      </w:r>
      <w:r>
        <w:rPr>
          <w:color w:val="auto"/>
          <w:szCs w:val="24"/>
        </w:rPr>
        <w:t xml:space="preserve"> </w:t>
      </w:r>
      <w:r w:rsidRPr="0085481F">
        <w:rPr>
          <w:color w:val="auto"/>
          <w:szCs w:val="24"/>
        </w:rPr>
        <w:t>J.</w:t>
      </w:r>
      <w:r>
        <w:rPr>
          <w:color w:val="auto"/>
          <w:szCs w:val="24"/>
        </w:rPr>
        <w:t>:</w:t>
      </w:r>
      <w:r w:rsidRPr="0085481F">
        <w:rPr>
          <w:color w:val="auto"/>
          <w:szCs w:val="24"/>
        </w:rPr>
        <w:t xml:space="preserve"> Phys.</w:t>
      </w:r>
      <w:r>
        <w:rPr>
          <w:color w:val="auto"/>
          <w:szCs w:val="24"/>
        </w:rPr>
        <w:t xml:space="preserve"> </w:t>
      </w:r>
      <w:r w:rsidRPr="0085481F">
        <w:rPr>
          <w:color w:val="auto"/>
          <w:szCs w:val="24"/>
        </w:rPr>
        <w:t>Chem.</w:t>
      </w:r>
      <w:r>
        <w:rPr>
          <w:color w:val="auto"/>
          <w:szCs w:val="24"/>
        </w:rPr>
        <w:t xml:space="preserve"> </w:t>
      </w:r>
      <w:r w:rsidRPr="0085481F">
        <w:rPr>
          <w:color w:val="auto"/>
          <w:szCs w:val="24"/>
        </w:rPr>
        <w:t>Chem.</w:t>
      </w:r>
      <w:r>
        <w:rPr>
          <w:color w:val="auto"/>
          <w:szCs w:val="24"/>
        </w:rPr>
        <w:t xml:space="preserve"> </w:t>
      </w:r>
      <w:r w:rsidRPr="0085481F">
        <w:rPr>
          <w:color w:val="auto"/>
          <w:szCs w:val="24"/>
        </w:rPr>
        <w:t>Phys., 17, 4076, 2015.</w:t>
      </w:r>
    </w:p>
    <w:p w14:paraId="272FB187" w14:textId="7599974C" w:rsidR="00A71470" w:rsidRPr="0035415F" w:rsidRDefault="00A71470" w:rsidP="0035415F">
      <w:pPr>
        <w:tabs>
          <w:tab w:val="left" w:pos="288"/>
          <w:tab w:val="left" w:pos="446"/>
        </w:tabs>
        <w:ind w:left="284" w:hanging="284"/>
        <w:jc w:val="both"/>
      </w:pPr>
      <w:proofErr w:type="spellStart"/>
      <w:r>
        <w:t>Qiu</w:t>
      </w:r>
      <w:proofErr w:type="spellEnd"/>
      <w:r>
        <w:t xml:space="preserve">, J. and </w:t>
      </w:r>
      <w:proofErr w:type="spellStart"/>
      <w:r>
        <w:t>Tonokura</w:t>
      </w:r>
      <w:proofErr w:type="spellEnd"/>
      <w:r>
        <w:t xml:space="preserve">, K.: </w:t>
      </w:r>
      <w:r w:rsidRPr="001F1A50">
        <w:t>Chem</w:t>
      </w:r>
      <w:r>
        <w:t>.</w:t>
      </w:r>
      <w:r w:rsidRPr="001F1A50">
        <w:t xml:space="preserve"> Phys</w:t>
      </w:r>
      <w:r>
        <w:t>.</w:t>
      </w:r>
      <w:r w:rsidRPr="001F1A50">
        <w:t xml:space="preserve"> Lett</w:t>
      </w:r>
      <w:r>
        <w:t>.</w:t>
      </w:r>
      <w:r w:rsidRPr="001F1A50">
        <w:t xml:space="preserve"> X</w:t>
      </w:r>
      <w:r>
        <w:t>,</w:t>
      </w:r>
      <w:r w:rsidRPr="001F1A50">
        <w:t xml:space="preserve"> 2</w:t>
      </w:r>
      <w:r>
        <w:t xml:space="preserve">, </w:t>
      </w:r>
      <w:r w:rsidRPr="001F1A50">
        <w:t>100019</w:t>
      </w:r>
      <w:r>
        <w:t>, 2019.</w:t>
      </w:r>
    </w:p>
    <w:p w14:paraId="617B07A2" w14:textId="77777777" w:rsidR="0085481F" w:rsidRPr="0085481F" w:rsidRDefault="0085481F" w:rsidP="00C5195C">
      <w:pPr>
        <w:tabs>
          <w:tab w:val="left" w:pos="288"/>
          <w:tab w:val="left" w:pos="446"/>
        </w:tabs>
        <w:ind w:left="289" w:right="-63" w:hanging="289"/>
        <w:jc w:val="both"/>
        <w:rPr>
          <w:color w:val="auto"/>
          <w:szCs w:val="24"/>
        </w:rPr>
      </w:pPr>
      <w:proofErr w:type="spellStart"/>
      <w:r w:rsidRPr="0085481F">
        <w:rPr>
          <w:color w:val="auto"/>
          <w:szCs w:val="24"/>
        </w:rPr>
        <w:t>Sheps</w:t>
      </w:r>
      <w:proofErr w:type="spellEnd"/>
      <w:r w:rsidRPr="0085481F">
        <w:rPr>
          <w:color w:val="auto"/>
          <w:szCs w:val="24"/>
        </w:rPr>
        <w:t>, L.</w:t>
      </w:r>
      <w:r>
        <w:rPr>
          <w:color w:val="auto"/>
          <w:szCs w:val="24"/>
        </w:rPr>
        <w:t>:</w:t>
      </w:r>
      <w:r w:rsidRPr="0085481F">
        <w:rPr>
          <w:color w:val="auto"/>
          <w:szCs w:val="24"/>
        </w:rPr>
        <w:t xml:space="preserve"> J.</w:t>
      </w:r>
      <w:r>
        <w:rPr>
          <w:color w:val="auto"/>
          <w:szCs w:val="24"/>
        </w:rPr>
        <w:t xml:space="preserve"> </w:t>
      </w:r>
      <w:r w:rsidRPr="0085481F">
        <w:rPr>
          <w:color w:val="auto"/>
          <w:szCs w:val="24"/>
        </w:rPr>
        <w:t>Phys.</w:t>
      </w:r>
      <w:r>
        <w:rPr>
          <w:color w:val="auto"/>
          <w:szCs w:val="24"/>
        </w:rPr>
        <w:t xml:space="preserve"> </w:t>
      </w:r>
      <w:r w:rsidRPr="0085481F">
        <w:rPr>
          <w:color w:val="auto"/>
          <w:szCs w:val="24"/>
        </w:rPr>
        <w:t>Chem.</w:t>
      </w:r>
      <w:r>
        <w:rPr>
          <w:color w:val="auto"/>
          <w:szCs w:val="24"/>
        </w:rPr>
        <w:t xml:space="preserve"> </w:t>
      </w:r>
      <w:r w:rsidRPr="0085481F">
        <w:rPr>
          <w:color w:val="auto"/>
          <w:szCs w:val="24"/>
        </w:rPr>
        <w:t>Lett., 4, 4201, 2013.</w:t>
      </w:r>
    </w:p>
    <w:p w14:paraId="47E0BB47" w14:textId="77777777" w:rsidR="0085481F" w:rsidRPr="0085481F" w:rsidRDefault="0085481F" w:rsidP="00C5195C">
      <w:pPr>
        <w:tabs>
          <w:tab w:val="left" w:pos="288"/>
          <w:tab w:val="left" w:pos="446"/>
        </w:tabs>
        <w:ind w:left="289" w:right="-63" w:hanging="289"/>
        <w:jc w:val="both"/>
        <w:rPr>
          <w:color w:val="auto"/>
          <w:szCs w:val="24"/>
        </w:rPr>
      </w:pPr>
      <w:r w:rsidRPr="0085481F">
        <w:rPr>
          <w:color w:val="auto"/>
          <w:szCs w:val="24"/>
        </w:rPr>
        <w:t>Stone, D.</w:t>
      </w:r>
      <w:r>
        <w:rPr>
          <w:color w:val="auto"/>
          <w:szCs w:val="24"/>
        </w:rPr>
        <w:t>,</w:t>
      </w:r>
      <w:r w:rsidRPr="0085481F">
        <w:rPr>
          <w:color w:val="auto"/>
          <w:szCs w:val="24"/>
        </w:rPr>
        <w:t xml:space="preserve"> Blitz, M.</w:t>
      </w:r>
      <w:r>
        <w:rPr>
          <w:color w:val="auto"/>
          <w:szCs w:val="24"/>
        </w:rPr>
        <w:t>,</w:t>
      </w:r>
      <w:r w:rsidRPr="0085481F">
        <w:rPr>
          <w:color w:val="auto"/>
          <w:szCs w:val="24"/>
        </w:rPr>
        <w:t xml:space="preserve"> </w:t>
      </w:r>
      <w:proofErr w:type="spellStart"/>
      <w:r w:rsidRPr="0085481F">
        <w:rPr>
          <w:color w:val="auto"/>
          <w:szCs w:val="24"/>
        </w:rPr>
        <w:t>Daubney</w:t>
      </w:r>
      <w:proofErr w:type="spellEnd"/>
      <w:r w:rsidRPr="0085481F">
        <w:rPr>
          <w:color w:val="auto"/>
          <w:szCs w:val="24"/>
        </w:rPr>
        <w:t>, L.</w:t>
      </w:r>
      <w:r>
        <w:rPr>
          <w:color w:val="auto"/>
          <w:szCs w:val="24"/>
        </w:rPr>
        <w:t>,</w:t>
      </w:r>
      <w:r w:rsidRPr="0085481F">
        <w:rPr>
          <w:color w:val="auto"/>
          <w:szCs w:val="24"/>
        </w:rPr>
        <w:t xml:space="preserve"> Ingham, T.</w:t>
      </w:r>
      <w:r>
        <w:rPr>
          <w:color w:val="auto"/>
          <w:szCs w:val="24"/>
        </w:rPr>
        <w:t xml:space="preserve"> and</w:t>
      </w:r>
      <w:r w:rsidRPr="0085481F">
        <w:rPr>
          <w:color w:val="auto"/>
          <w:szCs w:val="24"/>
        </w:rPr>
        <w:t xml:space="preserve"> Seakins, P.</w:t>
      </w:r>
      <w:r>
        <w:rPr>
          <w:color w:val="auto"/>
          <w:szCs w:val="24"/>
        </w:rPr>
        <w:t>:</w:t>
      </w:r>
      <w:r w:rsidRPr="0085481F">
        <w:rPr>
          <w:color w:val="auto"/>
          <w:szCs w:val="24"/>
        </w:rPr>
        <w:t xml:space="preserve"> Phys.</w:t>
      </w:r>
      <w:r>
        <w:rPr>
          <w:color w:val="auto"/>
          <w:szCs w:val="24"/>
        </w:rPr>
        <w:t xml:space="preserve"> </w:t>
      </w:r>
      <w:r w:rsidRPr="0085481F">
        <w:rPr>
          <w:color w:val="auto"/>
          <w:szCs w:val="24"/>
        </w:rPr>
        <w:t>Chem.</w:t>
      </w:r>
      <w:r>
        <w:rPr>
          <w:color w:val="auto"/>
          <w:szCs w:val="24"/>
        </w:rPr>
        <w:t xml:space="preserve"> </w:t>
      </w:r>
      <w:r w:rsidRPr="0085481F">
        <w:rPr>
          <w:color w:val="auto"/>
          <w:szCs w:val="24"/>
        </w:rPr>
        <w:t>Chem.</w:t>
      </w:r>
      <w:r>
        <w:rPr>
          <w:color w:val="auto"/>
          <w:szCs w:val="24"/>
        </w:rPr>
        <w:t xml:space="preserve"> </w:t>
      </w:r>
      <w:r w:rsidRPr="0085481F">
        <w:rPr>
          <w:color w:val="auto"/>
          <w:szCs w:val="24"/>
        </w:rPr>
        <w:t>Phys., 15, 19119, 2013.</w:t>
      </w:r>
    </w:p>
    <w:p w14:paraId="137D5C13" w14:textId="77777777" w:rsidR="0085481F" w:rsidRPr="0085481F" w:rsidRDefault="0085481F" w:rsidP="00C5195C">
      <w:pPr>
        <w:tabs>
          <w:tab w:val="left" w:pos="288"/>
          <w:tab w:val="left" w:pos="446"/>
        </w:tabs>
        <w:ind w:left="289" w:right="-63" w:hanging="289"/>
        <w:jc w:val="both"/>
        <w:rPr>
          <w:color w:val="auto"/>
          <w:szCs w:val="24"/>
        </w:rPr>
      </w:pPr>
      <w:r w:rsidRPr="0085481F">
        <w:rPr>
          <w:color w:val="auto"/>
          <w:szCs w:val="24"/>
        </w:rPr>
        <w:t>Stone, D.</w:t>
      </w:r>
      <w:r w:rsidR="00CA56DB">
        <w:rPr>
          <w:color w:val="auto"/>
          <w:szCs w:val="24"/>
        </w:rPr>
        <w:t>,</w:t>
      </w:r>
      <w:r w:rsidRPr="0085481F">
        <w:rPr>
          <w:color w:val="auto"/>
          <w:szCs w:val="24"/>
        </w:rPr>
        <w:t xml:space="preserve"> Blitz, M.</w:t>
      </w:r>
      <w:r w:rsidR="00CA56DB">
        <w:rPr>
          <w:color w:val="auto"/>
          <w:szCs w:val="24"/>
        </w:rPr>
        <w:t>,</w:t>
      </w:r>
      <w:r w:rsidRPr="0085481F">
        <w:rPr>
          <w:color w:val="auto"/>
          <w:szCs w:val="24"/>
        </w:rPr>
        <w:t xml:space="preserve"> </w:t>
      </w:r>
      <w:proofErr w:type="spellStart"/>
      <w:r w:rsidRPr="0085481F">
        <w:rPr>
          <w:color w:val="auto"/>
          <w:szCs w:val="24"/>
        </w:rPr>
        <w:t>Daubney</w:t>
      </w:r>
      <w:proofErr w:type="spellEnd"/>
      <w:r w:rsidRPr="0085481F">
        <w:rPr>
          <w:color w:val="auto"/>
          <w:szCs w:val="24"/>
        </w:rPr>
        <w:t>, L.</w:t>
      </w:r>
      <w:r w:rsidR="00CA56DB">
        <w:rPr>
          <w:color w:val="auto"/>
          <w:szCs w:val="24"/>
        </w:rPr>
        <w:t>,</w:t>
      </w:r>
      <w:r w:rsidRPr="0085481F">
        <w:rPr>
          <w:color w:val="auto"/>
          <w:szCs w:val="24"/>
        </w:rPr>
        <w:t xml:space="preserve"> Howes, N. U. M.</w:t>
      </w:r>
      <w:r w:rsidR="00CA56DB">
        <w:rPr>
          <w:color w:val="auto"/>
          <w:szCs w:val="24"/>
        </w:rPr>
        <w:t xml:space="preserve"> and</w:t>
      </w:r>
      <w:r w:rsidRPr="0085481F">
        <w:rPr>
          <w:color w:val="auto"/>
          <w:szCs w:val="24"/>
        </w:rPr>
        <w:t xml:space="preserve"> Seakins, P.</w:t>
      </w:r>
      <w:r w:rsidR="00CA56DB">
        <w:rPr>
          <w:color w:val="auto"/>
          <w:szCs w:val="24"/>
        </w:rPr>
        <w:t>:</w:t>
      </w:r>
      <w:r w:rsidRPr="0085481F">
        <w:rPr>
          <w:color w:val="auto"/>
          <w:szCs w:val="24"/>
        </w:rPr>
        <w:t xml:space="preserve"> Phys.</w:t>
      </w:r>
      <w:r w:rsidR="00CA56DB">
        <w:rPr>
          <w:color w:val="auto"/>
          <w:szCs w:val="24"/>
        </w:rPr>
        <w:t xml:space="preserve"> </w:t>
      </w:r>
      <w:r w:rsidRPr="0085481F">
        <w:rPr>
          <w:color w:val="auto"/>
          <w:szCs w:val="24"/>
        </w:rPr>
        <w:t>Chem.</w:t>
      </w:r>
      <w:r w:rsidR="00CA56DB">
        <w:rPr>
          <w:color w:val="auto"/>
          <w:szCs w:val="24"/>
        </w:rPr>
        <w:t xml:space="preserve"> </w:t>
      </w:r>
      <w:r w:rsidRPr="0085481F">
        <w:rPr>
          <w:color w:val="auto"/>
          <w:szCs w:val="24"/>
        </w:rPr>
        <w:t>Chem.</w:t>
      </w:r>
      <w:r w:rsidR="00CA56DB">
        <w:rPr>
          <w:color w:val="auto"/>
          <w:szCs w:val="24"/>
        </w:rPr>
        <w:t xml:space="preserve"> </w:t>
      </w:r>
      <w:r w:rsidRPr="0085481F">
        <w:rPr>
          <w:color w:val="auto"/>
          <w:szCs w:val="24"/>
        </w:rPr>
        <w:t xml:space="preserve">Phys., </w:t>
      </w:r>
      <w:r w:rsidRPr="00CA56DB">
        <w:rPr>
          <w:color w:val="auto"/>
          <w:szCs w:val="24"/>
        </w:rPr>
        <w:t>16</w:t>
      </w:r>
      <w:r w:rsidRPr="0085481F">
        <w:rPr>
          <w:color w:val="auto"/>
          <w:szCs w:val="24"/>
        </w:rPr>
        <w:t>, 1139, 2014.</w:t>
      </w:r>
    </w:p>
    <w:p w14:paraId="4B42111B" w14:textId="77777777" w:rsidR="0085481F" w:rsidRPr="0085481F" w:rsidRDefault="0085481F" w:rsidP="00C5195C">
      <w:pPr>
        <w:tabs>
          <w:tab w:val="left" w:pos="288"/>
          <w:tab w:val="left" w:pos="446"/>
        </w:tabs>
        <w:ind w:left="289" w:right="-63" w:hanging="289"/>
        <w:jc w:val="both"/>
        <w:rPr>
          <w:iCs/>
          <w:color w:val="auto"/>
          <w:szCs w:val="24"/>
        </w:rPr>
      </w:pPr>
      <w:r w:rsidRPr="0085481F">
        <w:rPr>
          <w:iCs/>
          <w:color w:val="auto"/>
          <w:szCs w:val="24"/>
        </w:rPr>
        <w:t xml:space="preserve">Vereecken, L., Harder, H. and </w:t>
      </w:r>
      <w:proofErr w:type="spellStart"/>
      <w:r w:rsidRPr="0085481F">
        <w:rPr>
          <w:iCs/>
          <w:color w:val="auto"/>
          <w:szCs w:val="24"/>
        </w:rPr>
        <w:t>Novelli</w:t>
      </w:r>
      <w:proofErr w:type="spellEnd"/>
      <w:r w:rsidRPr="0085481F">
        <w:rPr>
          <w:iCs/>
          <w:color w:val="auto"/>
          <w:szCs w:val="24"/>
        </w:rPr>
        <w:t>, A.</w:t>
      </w:r>
      <w:r w:rsidR="00CA56DB">
        <w:rPr>
          <w:iCs/>
          <w:color w:val="auto"/>
          <w:szCs w:val="24"/>
        </w:rPr>
        <w:t>:</w:t>
      </w:r>
      <w:r w:rsidRPr="0085481F">
        <w:rPr>
          <w:iCs/>
          <w:color w:val="auto"/>
          <w:szCs w:val="24"/>
        </w:rPr>
        <w:t xml:space="preserve"> Phys. Chem. Chem. Phys., </w:t>
      </w:r>
      <w:r w:rsidRPr="0085481F">
        <w:rPr>
          <w:color w:val="auto"/>
          <w:szCs w:val="24"/>
        </w:rPr>
        <w:t xml:space="preserve">14, 14682, 2012. </w:t>
      </w:r>
    </w:p>
    <w:p w14:paraId="4097083C" w14:textId="77777777" w:rsidR="0085481F" w:rsidRDefault="0085481F" w:rsidP="00C5195C">
      <w:pPr>
        <w:ind w:left="289" w:hanging="289"/>
        <w:jc w:val="both"/>
        <w:rPr>
          <w:lang w:val="de-DE"/>
        </w:rPr>
      </w:pPr>
      <w:proofErr w:type="spellStart"/>
      <w:r w:rsidRPr="0085481F">
        <w:rPr>
          <w:color w:val="auto"/>
          <w:szCs w:val="24"/>
        </w:rPr>
        <w:t>Welz</w:t>
      </w:r>
      <w:proofErr w:type="spellEnd"/>
      <w:r w:rsidRPr="0085481F">
        <w:rPr>
          <w:color w:val="auto"/>
          <w:szCs w:val="24"/>
        </w:rPr>
        <w:t xml:space="preserve">, O, </w:t>
      </w:r>
      <w:proofErr w:type="spellStart"/>
      <w:r w:rsidRPr="0085481F">
        <w:rPr>
          <w:color w:val="auto"/>
          <w:szCs w:val="24"/>
        </w:rPr>
        <w:t>Savee</w:t>
      </w:r>
      <w:proofErr w:type="spellEnd"/>
      <w:r w:rsidRPr="0085481F">
        <w:rPr>
          <w:color w:val="auto"/>
          <w:szCs w:val="24"/>
        </w:rPr>
        <w:t>, J. D. Osborn, D. L., Vasu, S. S., Percival, C. J., Shallcross, D. E.</w:t>
      </w:r>
      <w:r w:rsidR="00CA56DB">
        <w:rPr>
          <w:color w:val="auto"/>
          <w:szCs w:val="24"/>
        </w:rPr>
        <w:t xml:space="preserve"> and</w:t>
      </w:r>
      <w:r w:rsidRPr="0085481F">
        <w:rPr>
          <w:color w:val="auto"/>
          <w:szCs w:val="24"/>
        </w:rPr>
        <w:t xml:space="preserve"> </w:t>
      </w:r>
      <w:proofErr w:type="spellStart"/>
      <w:r w:rsidRPr="0085481F">
        <w:rPr>
          <w:color w:val="auto"/>
          <w:szCs w:val="24"/>
        </w:rPr>
        <w:t>Taatjes</w:t>
      </w:r>
      <w:proofErr w:type="spellEnd"/>
      <w:r w:rsidRPr="0085481F">
        <w:rPr>
          <w:color w:val="auto"/>
          <w:szCs w:val="24"/>
        </w:rPr>
        <w:t>, C. A.</w:t>
      </w:r>
      <w:r w:rsidR="00CA56DB">
        <w:rPr>
          <w:color w:val="auto"/>
          <w:szCs w:val="24"/>
        </w:rPr>
        <w:t>:</w:t>
      </w:r>
      <w:r w:rsidRPr="0085481F">
        <w:rPr>
          <w:color w:val="auto"/>
          <w:szCs w:val="24"/>
        </w:rPr>
        <w:t xml:space="preserve"> Science, </w:t>
      </w:r>
      <w:r w:rsidRPr="00CA56DB">
        <w:rPr>
          <w:color w:val="auto"/>
          <w:szCs w:val="24"/>
        </w:rPr>
        <w:t>335</w:t>
      </w:r>
      <w:r w:rsidRPr="0085481F">
        <w:rPr>
          <w:color w:val="auto"/>
          <w:szCs w:val="24"/>
        </w:rPr>
        <w:t>, 204, 2012</w:t>
      </w:r>
      <w:r w:rsidR="00CA56DB">
        <w:rPr>
          <w:color w:val="auto"/>
          <w:szCs w:val="24"/>
        </w:rPr>
        <w:t>.</w:t>
      </w:r>
    </w:p>
    <w:p w14:paraId="7D23ADF3" w14:textId="77777777" w:rsidR="0085481F" w:rsidRDefault="0085481F" w:rsidP="00510981">
      <w:pPr>
        <w:jc w:val="both"/>
        <w:rPr>
          <w:lang w:val="de-DE"/>
        </w:rPr>
      </w:pPr>
    </w:p>
    <w:p w14:paraId="5CD54068" w14:textId="77777777" w:rsidR="0085481F" w:rsidRDefault="0085481F" w:rsidP="00510981">
      <w:pPr>
        <w:jc w:val="both"/>
        <w:rPr>
          <w:lang w:val="de-DE"/>
        </w:rPr>
      </w:pPr>
    </w:p>
    <w:p w14:paraId="7C14BCCE" w14:textId="77777777" w:rsidR="0085481F" w:rsidRDefault="0085481F" w:rsidP="00510981">
      <w:pPr>
        <w:jc w:val="both"/>
        <w:rPr>
          <w:lang w:val="de-DE"/>
        </w:rPr>
      </w:pPr>
    </w:p>
    <w:p w14:paraId="429C21AC" w14:textId="77777777" w:rsidR="0085481F" w:rsidRDefault="0085481F" w:rsidP="00510981">
      <w:pPr>
        <w:jc w:val="both"/>
        <w:rPr>
          <w:lang w:val="de-DE"/>
        </w:rPr>
      </w:pPr>
    </w:p>
    <w:p w14:paraId="7AC4A09E" w14:textId="77777777" w:rsidR="007A2AFA" w:rsidRDefault="007A2AFA" w:rsidP="007F4289">
      <w:pPr>
        <w:jc w:val="both"/>
        <w:rPr>
          <w:lang w:val="de-DE"/>
        </w:rPr>
      </w:pPr>
    </w:p>
    <w:sectPr w:rsidR="007A2AFA">
      <w:footerReference w:type="default" r:id="rId9"/>
      <w:footerReference w:type="first" r:id="rId10"/>
      <w:pgSz w:w="11906" w:h="16838"/>
      <w:pgMar w:top="1440" w:right="842" w:bottom="1440" w:left="10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08359" w14:textId="77777777" w:rsidR="00C453E7" w:rsidRDefault="00C453E7">
      <w:r>
        <w:separator/>
      </w:r>
    </w:p>
  </w:endnote>
  <w:endnote w:type="continuationSeparator" w:id="0">
    <w:p w14:paraId="7D3C0EF7" w14:textId="77777777" w:rsidR="00C453E7" w:rsidRDefault="00C45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Liberation Sans">
    <w:altName w:val="Yu Gothic"/>
    <w:charset w:val="8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ohit Devanagari">
    <w:altName w:val="MS Gothic"/>
    <w:charset w:val="80"/>
    <w:family w:val="auto"/>
    <w:pitch w:val="variable"/>
  </w:font>
  <w:font w:name="DejaVu Sans">
    <w:charset w:val="80"/>
    <w:family w:val="auto"/>
    <w:pitch w:val="variable"/>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e364b11">
    <w:altName w:val="Times New Roman"/>
    <w:charset w:val="4D"/>
    <w:family w:val="auto"/>
    <w:notTrueType/>
    <w:pitch w:val="default"/>
    <w:sig w:usb0="00000003" w:usb1="00000000" w:usb2="00000000" w:usb3="00000000" w:csb0="00000001" w:csb1="00000000"/>
  </w:font>
  <w:font w:name="Apple Symbols">
    <w:altName w:val="Arial"/>
    <w:charset w:val="00"/>
    <w:family w:val="auto"/>
    <w:pitch w:val="variable"/>
    <w:sig w:usb0="830000A3" w:usb1="08007BEB" w:usb2="01840034" w:usb3="00000000" w:csb0="000001FB" w:csb1="00000000"/>
  </w:font>
  <w:font w:name="AdvOTd369e91e">
    <w:panose1 w:val="00000000000000000000"/>
    <w:charset w:val="4D"/>
    <w:family w:val="roman"/>
    <w:notTrueType/>
    <w:pitch w:val="default"/>
    <w:sig w:usb0="00000003" w:usb1="00000000" w:usb2="00000000" w:usb3="00000000" w:csb0="00000001" w:csb1="00000000"/>
  </w:font>
  <w:font w:name="FrutigerNeueLTW1G-LightIt">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23F7D" w14:textId="77777777" w:rsidR="00667891" w:rsidRDefault="00667891">
    <w:pPr>
      <w:pStyle w:val="Footer"/>
    </w:pPr>
    <w:r>
      <w:pict w14:anchorId="536D32B9">
        <v:shapetype id="_x0000_t202" coordsize="21600,21600" o:spt="202" path="m,l,21600r21600,l21600,xe">
          <v:stroke joinstyle="miter"/>
          <v:path gradientshapeok="t" o:connecttype="rect"/>
        </v:shapetype>
        <v:shape id="_x0000_s2049" type="#_x0000_t202" style="position:absolute;margin-left:0;margin-top:.05pt;width:5.8pt;height:13.55pt;z-index:1;mso-wrap-distance-left:0;mso-wrap-distance-right:0;mso-position-horizontal:center;mso-position-horizontal-relative:margin" stroked="f">
          <v:fill opacity="0" color2="black"/>
          <v:textbox inset="0,0,0,0">
            <w:txbxContent>
              <w:p w14:paraId="1F3FBF99" w14:textId="77777777" w:rsidR="00667891" w:rsidRDefault="00667891">
                <w:pPr>
                  <w:pStyle w:val="Footer"/>
                </w:pPr>
                <w:r>
                  <w:rPr>
                    <w:rStyle w:val="PageNumber"/>
                  </w:rPr>
                  <w:fldChar w:fldCharType="begin"/>
                </w:r>
                <w:r>
                  <w:rPr>
                    <w:rStyle w:val="PageNumber"/>
                  </w:rPr>
                  <w:instrText xml:space="preserve"> PAGE </w:instrText>
                </w:r>
                <w:r>
                  <w:rPr>
                    <w:rStyle w:val="PageNumber"/>
                  </w:rPr>
                  <w:fldChar w:fldCharType="separate"/>
                </w:r>
                <w:r w:rsidR="00D0788B">
                  <w:rPr>
                    <w:rStyle w:val="PageNumber"/>
                    <w:noProof/>
                  </w:rPr>
                  <w:t>1</w:t>
                </w:r>
                <w:r>
                  <w:rPr>
                    <w:rStyle w:val="PageNumber"/>
                  </w:rPr>
                  <w:fldChar w:fldCharType="end"/>
                </w:r>
              </w:p>
            </w:txbxContent>
          </v:textbox>
          <w10:wrap type="square" side="largest"/>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C2427" w14:textId="77777777" w:rsidR="00667891" w:rsidRDefault="006678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230EB" w14:textId="77777777" w:rsidR="00C453E7" w:rsidRDefault="00C453E7">
      <w:r>
        <w:separator/>
      </w:r>
    </w:p>
  </w:footnote>
  <w:footnote w:type="continuationSeparator" w:id="0">
    <w:p w14:paraId="3E3D0CA5" w14:textId="77777777" w:rsidR="00C453E7" w:rsidRDefault="00C453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
      <w:numFmt w:val="lowerLetter"/>
      <w:lvlText w:val="(%1)"/>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4307"/>
    <w:rsid w:val="00017B5B"/>
    <w:rsid w:val="00026185"/>
    <w:rsid w:val="00051639"/>
    <w:rsid w:val="00060F84"/>
    <w:rsid w:val="00073E26"/>
    <w:rsid w:val="00082371"/>
    <w:rsid w:val="00083A9E"/>
    <w:rsid w:val="00087559"/>
    <w:rsid w:val="000917D3"/>
    <w:rsid w:val="000A5DB0"/>
    <w:rsid w:val="000B1E91"/>
    <w:rsid w:val="000B4DB6"/>
    <w:rsid w:val="000C6109"/>
    <w:rsid w:val="000D5266"/>
    <w:rsid w:val="00103BFE"/>
    <w:rsid w:val="00110DA2"/>
    <w:rsid w:val="00127FA2"/>
    <w:rsid w:val="00187FB3"/>
    <w:rsid w:val="00196AE4"/>
    <w:rsid w:val="001F5A2B"/>
    <w:rsid w:val="00230EA1"/>
    <w:rsid w:val="00257C1E"/>
    <w:rsid w:val="00263004"/>
    <w:rsid w:val="0026334A"/>
    <w:rsid w:val="0027752A"/>
    <w:rsid w:val="00286AEC"/>
    <w:rsid w:val="00296D05"/>
    <w:rsid w:val="002B748A"/>
    <w:rsid w:val="002B76A5"/>
    <w:rsid w:val="002D26FD"/>
    <w:rsid w:val="002E068A"/>
    <w:rsid w:val="00330C6B"/>
    <w:rsid w:val="00344176"/>
    <w:rsid w:val="0035415F"/>
    <w:rsid w:val="00360C32"/>
    <w:rsid w:val="003738B3"/>
    <w:rsid w:val="00374307"/>
    <w:rsid w:val="003964D0"/>
    <w:rsid w:val="003B2E4A"/>
    <w:rsid w:val="003B61AE"/>
    <w:rsid w:val="003C25D8"/>
    <w:rsid w:val="003E0DEE"/>
    <w:rsid w:val="00400E22"/>
    <w:rsid w:val="00443276"/>
    <w:rsid w:val="0044732A"/>
    <w:rsid w:val="0044764F"/>
    <w:rsid w:val="004478AE"/>
    <w:rsid w:val="00491F2F"/>
    <w:rsid w:val="004A1734"/>
    <w:rsid w:val="004B43B1"/>
    <w:rsid w:val="004E7933"/>
    <w:rsid w:val="00506C23"/>
    <w:rsid w:val="00510981"/>
    <w:rsid w:val="00525C80"/>
    <w:rsid w:val="0052659C"/>
    <w:rsid w:val="00543848"/>
    <w:rsid w:val="00544596"/>
    <w:rsid w:val="005532D9"/>
    <w:rsid w:val="00554A34"/>
    <w:rsid w:val="00556A3B"/>
    <w:rsid w:val="00581FF4"/>
    <w:rsid w:val="0058473E"/>
    <w:rsid w:val="005C1C63"/>
    <w:rsid w:val="005C5BC3"/>
    <w:rsid w:val="005D0E90"/>
    <w:rsid w:val="005F30D4"/>
    <w:rsid w:val="005F7772"/>
    <w:rsid w:val="00637C26"/>
    <w:rsid w:val="00643BD9"/>
    <w:rsid w:val="006610AF"/>
    <w:rsid w:val="00661F61"/>
    <w:rsid w:val="00667891"/>
    <w:rsid w:val="006B7D0F"/>
    <w:rsid w:val="006F09CD"/>
    <w:rsid w:val="006F79CA"/>
    <w:rsid w:val="00705785"/>
    <w:rsid w:val="00713905"/>
    <w:rsid w:val="00722811"/>
    <w:rsid w:val="00723E83"/>
    <w:rsid w:val="00743D70"/>
    <w:rsid w:val="007565E5"/>
    <w:rsid w:val="0076273A"/>
    <w:rsid w:val="007650D2"/>
    <w:rsid w:val="00773C03"/>
    <w:rsid w:val="00777B41"/>
    <w:rsid w:val="007A2AFA"/>
    <w:rsid w:val="007B5080"/>
    <w:rsid w:val="007D12BB"/>
    <w:rsid w:val="007F4289"/>
    <w:rsid w:val="008401F1"/>
    <w:rsid w:val="0085481F"/>
    <w:rsid w:val="008B3D0F"/>
    <w:rsid w:val="008C14EC"/>
    <w:rsid w:val="008E4057"/>
    <w:rsid w:val="008E758B"/>
    <w:rsid w:val="00906C25"/>
    <w:rsid w:val="00920B71"/>
    <w:rsid w:val="00937BE5"/>
    <w:rsid w:val="00945495"/>
    <w:rsid w:val="00953031"/>
    <w:rsid w:val="0095622F"/>
    <w:rsid w:val="0096098F"/>
    <w:rsid w:val="00963CC7"/>
    <w:rsid w:val="00976095"/>
    <w:rsid w:val="00994621"/>
    <w:rsid w:val="00995AB4"/>
    <w:rsid w:val="009B1A6B"/>
    <w:rsid w:val="009C550E"/>
    <w:rsid w:val="009E304E"/>
    <w:rsid w:val="00A05D44"/>
    <w:rsid w:val="00A11E5E"/>
    <w:rsid w:val="00A147A6"/>
    <w:rsid w:val="00A339FB"/>
    <w:rsid w:val="00A373FD"/>
    <w:rsid w:val="00A54391"/>
    <w:rsid w:val="00A606B7"/>
    <w:rsid w:val="00A71470"/>
    <w:rsid w:val="00A74A04"/>
    <w:rsid w:val="00A77826"/>
    <w:rsid w:val="00A914B7"/>
    <w:rsid w:val="00AB6337"/>
    <w:rsid w:val="00AC42C9"/>
    <w:rsid w:val="00AC70C1"/>
    <w:rsid w:val="00AD533F"/>
    <w:rsid w:val="00AE657F"/>
    <w:rsid w:val="00AF66F9"/>
    <w:rsid w:val="00B06246"/>
    <w:rsid w:val="00B31BF6"/>
    <w:rsid w:val="00B367F8"/>
    <w:rsid w:val="00B41457"/>
    <w:rsid w:val="00B4430F"/>
    <w:rsid w:val="00B50B73"/>
    <w:rsid w:val="00B614F5"/>
    <w:rsid w:val="00B84FD2"/>
    <w:rsid w:val="00B94850"/>
    <w:rsid w:val="00BA6258"/>
    <w:rsid w:val="00BF03C1"/>
    <w:rsid w:val="00BF04CF"/>
    <w:rsid w:val="00C000CE"/>
    <w:rsid w:val="00C453E7"/>
    <w:rsid w:val="00C471C6"/>
    <w:rsid w:val="00C5195C"/>
    <w:rsid w:val="00C5353A"/>
    <w:rsid w:val="00C6513F"/>
    <w:rsid w:val="00C90753"/>
    <w:rsid w:val="00CA56DB"/>
    <w:rsid w:val="00CA6630"/>
    <w:rsid w:val="00CA69DA"/>
    <w:rsid w:val="00CB7702"/>
    <w:rsid w:val="00CF19DD"/>
    <w:rsid w:val="00D0777C"/>
    <w:rsid w:val="00D0788B"/>
    <w:rsid w:val="00D309AC"/>
    <w:rsid w:val="00D60876"/>
    <w:rsid w:val="00D72280"/>
    <w:rsid w:val="00D753B9"/>
    <w:rsid w:val="00D76EA6"/>
    <w:rsid w:val="00D851E9"/>
    <w:rsid w:val="00D8581C"/>
    <w:rsid w:val="00DA43A2"/>
    <w:rsid w:val="00DC174E"/>
    <w:rsid w:val="00DC219A"/>
    <w:rsid w:val="00DC5A70"/>
    <w:rsid w:val="00DF0DBB"/>
    <w:rsid w:val="00E3651F"/>
    <w:rsid w:val="00E4656A"/>
    <w:rsid w:val="00E81FFB"/>
    <w:rsid w:val="00E82CEC"/>
    <w:rsid w:val="00EA5447"/>
    <w:rsid w:val="00EC3729"/>
    <w:rsid w:val="00ED24D0"/>
    <w:rsid w:val="00ED5945"/>
    <w:rsid w:val="00EE3171"/>
    <w:rsid w:val="00F16E4A"/>
    <w:rsid w:val="00F340B1"/>
    <w:rsid w:val="00F649C4"/>
    <w:rsid w:val="00F81A6C"/>
    <w:rsid w:val="00FB2707"/>
    <w:rsid w:val="00FB54ED"/>
    <w:rsid w:val="00FB71CA"/>
    <w:rsid w:val="00FD2AD1"/>
    <w:rsid w:val="00FE162E"/>
    <w:rsid w:val="00FE29E1"/>
    <w:rsid w:val="00FE5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714CF3E9"/>
  <w15:chartTrackingRefBased/>
  <w15:docId w15:val="{93FA6580-ED5F-4AAD-9C51-872294F1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color w:val="000000"/>
      <w:sz w:val="24"/>
      <w:lang w:val="en-US" w:eastAsia="zh-CN"/>
    </w:rPr>
  </w:style>
  <w:style w:type="paragraph" w:styleId="Heading1">
    <w:name w:val="heading 1"/>
    <w:basedOn w:val="Normal"/>
    <w:next w:val="Normal"/>
    <w:qFormat/>
    <w:pPr>
      <w:keepNext/>
      <w:numPr>
        <w:numId w:val="2"/>
      </w:numPr>
      <w:tabs>
        <w:tab w:val="center" w:pos="4680"/>
      </w:tabs>
      <w:jc w:val="both"/>
      <w:outlineLvl w:val="0"/>
    </w:pPr>
    <w:rPr>
      <w:rFonts w:ascii="CG Times" w:hAnsi="CG Times" w:cs="CG Times"/>
      <w:i/>
      <w:color w:val="0000FF"/>
      <w:sz w:val="20"/>
    </w:rPr>
  </w:style>
  <w:style w:type="paragraph" w:styleId="Heading2">
    <w:name w:val="heading 2"/>
    <w:basedOn w:val="Normal"/>
    <w:next w:val="Normal"/>
    <w:qFormat/>
    <w:pPr>
      <w:keepNext/>
      <w:numPr>
        <w:ilvl w:val="1"/>
        <w:numId w:val="2"/>
      </w:numPr>
      <w:tabs>
        <w:tab w:val="center" w:pos="4680"/>
      </w:tabs>
      <w:jc w:val="center"/>
      <w:outlineLvl w:val="1"/>
    </w:pPr>
    <w:rPr>
      <w:rFonts w:ascii="CG Times" w:hAnsi="CG Times" w:cs="CG Times"/>
      <w:b/>
      <w:color w:val="0000FF"/>
    </w:rPr>
  </w:style>
  <w:style w:type="paragraph" w:styleId="Heading3">
    <w:name w:val="heading 3"/>
    <w:basedOn w:val="Normal"/>
    <w:next w:val="Normal"/>
    <w:qFormat/>
    <w:pPr>
      <w:keepNext/>
      <w:numPr>
        <w:ilvl w:val="2"/>
        <w:numId w:val="2"/>
      </w:numPr>
      <w:tabs>
        <w:tab w:val="center" w:pos="4680"/>
      </w:tabs>
      <w:jc w:val="both"/>
      <w:outlineLvl w:val="2"/>
    </w:pPr>
    <w:rPr>
      <w:i/>
      <w:sz w:val="20"/>
    </w:rPr>
  </w:style>
  <w:style w:type="paragraph" w:styleId="Heading4">
    <w:name w:val="heading 4"/>
    <w:basedOn w:val="Normal"/>
    <w:next w:val="Normal"/>
    <w:qFormat/>
    <w:pPr>
      <w:keepNext/>
      <w:numPr>
        <w:ilvl w:val="3"/>
        <w:numId w:val="2"/>
      </w:numPr>
      <w:tabs>
        <w:tab w:val="left" w:pos="-1440"/>
        <w:tab w:val="left" w:pos="-720"/>
        <w:tab w:val="left" w:pos="444"/>
      </w:tabs>
      <w:jc w:val="both"/>
      <w:outlineLvl w:val="3"/>
    </w:pPr>
    <w:rPr>
      <w:i/>
    </w:rPr>
  </w:style>
  <w:style w:type="paragraph" w:styleId="Heading5">
    <w:name w:val="heading 5"/>
    <w:basedOn w:val="Normal"/>
    <w:next w:val="Normal"/>
    <w:qFormat/>
    <w:pPr>
      <w:keepNext/>
      <w:numPr>
        <w:ilvl w:val="4"/>
        <w:numId w:val="2"/>
      </w:numPr>
      <w:tabs>
        <w:tab w:val="center" w:pos="4680"/>
        <w:tab w:val="left" w:pos="4867"/>
        <w:tab w:val="left" w:pos="7982"/>
        <w:tab w:val="left" w:pos="8395"/>
        <w:tab w:val="left" w:pos="8812"/>
      </w:tabs>
      <w:jc w:val="center"/>
      <w:outlineLvl w:val="4"/>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3z0">
    <w:name w:val="WW8Num3z0"/>
    <w:rPr>
      <w:strike w:val="0"/>
      <w:dstrike w:val="0"/>
      <w:vertAlign w:val="superscript"/>
    </w:rPr>
  </w:style>
  <w:style w:type="character" w:customStyle="1" w:styleId="WW8Num7z0">
    <w:name w:val="WW8Num7z0"/>
    <w:rPr>
      <w:strike w:val="0"/>
      <w:dstrike w:val="0"/>
      <w:vertAlign w:val="superscript"/>
    </w:rPr>
  </w:style>
  <w:style w:type="character" w:styleId="DefaultParagraphFont0">
    <w:name w:val="Default Paragraph Font"/>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0"/>
  </w:style>
  <w:style w:type="paragraph" w:customStyle="1" w:styleId="Titre">
    <w:name w:val="Titre"/>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20"/>
    </w:pPr>
  </w:style>
  <w:style w:type="paragraph" w:styleId="List">
    <w:name w:val="List"/>
    <w:basedOn w:val="BodyText"/>
    <w:rPr>
      <w:rFonts w:cs="Lohit Devanagari"/>
    </w:rPr>
  </w:style>
  <w:style w:type="paragraph" w:styleId="Caption">
    <w:name w:val="caption"/>
    <w:basedOn w:val="Normal"/>
    <w:pPr>
      <w:suppressLineNumbers/>
      <w:spacing w:before="120" w:after="120"/>
    </w:pPr>
    <w:rPr>
      <w:rFonts w:cs="Mangal"/>
      <w:i/>
      <w:iCs/>
      <w:szCs w:val="24"/>
    </w:rPr>
  </w:style>
  <w:style w:type="paragraph" w:customStyle="1" w:styleId="Index">
    <w:name w:val="Index"/>
    <w:basedOn w:val="Normal"/>
    <w:pPr>
      <w:suppressLineNumbers/>
    </w:pPr>
    <w:rPr>
      <w:rFonts w:cs="Lohit Devanagari"/>
    </w:rPr>
  </w:style>
  <w:style w:type="paragraph" w:customStyle="1" w:styleId="Heading">
    <w:name w:val="Heading"/>
    <w:basedOn w:val="Normal"/>
    <w:next w:val="BodyText"/>
    <w:pPr>
      <w:keepNext/>
      <w:spacing w:before="240" w:after="120"/>
    </w:pPr>
    <w:rPr>
      <w:rFonts w:ascii="Liberation Sans" w:eastAsia="DejaVu Sans" w:hAnsi="Liberation Sans" w:cs="Lohit Devanagari"/>
      <w:sz w:val="28"/>
      <w:szCs w:val="28"/>
    </w:rPr>
  </w:style>
  <w:style w:type="paragraph" w:styleId="Caption0">
    <w:name w:val="caption"/>
    <w:basedOn w:val="Normal"/>
    <w:qFormat/>
    <w:pPr>
      <w:suppressLineNumbers/>
      <w:spacing w:before="120" w:after="120"/>
    </w:pPr>
    <w:rPr>
      <w:rFonts w:cs="Lohit Devanagari"/>
      <w:i/>
      <w:iCs/>
      <w:szCs w:val="24"/>
    </w:r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paragraph" w:styleId="BodyTextIndent">
    <w:name w:val="Body Text Indent"/>
    <w:basedOn w:val="BodyText"/>
    <w:pPr>
      <w:ind w:left="283"/>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styleId="CommentReference">
    <w:name w:val="annotation reference"/>
    <w:uiPriority w:val="99"/>
    <w:semiHidden/>
    <w:unhideWhenUsed/>
    <w:rsid w:val="00AB6337"/>
    <w:rPr>
      <w:sz w:val="16"/>
      <w:szCs w:val="16"/>
    </w:rPr>
  </w:style>
  <w:style w:type="paragraph" w:styleId="CommentText">
    <w:name w:val="annotation text"/>
    <w:basedOn w:val="Normal"/>
    <w:link w:val="CommentTextChar"/>
    <w:uiPriority w:val="99"/>
    <w:semiHidden/>
    <w:unhideWhenUsed/>
    <w:rsid w:val="00AB6337"/>
    <w:rPr>
      <w:color w:val="auto"/>
      <w:sz w:val="20"/>
      <w:lang w:val="en-GB"/>
    </w:rPr>
  </w:style>
  <w:style w:type="character" w:customStyle="1" w:styleId="CommentTextChar">
    <w:name w:val="Comment Text Char"/>
    <w:link w:val="CommentText"/>
    <w:uiPriority w:val="99"/>
    <w:semiHidden/>
    <w:rsid w:val="00AB6337"/>
    <w:rPr>
      <w:lang w:eastAsia="zh-CN"/>
    </w:rPr>
  </w:style>
  <w:style w:type="paragraph" w:styleId="BalloonText">
    <w:name w:val="Balloon Text"/>
    <w:basedOn w:val="Normal"/>
    <w:link w:val="BalloonTextChar"/>
    <w:uiPriority w:val="99"/>
    <w:semiHidden/>
    <w:unhideWhenUsed/>
    <w:rsid w:val="00AB6337"/>
    <w:rPr>
      <w:rFonts w:ascii="Tahoma" w:hAnsi="Tahoma" w:cs="Tahoma"/>
      <w:sz w:val="16"/>
      <w:szCs w:val="16"/>
    </w:rPr>
  </w:style>
  <w:style w:type="character" w:customStyle="1" w:styleId="BalloonTextChar">
    <w:name w:val="Balloon Text Char"/>
    <w:link w:val="BalloonText"/>
    <w:uiPriority w:val="99"/>
    <w:semiHidden/>
    <w:rsid w:val="00AB6337"/>
    <w:rPr>
      <w:rFonts w:ascii="Tahoma" w:hAnsi="Tahoma" w:cs="Tahoma"/>
      <w:color w:val="000000"/>
      <w:sz w:val="16"/>
      <w:szCs w:val="16"/>
      <w:lang w:val="en-US" w:eastAsia="zh-CN"/>
    </w:rPr>
  </w:style>
  <w:style w:type="paragraph" w:styleId="CommentSubject">
    <w:name w:val="annotation subject"/>
    <w:basedOn w:val="CommentText"/>
    <w:next w:val="CommentText"/>
    <w:link w:val="CommentSubjectChar"/>
    <w:uiPriority w:val="99"/>
    <w:semiHidden/>
    <w:unhideWhenUsed/>
    <w:rsid w:val="00DC5A70"/>
    <w:rPr>
      <w:b/>
      <w:bCs/>
      <w:color w:val="000000"/>
      <w:lang w:val="en-US"/>
    </w:rPr>
  </w:style>
  <w:style w:type="character" w:customStyle="1" w:styleId="CommentSubjectChar">
    <w:name w:val="Comment Subject Char"/>
    <w:link w:val="CommentSubject"/>
    <w:uiPriority w:val="99"/>
    <w:semiHidden/>
    <w:rsid w:val="00DC5A70"/>
    <w:rPr>
      <w:b/>
      <w:bCs/>
      <w:color w:val="00000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71640">
      <w:bodyDiv w:val="1"/>
      <w:marLeft w:val="0"/>
      <w:marRight w:val="0"/>
      <w:marTop w:val="0"/>
      <w:marBottom w:val="0"/>
      <w:divBdr>
        <w:top w:val="none" w:sz="0" w:space="0" w:color="auto"/>
        <w:left w:val="none" w:sz="0" w:space="0" w:color="auto"/>
        <w:bottom w:val="none" w:sz="0" w:space="0" w:color="auto"/>
        <w:right w:val="none" w:sz="0" w:space="0" w:color="auto"/>
      </w:divBdr>
    </w:div>
    <w:div w:id="1577128323">
      <w:bodyDiv w:val="1"/>
      <w:marLeft w:val="0"/>
      <w:marRight w:val="0"/>
      <w:marTop w:val="0"/>
      <w:marBottom w:val="0"/>
      <w:divBdr>
        <w:top w:val="none" w:sz="0" w:space="0" w:color="auto"/>
        <w:left w:val="none" w:sz="0" w:space="0" w:color="auto"/>
        <w:bottom w:val="none" w:sz="0" w:space="0" w:color="auto"/>
        <w:right w:val="none" w:sz="0" w:space="0" w:color="auto"/>
      </w:divBdr>
    </w:div>
    <w:div w:id="18213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upac.pole-ether.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87708-E3B2-4E99-8447-AA9E163D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IUPAC Task Group on Atmospheric Chemical Kinetic Data Evaluation – Data Sheet CGI_1</vt:lpstr>
    </vt:vector>
  </TitlesOfParts>
  <Company/>
  <LinksUpToDate>false</LinksUpToDate>
  <CharactersWithSpaces>11430</CharactersWithSpaces>
  <SharedDoc>false</SharedDoc>
  <HLinks>
    <vt:vector size="6" baseType="variant">
      <vt:variant>
        <vt:i4>2949152</vt:i4>
      </vt:variant>
      <vt:variant>
        <vt:i4>0</vt:i4>
      </vt:variant>
      <vt:variant>
        <vt:i4>0</vt:i4>
      </vt:variant>
      <vt:variant>
        <vt:i4>5</vt:i4>
      </vt:variant>
      <vt:variant>
        <vt:lpwstr>http://iupac.pole-ether.fr/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IUPAC Task Group on Atmospheric Chemical Kinetic Data Evaluation – Data Sheet CGI_1</dc:title>
  <dc:subject/>
  <dc:creator>Janet Arey</dc:creator>
  <cp:keywords/>
  <cp:lastModifiedBy>Mike</cp:lastModifiedBy>
  <cp:revision>2</cp:revision>
  <cp:lastPrinted>2020-05-10T11:27:00Z</cp:lastPrinted>
  <dcterms:created xsi:type="dcterms:W3CDTF">2020-05-10T11:28:00Z</dcterms:created>
  <dcterms:modified xsi:type="dcterms:W3CDTF">2020-05-10T11:28:00Z</dcterms:modified>
</cp:coreProperties>
</file>