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B35FCC"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A914B7" w:rsidRPr="00643BD9">
        <w:rPr>
          <w:b/>
          <w:szCs w:val="24"/>
        </w:rPr>
        <w:t>1</w:t>
      </w:r>
      <w:r w:rsidR="003560D4">
        <w:rPr>
          <w:b/>
          <w:szCs w:val="24"/>
        </w:rPr>
        <w:t>9</w:t>
      </w:r>
    </w:p>
    <w:p w14:paraId="6F6ED997"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0A9E76D0" w14:textId="77777777" w:rsidR="00083A9E" w:rsidRDefault="00083A9E" w:rsidP="00083A9E">
      <w:pPr>
        <w:ind w:right="525"/>
        <w:jc w:val="both"/>
      </w:pPr>
      <w:r>
        <w:rPr>
          <w:szCs w:val="24"/>
        </w:rPr>
        <w:t xml:space="preserve">This datasheet last evaluated: </w:t>
      </w:r>
      <w:r w:rsidR="00F80206">
        <w:rPr>
          <w:szCs w:val="24"/>
        </w:rPr>
        <w:t>February 2020</w:t>
      </w:r>
      <w:r>
        <w:rPr>
          <w:szCs w:val="24"/>
        </w:rPr>
        <w:t xml:space="preserve">; last change in preferred values: </w:t>
      </w:r>
      <w:r w:rsidR="00F80206">
        <w:rPr>
          <w:szCs w:val="24"/>
        </w:rPr>
        <w:t>February 2020</w:t>
      </w:r>
    </w:p>
    <w:p w14:paraId="7C40ADE6" w14:textId="77777777" w:rsidR="00667891" w:rsidRDefault="00667891">
      <w:pPr>
        <w:ind w:right="332"/>
      </w:pPr>
      <w:r>
        <w:pict w14:anchorId="76F259A4">
          <v:line id="_x0000_s1026" style="position:absolute;z-index:1" from="-67.05pt,11.4pt" to="528.2pt,11.4pt" strokeweight=".26mm">
            <v:stroke joinstyle="miter" endcap="square"/>
          </v:line>
        </w:pict>
      </w:r>
    </w:p>
    <w:p w14:paraId="585C546D" w14:textId="77777777" w:rsidR="00667891" w:rsidRDefault="00667891">
      <w:pPr>
        <w:tabs>
          <w:tab w:val="center" w:pos="4680"/>
        </w:tabs>
        <w:jc w:val="center"/>
      </w:pPr>
    </w:p>
    <w:p w14:paraId="691FCDCF" w14:textId="77777777" w:rsidR="00083A9E" w:rsidRDefault="00C501D5" w:rsidP="00B95B42">
      <w:pPr>
        <w:jc w:val="center"/>
        <w:rPr>
          <w:b/>
        </w:rPr>
      </w:pPr>
      <w:r>
        <w:rPr>
          <w:b/>
        </w:rPr>
        <w:t>(</w:t>
      </w:r>
      <w:r w:rsidR="008605B7">
        <w:rPr>
          <w:b/>
        </w:rPr>
        <w:t>CH</w:t>
      </w:r>
      <w:r w:rsidR="008605B7">
        <w:rPr>
          <w:b/>
          <w:vertAlign w:val="subscript"/>
        </w:rPr>
        <w:t>3</w:t>
      </w:r>
      <w:r>
        <w:rPr>
          <w:b/>
        </w:rPr>
        <w:t>)</w:t>
      </w:r>
      <w:r w:rsidRPr="00C501D5">
        <w:rPr>
          <w:b/>
          <w:vertAlign w:val="subscript"/>
        </w:rPr>
        <w:t>2</w:t>
      </w:r>
      <w:r>
        <w:rPr>
          <w:b/>
        </w:rPr>
        <w:t>C</w:t>
      </w:r>
      <w:r w:rsidR="008605B7">
        <w:rPr>
          <w:b/>
        </w:rPr>
        <w:t xml:space="preserve">OO + </w:t>
      </w:r>
      <w:r w:rsidR="003560D4">
        <w:rPr>
          <w:b/>
        </w:rPr>
        <w:t>H</w:t>
      </w:r>
      <w:r w:rsidR="003560D4" w:rsidRPr="003560D4">
        <w:rPr>
          <w:b/>
          <w:vertAlign w:val="subscript"/>
        </w:rPr>
        <w:t>2</w:t>
      </w:r>
      <w:r w:rsidR="003560D4">
        <w:rPr>
          <w:b/>
        </w:rPr>
        <w:t>O</w:t>
      </w:r>
      <w:r w:rsidR="008605B7">
        <w:rPr>
          <w:b/>
        </w:rPr>
        <w:t xml:space="preserve"> </w:t>
      </w:r>
      <w:r w:rsidR="008605B7">
        <w:rPr>
          <w:b/>
        </w:rPr>
        <w:sym w:font="Symbol" w:char="F0AE"/>
      </w:r>
      <w:r w:rsidR="008605B7">
        <w:rPr>
          <w:b/>
        </w:rPr>
        <w:t xml:space="preserve"> </w:t>
      </w:r>
      <w:r w:rsidR="003560D4">
        <w:rPr>
          <w:b/>
        </w:rPr>
        <w:t>products</w:t>
      </w:r>
      <w:r w:rsidR="00B95B42">
        <w:rPr>
          <w:b/>
        </w:rPr>
        <w:tab/>
      </w:r>
      <w:r w:rsidR="00B95B42">
        <w:rPr>
          <w:b/>
        </w:rPr>
        <w:tab/>
        <w:t>(1)</w:t>
      </w:r>
    </w:p>
    <w:p w14:paraId="042773D7" w14:textId="77777777" w:rsidR="00B95B42" w:rsidRDefault="00B95B42" w:rsidP="00B95B42">
      <w:pPr>
        <w:jc w:val="center"/>
        <w:rPr>
          <w:b/>
        </w:rPr>
      </w:pPr>
      <w:r>
        <w:rPr>
          <w:b/>
        </w:rPr>
        <w:t>(CH</w:t>
      </w:r>
      <w:r>
        <w:rPr>
          <w:b/>
          <w:vertAlign w:val="subscript"/>
        </w:rPr>
        <w:t>3</w:t>
      </w:r>
      <w:r>
        <w:rPr>
          <w:b/>
        </w:rPr>
        <w:t>)</w:t>
      </w:r>
      <w:r w:rsidRPr="00C501D5">
        <w:rPr>
          <w:b/>
          <w:vertAlign w:val="subscript"/>
        </w:rPr>
        <w:t>2</w:t>
      </w:r>
      <w:r>
        <w:rPr>
          <w:b/>
        </w:rPr>
        <w:t>COO + (H</w:t>
      </w:r>
      <w:r w:rsidRPr="003560D4">
        <w:rPr>
          <w:b/>
          <w:vertAlign w:val="subscript"/>
        </w:rPr>
        <w:t>2</w:t>
      </w:r>
      <w:r>
        <w:rPr>
          <w:b/>
        </w:rPr>
        <w:t>O)</w:t>
      </w:r>
      <w:r w:rsidRPr="00B95B42">
        <w:rPr>
          <w:b/>
          <w:vertAlign w:val="subscript"/>
        </w:rPr>
        <w:t>2</w:t>
      </w:r>
      <w:r>
        <w:rPr>
          <w:b/>
        </w:rPr>
        <w:t xml:space="preserve"> </w:t>
      </w:r>
      <w:r>
        <w:rPr>
          <w:b/>
        </w:rPr>
        <w:sym w:font="Symbol" w:char="F0AE"/>
      </w:r>
      <w:r>
        <w:rPr>
          <w:b/>
        </w:rPr>
        <w:t xml:space="preserve"> products</w:t>
      </w:r>
      <w:r>
        <w:rPr>
          <w:b/>
        </w:rPr>
        <w:tab/>
      </w:r>
      <w:r>
        <w:rPr>
          <w:b/>
        </w:rPr>
        <w:tab/>
        <w:t>(2)</w:t>
      </w:r>
    </w:p>
    <w:p w14:paraId="7893B952" w14:textId="77777777" w:rsidR="00083A9E" w:rsidRPr="001D3940" w:rsidRDefault="00083A9E" w:rsidP="00083A9E">
      <w:pPr>
        <w:tabs>
          <w:tab w:val="left" w:pos="-1440"/>
          <w:tab w:val="left" w:pos="-720"/>
          <w:tab w:val="left" w:pos="288"/>
        </w:tabs>
        <w:jc w:val="both"/>
        <w:rPr>
          <w:color w:val="auto"/>
        </w:rPr>
      </w:pPr>
    </w:p>
    <w:p w14:paraId="56398429" w14:textId="77777777" w:rsidR="00083A9E" w:rsidRDefault="00083A9E" w:rsidP="00083A9E">
      <w:pPr>
        <w:pStyle w:val="Heading2"/>
        <w:rPr>
          <w:rFonts w:ascii="Times New Roman" w:hAnsi="Times New Roman" w:cs="Times New Roman"/>
          <w:color w:val="auto"/>
        </w:rPr>
      </w:pPr>
      <w:r w:rsidRPr="001D3940">
        <w:rPr>
          <w:rFonts w:ascii="Times New Roman" w:hAnsi="Times New Roman" w:cs="Times New Roman"/>
          <w:color w:val="auto"/>
        </w:rPr>
        <w:t>Rate coefficient data</w:t>
      </w:r>
    </w:p>
    <w:p w14:paraId="778FFF05" w14:textId="77777777" w:rsidR="00C501D5" w:rsidRPr="001D3940" w:rsidRDefault="00C501D5" w:rsidP="00083A9E">
      <w:pPr>
        <w:tabs>
          <w:tab w:val="center" w:pos="4680"/>
        </w:tabs>
        <w:jc w:val="both"/>
        <w:rPr>
          <w:b/>
          <w:color w:val="auto"/>
        </w:rPr>
      </w:pPr>
    </w:p>
    <w:tbl>
      <w:tblPr>
        <w:tblW w:w="8177" w:type="dxa"/>
        <w:tblInd w:w="578" w:type="dxa"/>
        <w:tblLayout w:type="fixed"/>
        <w:tblLook w:val="0000" w:firstRow="0" w:lastRow="0" w:firstColumn="0" w:lastColumn="0" w:noHBand="0" w:noVBand="0"/>
      </w:tblPr>
      <w:tblGrid>
        <w:gridCol w:w="2649"/>
        <w:gridCol w:w="1134"/>
        <w:gridCol w:w="709"/>
        <w:gridCol w:w="1559"/>
        <w:gridCol w:w="2126"/>
      </w:tblGrid>
      <w:tr w:rsidR="003560D4" w:rsidRPr="001D3940" w14:paraId="63C53A1D" w14:textId="77777777" w:rsidTr="000B75BC">
        <w:tc>
          <w:tcPr>
            <w:tcW w:w="2649" w:type="dxa"/>
            <w:tcBorders>
              <w:top w:val="double" w:sz="1" w:space="0" w:color="000000"/>
              <w:bottom w:val="single" w:sz="4" w:space="0" w:color="000000"/>
            </w:tcBorders>
            <w:shd w:val="clear" w:color="auto" w:fill="auto"/>
          </w:tcPr>
          <w:p w14:paraId="6A3752C2" w14:textId="77777777" w:rsidR="003560D4" w:rsidRPr="001D3940" w:rsidRDefault="003560D4"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134" w:type="dxa"/>
            <w:tcBorders>
              <w:top w:val="double" w:sz="1" w:space="0" w:color="000000"/>
              <w:bottom w:val="single" w:sz="4" w:space="0" w:color="000000"/>
            </w:tcBorders>
            <w:shd w:val="clear" w:color="auto" w:fill="auto"/>
          </w:tcPr>
          <w:p w14:paraId="676EC4B3" w14:textId="77777777" w:rsidR="003560D4" w:rsidRPr="001D3940" w:rsidRDefault="003560D4" w:rsidP="00722811">
            <w:pPr>
              <w:tabs>
                <w:tab w:val="center" w:pos="4680"/>
              </w:tabs>
              <w:snapToGrid w:val="0"/>
              <w:spacing w:before="120" w:after="120"/>
              <w:jc w:val="both"/>
              <w:rPr>
                <w:color w:val="auto"/>
                <w:sz w:val="20"/>
              </w:rPr>
            </w:pPr>
            <w:r w:rsidRPr="001D3940">
              <w:rPr>
                <w:color w:val="auto"/>
                <w:sz w:val="20"/>
              </w:rPr>
              <w:t>Temp./K</w:t>
            </w:r>
          </w:p>
        </w:tc>
        <w:tc>
          <w:tcPr>
            <w:tcW w:w="2268" w:type="dxa"/>
            <w:gridSpan w:val="2"/>
            <w:tcBorders>
              <w:top w:val="double" w:sz="1" w:space="0" w:color="000000"/>
              <w:bottom w:val="single" w:sz="4" w:space="0" w:color="000000"/>
            </w:tcBorders>
            <w:shd w:val="clear" w:color="auto" w:fill="auto"/>
          </w:tcPr>
          <w:p w14:paraId="1F7CFA45" w14:textId="77777777" w:rsidR="003560D4" w:rsidRPr="001D3940" w:rsidRDefault="003560D4" w:rsidP="00722811">
            <w:pPr>
              <w:tabs>
                <w:tab w:val="center" w:pos="4680"/>
              </w:tabs>
              <w:snapToGrid w:val="0"/>
              <w:spacing w:before="120" w:after="120"/>
              <w:jc w:val="both"/>
              <w:rPr>
                <w:color w:val="auto"/>
                <w:sz w:val="20"/>
              </w:rPr>
            </w:pPr>
            <w:r w:rsidRPr="001D3940">
              <w:rPr>
                <w:color w:val="auto"/>
                <w:sz w:val="20"/>
              </w:rPr>
              <w:t>Reference</w:t>
            </w:r>
          </w:p>
        </w:tc>
        <w:tc>
          <w:tcPr>
            <w:tcW w:w="2126" w:type="dxa"/>
            <w:tcBorders>
              <w:top w:val="double" w:sz="1" w:space="0" w:color="000000"/>
              <w:bottom w:val="single" w:sz="4" w:space="0" w:color="000000"/>
            </w:tcBorders>
            <w:shd w:val="clear" w:color="auto" w:fill="auto"/>
          </w:tcPr>
          <w:p w14:paraId="1899EA7B" w14:textId="77777777" w:rsidR="003560D4" w:rsidRPr="001D3940" w:rsidRDefault="003560D4" w:rsidP="00D8581C">
            <w:pPr>
              <w:tabs>
                <w:tab w:val="center" w:pos="4680"/>
              </w:tabs>
              <w:snapToGrid w:val="0"/>
              <w:spacing w:before="120" w:after="120"/>
              <w:ind w:left="-108"/>
              <w:jc w:val="both"/>
              <w:rPr>
                <w:color w:val="auto"/>
              </w:rPr>
            </w:pPr>
            <w:r w:rsidRPr="001D3940">
              <w:rPr>
                <w:color w:val="auto"/>
                <w:sz w:val="20"/>
              </w:rPr>
              <w:t>Technique/Comments</w:t>
            </w:r>
          </w:p>
        </w:tc>
      </w:tr>
      <w:tr w:rsidR="003560D4" w:rsidRPr="00CA56DB" w14:paraId="5B551E8C" w14:textId="77777777" w:rsidTr="000B75BC">
        <w:tc>
          <w:tcPr>
            <w:tcW w:w="2649" w:type="dxa"/>
            <w:tcBorders>
              <w:top w:val="single" w:sz="4" w:space="0" w:color="000000"/>
            </w:tcBorders>
            <w:shd w:val="clear" w:color="auto" w:fill="auto"/>
          </w:tcPr>
          <w:p w14:paraId="205344AD" w14:textId="77777777" w:rsidR="003560D4" w:rsidRPr="00713905" w:rsidRDefault="003560D4" w:rsidP="00713905">
            <w:pPr>
              <w:spacing w:before="120"/>
              <w:rPr>
                <w:i/>
                <w:sz w:val="20"/>
              </w:rPr>
            </w:pPr>
            <w:r w:rsidRPr="00713905">
              <w:rPr>
                <w:i/>
                <w:sz w:val="20"/>
              </w:rPr>
              <w:t>Absolute Rate Coefficients</w:t>
            </w:r>
          </w:p>
        </w:tc>
        <w:tc>
          <w:tcPr>
            <w:tcW w:w="1843" w:type="dxa"/>
            <w:gridSpan w:val="2"/>
            <w:tcBorders>
              <w:top w:val="single" w:sz="4" w:space="0" w:color="000000"/>
            </w:tcBorders>
            <w:shd w:val="clear" w:color="auto" w:fill="auto"/>
          </w:tcPr>
          <w:p w14:paraId="357E6808" w14:textId="77777777" w:rsidR="003560D4" w:rsidRPr="00CA56DB" w:rsidRDefault="003560D4" w:rsidP="00722811">
            <w:pPr>
              <w:tabs>
                <w:tab w:val="center" w:pos="4680"/>
              </w:tabs>
              <w:snapToGrid w:val="0"/>
              <w:spacing w:before="120"/>
              <w:jc w:val="both"/>
              <w:rPr>
                <w:color w:val="auto"/>
                <w:sz w:val="20"/>
              </w:rPr>
            </w:pPr>
          </w:p>
        </w:tc>
        <w:tc>
          <w:tcPr>
            <w:tcW w:w="1559" w:type="dxa"/>
            <w:tcBorders>
              <w:top w:val="single" w:sz="4" w:space="0" w:color="000000"/>
            </w:tcBorders>
            <w:shd w:val="clear" w:color="auto" w:fill="auto"/>
          </w:tcPr>
          <w:p w14:paraId="4D69C3D0" w14:textId="77777777" w:rsidR="003560D4" w:rsidRPr="00CA56DB" w:rsidRDefault="003560D4" w:rsidP="00722811">
            <w:pPr>
              <w:tabs>
                <w:tab w:val="center" w:pos="4680"/>
              </w:tabs>
              <w:snapToGrid w:val="0"/>
              <w:spacing w:before="120"/>
              <w:jc w:val="both"/>
              <w:rPr>
                <w:color w:val="auto"/>
                <w:sz w:val="20"/>
              </w:rPr>
            </w:pPr>
          </w:p>
        </w:tc>
        <w:tc>
          <w:tcPr>
            <w:tcW w:w="2126" w:type="dxa"/>
            <w:tcBorders>
              <w:top w:val="single" w:sz="4" w:space="0" w:color="000000"/>
            </w:tcBorders>
            <w:shd w:val="clear" w:color="auto" w:fill="auto"/>
          </w:tcPr>
          <w:p w14:paraId="6D89D249" w14:textId="77777777" w:rsidR="003560D4" w:rsidRPr="00CA56DB" w:rsidRDefault="003560D4" w:rsidP="00722811">
            <w:pPr>
              <w:tabs>
                <w:tab w:val="center" w:pos="4680"/>
              </w:tabs>
              <w:snapToGrid w:val="0"/>
              <w:spacing w:before="120"/>
              <w:jc w:val="both"/>
              <w:rPr>
                <w:color w:val="auto"/>
                <w:sz w:val="20"/>
              </w:rPr>
            </w:pPr>
          </w:p>
        </w:tc>
      </w:tr>
      <w:tr w:rsidR="003560D4" w:rsidRPr="001D3940" w14:paraId="721F7479" w14:textId="77777777" w:rsidTr="000B75BC">
        <w:tc>
          <w:tcPr>
            <w:tcW w:w="2649" w:type="dxa"/>
            <w:shd w:val="clear" w:color="auto" w:fill="auto"/>
          </w:tcPr>
          <w:p w14:paraId="6B81CD94" w14:textId="77777777" w:rsidR="003560D4" w:rsidRPr="00DC1D99" w:rsidRDefault="00B95B42" w:rsidP="00B95B42">
            <w:pPr>
              <w:overflowPunct w:val="0"/>
              <w:autoSpaceDE w:val="0"/>
              <w:autoSpaceDN w:val="0"/>
              <w:adjustRightInd w:val="0"/>
              <w:jc w:val="both"/>
              <w:rPr>
                <w:iCs/>
                <w:sz w:val="20"/>
              </w:rPr>
            </w:pPr>
            <w:r>
              <w:rPr>
                <w:i/>
                <w:sz w:val="20"/>
              </w:rPr>
              <w:t>k</w:t>
            </w:r>
            <w:r w:rsidRPr="00B95B42">
              <w:rPr>
                <w:iCs/>
                <w:sz w:val="20"/>
                <w:vertAlign w:val="subscript"/>
              </w:rPr>
              <w:t>1</w:t>
            </w:r>
            <w:r w:rsidRPr="00B95B42">
              <w:rPr>
                <w:iCs/>
                <w:sz w:val="20"/>
              </w:rPr>
              <w:t xml:space="preserve"> </w:t>
            </w:r>
            <w:r w:rsidR="003560D4">
              <w:rPr>
                <w:i/>
                <w:sz w:val="20"/>
              </w:rPr>
              <w:t>&lt;</w:t>
            </w:r>
            <w:r w:rsidR="003560D4">
              <w:rPr>
                <w:iCs/>
                <w:sz w:val="20"/>
              </w:rPr>
              <w:t xml:space="preserve"> 1.5 × 10</w:t>
            </w:r>
            <w:r w:rsidR="003560D4">
              <w:rPr>
                <w:iCs/>
                <w:sz w:val="20"/>
                <w:vertAlign w:val="superscript"/>
              </w:rPr>
              <w:t>-16</w:t>
            </w:r>
          </w:p>
        </w:tc>
        <w:tc>
          <w:tcPr>
            <w:tcW w:w="1134" w:type="dxa"/>
            <w:shd w:val="clear" w:color="auto" w:fill="auto"/>
          </w:tcPr>
          <w:p w14:paraId="6DB8961B" w14:textId="77777777" w:rsidR="003560D4" w:rsidRPr="00C501D5" w:rsidRDefault="003560D4" w:rsidP="00B95B42">
            <w:pPr>
              <w:overflowPunct w:val="0"/>
              <w:autoSpaceDE w:val="0"/>
              <w:autoSpaceDN w:val="0"/>
              <w:adjustRightInd w:val="0"/>
              <w:rPr>
                <w:sz w:val="20"/>
              </w:rPr>
            </w:pPr>
            <w:r w:rsidRPr="00C501D5">
              <w:rPr>
                <w:sz w:val="20"/>
              </w:rPr>
              <w:t>298</w:t>
            </w:r>
          </w:p>
        </w:tc>
        <w:tc>
          <w:tcPr>
            <w:tcW w:w="2268" w:type="dxa"/>
            <w:gridSpan w:val="2"/>
            <w:shd w:val="clear" w:color="auto" w:fill="auto"/>
          </w:tcPr>
          <w:p w14:paraId="5D638703" w14:textId="77777777" w:rsidR="003560D4" w:rsidRPr="00C501D5" w:rsidRDefault="003560D4" w:rsidP="00B95B42">
            <w:pPr>
              <w:overflowPunct w:val="0"/>
              <w:autoSpaceDE w:val="0"/>
              <w:autoSpaceDN w:val="0"/>
              <w:adjustRightInd w:val="0"/>
              <w:rPr>
                <w:sz w:val="20"/>
              </w:rPr>
            </w:pPr>
            <w:r w:rsidRPr="00C501D5">
              <w:rPr>
                <w:sz w:val="20"/>
              </w:rPr>
              <w:t>Huang et al., 2015</w:t>
            </w:r>
          </w:p>
        </w:tc>
        <w:tc>
          <w:tcPr>
            <w:tcW w:w="2126" w:type="dxa"/>
            <w:shd w:val="clear" w:color="auto" w:fill="auto"/>
          </w:tcPr>
          <w:p w14:paraId="4E3F6C02" w14:textId="77777777" w:rsidR="003560D4" w:rsidRPr="00C501D5" w:rsidRDefault="003560D4" w:rsidP="00B95B42">
            <w:pPr>
              <w:overflowPunct w:val="0"/>
              <w:autoSpaceDE w:val="0"/>
              <w:autoSpaceDN w:val="0"/>
              <w:adjustRightInd w:val="0"/>
              <w:jc w:val="both"/>
              <w:rPr>
                <w:sz w:val="20"/>
              </w:rPr>
            </w:pPr>
            <w:r w:rsidRPr="00C501D5">
              <w:rPr>
                <w:sz w:val="20"/>
              </w:rPr>
              <w:t>PLP-LPUVA (a)</w:t>
            </w:r>
          </w:p>
        </w:tc>
      </w:tr>
      <w:tr w:rsidR="00B95B42" w:rsidRPr="001D3940" w14:paraId="7B1F7815" w14:textId="77777777" w:rsidTr="000B75BC">
        <w:tc>
          <w:tcPr>
            <w:tcW w:w="2649" w:type="dxa"/>
            <w:shd w:val="clear" w:color="auto" w:fill="auto"/>
          </w:tcPr>
          <w:p w14:paraId="3BC42770" w14:textId="77777777" w:rsidR="00B95B42" w:rsidRDefault="00B95B42" w:rsidP="00B95B42">
            <w:pPr>
              <w:overflowPunct w:val="0"/>
              <w:autoSpaceDE w:val="0"/>
              <w:autoSpaceDN w:val="0"/>
              <w:adjustRightInd w:val="0"/>
              <w:spacing w:after="120"/>
              <w:jc w:val="both"/>
              <w:rPr>
                <w:i/>
                <w:sz w:val="20"/>
              </w:rPr>
            </w:pPr>
            <w:r>
              <w:rPr>
                <w:i/>
                <w:sz w:val="20"/>
              </w:rPr>
              <w:t>k</w:t>
            </w:r>
            <w:r w:rsidR="005954BC">
              <w:rPr>
                <w:iCs/>
                <w:sz w:val="20"/>
                <w:vertAlign w:val="subscript"/>
              </w:rPr>
              <w:t>2</w:t>
            </w:r>
            <w:r w:rsidRPr="00B95B42">
              <w:rPr>
                <w:iCs/>
                <w:sz w:val="20"/>
              </w:rPr>
              <w:t xml:space="preserve"> </w:t>
            </w:r>
            <w:r>
              <w:rPr>
                <w:i/>
                <w:sz w:val="20"/>
              </w:rPr>
              <w:t>&lt;</w:t>
            </w:r>
            <w:r>
              <w:rPr>
                <w:iCs/>
                <w:sz w:val="20"/>
              </w:rPr>
              <w:t xml:space="preserve"> 1.3 × 10</w:t>
            </w:r>
            <w:r>
              <w:rPr>
                <w:iCs/>
                <w:sz w:val="20"/>
                <w:vertAlign w:val="superscript"/>
              </w:rPr>
              <w:t>-13</w:t>
            </w:r>
          </w:p>
        </w:tc>
        <w:tc>
          <w:tcPr>
            <w:tcW w:w="1134" w:type="dxa"/>
            <w:shd w:val="clear" w:color="auto" w:fill="auto"/>
          </w:tcPr>
          <w:p w14:paraId="6F29D9AA" w14:textId="77777777" w:rsidR="00B95B42" w:rsidRPr="00C501D5" w:rsidRDefault="00B95B42" w:rsidP="00B95B42">
            <w:pPr>
              <w:overflowPunct w:val="0"/>
              <w:autoSpaceDE w:val="0"/>
              <w:autoSpaceDN w:val="0"/>
              <w:adjustRightInd w:val="0"/>
              <w:spacing w:after="120"/>
              <w:rPr>
                <w:sz w:val="20"/>
              </w:rPr>
            </w:pPr>
            <w:r w:rsidRPr="00C501D5">
              <w:rPr>
                <w:sz w:val="20"/>
              </w:rPr>
              <w:t>298</w:t>
            </w:r>
          </w:p>
        </w:tc>
        <w:tc>
          <w:tcPr>
            <w:tcW w:w="2268" w:type="dxa"/>
            <w:gridSpan w:val="2"/>
            <w:shd w:val="clear" w:color="auto" w:fill="auto"/>
          </w:tcPr>
          <w:p w14:paraId="339030C4" w14:textId="77777777" w:rsidR="00B95B42" w:rsidRPr="00C501D5" w:rsidRDefault="00B95B42" w:rsidP="00B95B42">
            <w:pPr>
              <w:overflowPunct w:val="0"/>
              <w:autoSpaceDE w:val="0"/>
              <w:autoSpaceDN w:val="0"/>
              <w:adjustRightInd w:val="0"/>
              <w:spacing w:after="120"/>
              <w:rPr>
                <w:sz w:val="20"/>
              </w:rPr>
            </w:pPr>
          </w:p>
        </w:tc>
        <w:tc>
          <w:tcPr>
            <w:tcW w:w="2126" w:type="dxa"/>
            <w:shd w:val="clear" w:color="auto" w:fill="auto"/>
          </w:tcPr>
          <w:p w14:paraId="3DAB9928" w14:textId="77777777" w:rsidR="00B95B42" w:rsidRPr="00C501D5" w:rsidRDefault="00B95B42" w:rsidP="00B95B42">
            <w:pPr>
              <w:overflowPunct w:val="0"/>
              <w:autoSpaceDE w:val="0"/>
              <w:autoSpaceDN w:val="0"/>
              <w:adjustRightInd w:val="0"/>
              <w:spacing w:after="120"/>
              <w:jc w:val="both"/>
              <w:rPr>
                <w:sz w:val="20"/>
              </w:rPr>
            </w:pPr>
          </w:p>
        </w:tc>
      </w:tr>
      <w:tr w:rsidR="00B95B42" w:rsidRPr="001D3940" w14:paraId="597B75FD" w14:textId="77777777" w:rsidTr="000B75BC">
        <w:tc>
          <w:tcPr>
            <w:tcW w:w="2649" w:type="dxa"/>
            <w:shd w:val="clear" w:color="auto" w:fill="auto"/>
          </w:tcPr>
          <w:p w14:paraId="014EB4B2" w14:textId="77777777" w:rsidR="00B95B42" w:rsidRDefault="00B95B42" w:rsidP="00B95B42">
            <w:pPr>
              <w:overflowPunct w:val="0"/>
              <w:autoSpaceDE w:val="0"/>
              <w:autoSpaceDN w:val="0"/>
              <w:adjustRightInd w:val="0"/>
              <w:jc w:val="both"/>
              <w:rPr>
                <w:i/>
                <w:sz w:val="20"/>
              </w:rPr>
            </w:pPr>
            <w:r>
              <w:rPr>
                <w:i/>
                <w:sz w:val="20"/>
              </w:rPr>
              <w:t>Relative</w:t>
            </w:r>
            <w:r w:rsidRPr="00713905">
              <w:rPr>
                <w:i/>
                <w:sz w:val="20"/>
              </w:rPr>
              <w:t xml:space="preserve"> Rate Coefficients</w:t>
            </w:r>
          </w:p>
        </w:tc>
        <w:tc>
          <w:tcPr>
            <w:tcW w:w="1134" w:type="dxa"/>
            <w:shd w:val="clear" w:color="auto" w:fill="auto"/>
          </w:tcPr>
          <w:p w14:paraId="4376B5E7" w14:textId="77777777" w:rsidR="00B95B42" w:rsidRPr="00C501D5" w:rsidRDefault="00B95B42" w:rsidP="00B95B42">
            <w:pPr>
              <w:overflowPunct w:val="0"/>
              <w:autoSpaceDE w:val="0"/>
              <w:autoSpaceDN w:val="0"/>
              <w:adjustRightInd w:val="0"/>
              <w:rPr>
                <w:sz w:val="20"/>
              </w:rPr>
            </w:pPr>
          </w:p>
        </w:tc>
        <w:tc>
          <w:tcPr>
            <w:tcW w:w="2268" w:type="dxa"/>
            <w:gridSpan w:val="2"/>
            <w:shd w:val="clear" w:color="auto" w:fill="auto"/>
          </w:tcPr>
          <w:p w14:paraId="3C2D4353" w14:textId="77777777" w:rsidR="00B95B42" w:rsidRPr="00C501D5" w:rsidRDefault="00B95B42" w:rsidP="00B95B42">
            <w:pPr>
              <w:overflowPunct w:val="0"/>
              <w:autoSpaceDE w:val="0"/>
              <w:autoSpaceDN w:val="0"/>
              <w:adjustRightInd w:val="0"/>
              <w:rPr>
                <w:sz w:val="20"/>
              </w:rPr>
            </w:pPr>
          </w:p>
        </w:tc>
        <w:tc>
          <w:tcPr>
            <w:tcW w:w="2126" w:type="dxa"/>
            <w:shd w:val="clear" w:color="auto" w:fill="auto"/>
          </w:tcPr>
          <w:p w14:paraId="2F7C9561" w14:textId="77777777" w:rsidR="00B95B42" w:rsidRPr="00C501D5" w:rsidRDefault="00B95B42" w:rsidP="00B95B42">
            <w:pPr>
              <w:overflowPunct w:val="0"/>
              <w:autoSpaceDE w:val="0"/>
              <w:autoSpaceDN w:val="0"/>
              <w:adjustRightInd w:val="0"/>
              <w:jc w:val="both"/>
              <w:rPr>
                <w:sz w:val="20"/>
              </w:rPr>
            </w:pPr>
          </w:p>
        </w:tc>
      </w:tr>
      <w:tr w:rsidR="00B95B42" w:rsidRPr="001D3940" w14:paraId="06793301" w14:textId="77777777" w:rsidTr="000B75BC">
        <w:tc>
          <w:tcPr>
            <w:tcW w:w="2649" w:type="dxa"/>
            <w:shd w:val="clear" w:color="auto" w:fill="auto"/>
          </w:tcPr>
          <w:p w14:paraId="706A5D40" w14:textId="77777777" w:rsidR="00B95B42" w:rsidRPr="00702690" w:rsidRDefault="00B95B42" w:rsidP="00B95B42">
            <w:pPr>
              <w:overflowPunct w:val="0"/>
              <w:autoSpaceDE w:val="0"/>
              <w:autoSpaceDN w:val="0"/>
              <w:adjustRightInd w:val="0"/>
              <w:jc w:val="both"/>
              <w:rPr>
                <w:sz w:val="20"/>
              </w:rPr>
            </w:pPr>
            <w:r>
              <w:rPr>
                <w:i/>
                <w:sz w:val="20"/>
              </w:rPr>
              <w:t>k</w:t>
            </w:r>
            <w:r w:rsidRPr="00B95B42">
              <w:rPr>
                <w:iCs/>
                <w:sz w:val="20"/>
                <w:vertAlign w:val="subscript"/>
              </w:rPr>
              <w:t>1</w:t>
            </w:r>
            <w:r w:rsidRPr="00B95B42">
              <w:rPr>
                <w:iCs/>
                <w:sz w:val="20"/>
              </w:rPr>
              <w:t xml:space="preserve"> </w:t>
            </w:r>
            <w:r>
              <w:rPr>
                <w:iCs/>
                <w:sz w:val="20"/>
              </w:rPr>
              <w:t xml:space="preserve">= </w:t>
            </w:r>
            <w:r w:rsidRPr="00702690">
              <w:rPr>
                <w:sz w:val="20"/>
              </w:rPr>
              <w:t>(6.4 ± 3.4) × 10</w:t>
            </w:r>
            <w:r w:rsidRPr="00702690">
              <w:rPr>
                <w:sz w:val="20"/>
                <w:vertAlign w:val="superscript"/>
              </w:rPr>
              <w:t>−14</w:t>
            </w:r>
          </w:p>
        </w:tc>
        <w:tc>
          <w:tcPr>
            <w:tcW w:w="1134" w:type="dxa"/>
            <w:shd w:val="clear" w:color="auto" w:fill="auto"/>
          </w:tcPr>
          <w:p w14:paraId="3B884122" w14:textId="77777777" w:rsidR="00B95B42" w:rsidRPr="003560D4" w:rsidRDefault="00B95B42" w:rsidP="00B95B42">
            <w:pPr>
              <w:overflowPunct w:val="0"/>
              <w:autoSpaceDE w:val="0"/>
              <w:autoSpaceDN w:val="0"/>
              <w:adjustRightInd w:val="0"/>
              <w:rPr>
                <w:sz w:val="20"/>
              </w:rPr>
            </w:pPr>
            <w:r w:rsidRPr="003560D4">
              <w:rPr>
                <w:sz w:val="20"/>
              </w:rPr>
              <w:t>298</w:t>
            </w:r>
          </w:p>
        </w:tc>
        <w:tc>
          <w:tcPr>
            <w:tcW w:w="2268" w:type="dxa"/>
            <w:gridSpan w:val="2"/>
            <w:shd w:val="clear" w:color="auto" w:fill="auto"/>
          </w:tcPr>
          <w:p w14:paraId="753789F1" w14:textId="77777777" w:rsidR="00B95B42" w:rsidRPr="003560D4" w:rsidRDefault="00B95B42" w:rsidP="00B95B42">
            <w:pPr>
              <w:overflowPunct w:val="0"/>
              <w:autoSpaceDE w:val="0"/>
              <w:autoSpaceDN w:val="0"/>
              <w:adjustRightInd w:val="0"/>
              <w:rPr>
                <w:sz w:val="20"/>
              </w:rPr>
            </w:pPr>
            <w:r w:rsidRPr="003560D4">
              <w:rPr>
                <w:sz w:val="20"/>
              </w:rPr>
              <w:t>Becker et al., 1993</w:t>
            </w:r>
          </w:p>
        </w:tc>
        <w:tc>
          <w:tcPr>
            <w:tcW w:w="2126" w:type="dxa"/>
            <w:shd w:val="clear" w:color="auto" w:fill="auto"/>
          </w:tcPr>
          <w:p w14:paraId="6EB3E586" w14:textId="77777777" w:rsidR="00B95B42" w:rsidRPr="003560D4" w:rsidRDefault="00B95B42" w:rsidP="00B95B42">
            <w:pPr>
              <w:overflowPunct w:val="0"/>
              <w:autoSpaceDE w:val="0"/>
              <w:autoSpaceDN w:val="0"/>
              <w:adjustRightInd w:val="0"/>
              <w:jc w:val="both"/>
              <w:rPr>
                <w:sz w:val="20"/>
              </w:rPr>
            </w:pPr>
            <w:r w:rsidRPr="003560D4">
              <w:rPr>
                <w:sz w:val="20"/>
              </w:rPr>
              <w:t>RR-FTIR/ TDLS (b)</w:t>
            </w:r>
          </w:p>
        </w:tc>
      </w:tr>
      <w:tr w:rsidR="00B95B42" w:rsidRPr="001D3940" w14:paraId="6B164DD4" w14:textId="77777777" w:rsidTr="000B75BC">
        <w:tc>
          <w:tcPr>
            <w:tcW w:w="2649" w:type="dxa"/>
            <w:shd w:val="clear" w:color="auto" w:fill="auto"/>
          </w:tcPr>
          <w:p w14:paraId="72A66170" w14:textId="77777777" w:rsidR="00B95B42" w:rsidRPr="00702690" w:rsidRDefault="00B95B42" w:rsidP="00B95B42">
            <w:pPr>
              <w:overflowPunct w:val="0"/>
              <w:autoSpaceDE w:val="0"/>
              <w:autoSpaceDN w:val="0"/>
              <w:adjustRightInd w:val="0"/>
              <w:jc w:val="both"/>
              <w:rPr>
                <w:iCs/>
                <w:sz w:val="20"/>
              </w:rPr>
            </w:pPr>
            <w:r>
              <w:rPr>
                <w:i/>
                <w:sz w:val="20"/>
              </w:rPr>
              <w:t>k</w:t>
            </w:r>
            <w:r w:rsidRPr="00B95B42">
              <w:rPr>
                <w:iCs/>
                <w:sz w:val="20"/>
                <w:vertAlign w:val="subscript"/>
              </w:rPr>
              <w:t>1</w:t>
            </w:r>
            <w:r w:rsidRPr="00B95B42">
              <w:rPr>
                <w:iCs/>
                <w:sz w:val="20"/>
              </w:rPr>
              <w:t xml:space="preserve"> </w:t>
            </w:r>
            <w:r w:rsidRPr="00702690">
              <w:rPr>
                <w:sz w:val="20"/>
              </w:rPr>
              <w:t>&lt; 6.9 × 10</w:t>
            </w:r>
            <w:r w:rsidRPr="00702690">
              <w:rPr>
                <w:sz w:val="20"/>
                <w:vertAlign w:val="superscript"/>
              </w:rPr>
              <w:t>−16</w:t>
            </w:r>
            <w:r w:rsidRPr="00702690">
              <w:rPr>
                <w:sz w:val="20"/>
              </w:rPr>
              <w:t xml:space="preserve">  </w:t>
            </w:r>
          </w:p>
        </w:tc>
        <w:tc>
          <w:tcPr>
            <w:tcW w:w="1134" w:type="dxa"/>
            <w:shd w:val="clear" w:color="auto" w:fill="auto"/>
          </w:tcPr>
          <w:p w14:paraId="73F4E8BD" w14:textId="77777777" w:rsidR="00B95B42" w:rsidRPr="003560D4" w:rsidRDefault="00B95B42" w:rsidP="00B95B42">
            <w:pPr>
              <w:overflowPunct w:val="0"/>
              <w:autoSpaceDE w:val="0"/>
              <w:autoSpaceDN w:val="0"/>
              <w:adjustRightInd w:val="0"/>
              <w:rPr>
                <w:sz w:val="20"/>
              </w:rPr>
            </w:pPr>
            <w:r>
              <w:rPr>
                <w:sz w:val="20"/>
              </w:rPr>
              <w:t>293</w:t>
            </w:r>
          </w:p>
        </w:tc>
        <w:tc>
          <w:tcPr>
            <w:tcW w:w="2268" w:type="dxa"/>
            <w:gridSpan w:val="2"/>
            <w:shd w:val="clear" w:color="auto" w:fill="auto"/>
          </w:tcPr>
          <w:p w14:paraId="15919FF6" w14:textId="77777777" w:rsidR="00B95B42" w:rsidRPr="003560D4" w:rsidRDefault="00B95B42" w:rsidP="00B95B42">
            <w:pPr>
              <w:overflowPunct w:val="0"/>
              <w:autoSpaceDE w:val="0"/>
              <w:autoSpaceDN w:val="0"/>
              <w:adjustRightInd w:val="0"/>
              <w:rPr>
                <w:sz w:val="20"/>
              </w:rPr>
            </w:pPr>
            <w:r w:rsidRPr="003560D4">
              <w:rPr>
                <w:sz w:val="20"/>
              </w:rPr>
              <w:t>Berndt et al., 2014</w:t>
            </w:r>
          </w:p>
        </w:tc>
        <w:tc>
          <w:tcPr>
            <w:tcW w:w="2126" w:type="dxa"/>
            <w:shd w:val="clear" w:color="auto" w:fill="auto"/>
          </w:tcPr>
          <w:p w14:paraId="0EB2593E" w14:textId="77777777" w:rsidR="00B95B42" w:rsidRPr="003560D4" w:rsidRDefault="00B95B42" w:rsidP="00B95B42">
            <w:pPr>
              <w:overflowPunct w:val="0"/>
              <w:autoSpaceDE w:val="0"/>
              <w:autoSpaceDN w:val="0"/>
              <w:adjustRightInd w:val="0"/>
              <w:jc w:val="both"/>
              <w:rPr>
                <w:sz w:val="20"/>
              </w:rPr>
            </w:pPr>
            <w:r w:rsidRPr="003560D4">
              <w:rPr>
                <w:sz w:val="20"/>
              </w:rPr>
              <w:t>FT/CI-</w:t>
            </w:r>
            <w:proofErr w:type="spellStart"/>
            <w:r w:rsidRPr="003560D4">
              <w:rPr>
                <w:sz w:val="20"/>
              </w:rPr>
              <w:t>APi</w:t>
            </w:r>
            <w:proofErr w:type="spellEnd"/>
            <w:r w:rsidRPr="003560D4">
              <w:rPr>
                <w:sz w:val="20"/>
              </w:rPr>
              <w:t>-TOF MS(c)</w:t>
            </w:r>
          </w:p>
        </w:tc>
      </w:tr>
      <w:tr w:rsidR="00B95B42" w:rsidRPr="001D3940" w14:paraId="4FB713AA" w14:textId="77777777" w:rsidTr="000B75BC">
        <w:tc>
          <w:tcPr>
            <w:tcW w:w="2649" w:type="dxa"/>
            <w:tcBorders>
              <w:bottom w:val="single" w:sz="4" w:space="0" w:color="auto"/>
            </w:tcBorders>
            <w:shd w:val="clear" w:color="auto" w:fill="auto"/>
          </w:tcPr>
          <w:p w14:paraId="51B4A198" w14:textId="77777777" w:rsidR="00B95B42" w:rsidRPr="00702690" w:rsidRDefault="00B95B42" w:rsidP="00B95B42">
            <w:pPr>
              <w:overflowPunct w:val="0"/>
              <w:autoSpaceDE w:val="0"/>
              <w:autoSpaceDN w:val="0"/>
              <w:adjustRightInd w:val="0"/>
              <w:spacing w:after="120"/>
              <w:jc w:val="both"/>
              <w:rPr>
                <w:rFonts w:cs="e364b11"/>
                <w:color w:val="auto"/>
                <w:sz w:val="20"/>
              </w:rPr>
            </w:pPr>
            <w:r>
              <w:rPr>
                <w:i/>
                <w:sz w:val="20"/>
              </w:rPr>
              <w:t>k</w:t>
            </w:r>
            <w:r w:rsidRPr="00B95B42">
              <w:rPr>
                <w:iCs/>
                <w:sz w:val="20"/>
                <w:vertAlign w:val="subscript"/>
              </w:rPr>
              <w:t>1</w:t>
            </w:r>
            <w:r w:rsidRPr="00B95B42">
              <w:rPr>
                <w:iCs/>
                <w:sz w:val="20"/>
              </w:rPr>
              <w:t xml:space="preserve"> </w:t>
            </w:r>
            <w:r>
              <w:rPr>
                <w:iCs/>
                <w:sz w:val="20"/>
              </w:rPr>
              <w:t xml:space="preserve">= </w:t>
            </w:r>
            <w:r w:rsidRPr="00702690">
              <w:rPr>
                <w:sz w:val="20"/>
              </w:rPr>
              <w:t>(1.34 ± 0.39) × 10</w:t>
            </w:r>
            <w:r w:rsidRPr="00702690">
              <w:rPr>
                <w:sz w:val="20"/>
                <w:vertAlign w:val="superscript"/>
              </w:rPr>
              <w:t>−14</w:t>
            </w:r>
          </w:p>
        </w:tc>
        <w:tc>
          <w:tcPr>
            <w:tcW w:w="1134" w:type="dxa"/>
            <w:tcBorders>
              <w:bottom w:val="single" w:sz="4" w:space="0" w:color="auto"/>
            </w:tcBorders>
            <w:shd w:val="clear" w:color="auto" w:fill="auto"/>
          </w:tcPr>
          <w:p w14:paraId="19A82D7F" w14:textId="77777777" w:rsidR="00B95B42" w:rsidRPr="003560D4" w:rsidRDefault="00B95B42" w:rsidP="00B95B42">
            <w:pPr>
              <w:overflowPunct w:val="0"/>
              <w:autoSpaceDE w:val="0"/>
              <w:autoSpaceDN w:val="0"/>
              <w:adjustRightInd w:val="0"/>
              <w:spacing w:after="120"/>
              <w:rPr>
                <w:color w:val="auto"/>
                <w:sz w:val="20"/>
                <w:lang w:eastAsia="en-US"/>
              </w:rPr>
            </w:pPr>
            <w:r w:rsidRPr="003560D4">
              <w:rPr>
                <w:sz w:val="20"/>
              </w:rPr>
              <w:t>29</w:t>
            </w:r>
            <w:r>
              <w:rPr>
                <w:sz w:val="20"/>
              </w:rPr>
              <w:t>8-299</w:t>
            </w:r>
          </w:p>
        </w:tc>
        <w:tc>
          <w:tcPr>
            <w:tcW w:w="2268" w:type="dxa"/>
            <w:gridSpan w:val="2"/>
            <w:tcBorders>
              <w:bottom w:val="single" w:sz="4" w:space="0" w:color="auto"/>
            </w:tcBorders>
            <w:shd w:val="clear" w:color="auto" w:fill="auto"/>
          </w:tcPr>
          <w:p w14:paraId="63E61C7A" w14:textId="77777777" w:rsidR="00B95B42" w:rsidRPr="003560D4" w:rsidRDefault="00B95B42" w:rsidP="00B95B42">
            <w:pPr>
              <w:overflowPunct w:val="0"/>
              <w:autoSpaceDE w:val="0"/>
              <w:autoSpaceDN w:val="0"/>
              <w:adjustRightInd w:val="0"/>
              <w:spacing w:after="120"/>
              <w:rPr>
                <w:color w:val="auto"/>
                <w:sz w:val="20"/>
                <w:lang w:eastAsia="en-US"/>
              </w:rPr>
            </w:pPr>
            <w:r w:rsidRPr="003560D4">
              <w:rPr>
                <w:sz w:val="20"/>
              </w:rPr>
              <w:t>Newland et al., 201</w:t>
            </w:r>
            <w:r>
              <w:rPr>
                <w:sz w:val="20"/>
              </w:rPr>
              <w:t>5</w:t>
            </w:r>
          </w:p>
        </w:tc>
        <w:tc>
          <w:tcPr>
            <w:tcW w:w="2126" w:type="dxa"/>
            <w:tcBorders>
              <w:bottom w:val="single" w:sz="4" w:space="0" w:color="auto"/>
            </w:tcBorders>
            <w:shd w:val="clear" w:color="auto" w:fill="auto"/>
          </w:tcPr>
          <w:p w14:paraId="0DDF6F22" w14:textId="77777777" w:rsidR="00B95B42" w:rsidRPr="003560D4" w:rsidRDefault="00B95B42" w:rsidP="00B95B42">
            <w:pPr>
              <w:spacing w:after="120"/>
              <w:ind w:right="-612"/>
              <w:rPr>
                <w:color w:val="auto"/>
                <w:sz w:val="20"/>
                <w:lang w:eastAsia="en-US"/>
              </w:rPr>
            </w:pPr>
            <w:r w:rsidRPr="003560D4">
              <w:rPr>
                <w:sz w:val="20"/>
              </w:rPr>
              <w:t>RR-FTIR/UVA/</w:t>
            </w:r>
            <w:r>
              <w:rPr>
                <w:sz w:val="20"/>
              </w:rPr>
              <w:t>UVF (d)</w:t>
            </w:r>
          </w:p>
        </w:tc>
      </w:tr>
    </w:tbl>
    <w:p w14:paraId="3D7A2FF5" w14:textId="77777777" w:rsidR="00F340B1" w:rsidRDefault="00F340B1" w:rsidP="00F340B1">
      <w:pPr>
        <w:tabs>
          <w:tab w:val="center" w:pos="4680"/>
        </w:tabs>
        <w:jc w:val="both"/>
        <w:rPr>
          <w:color w:val="auto"/>
        </w:rPr>
      </w:pPr>
    </w:p>
    <w:p w14:paraId="138EA39F" w14:textId="77777777" w:rsidR="00F340B1" w:rsidRPr="001D3940" w:rsidRDefault="00F340B1" w:rsidP="00F340B1">
      <w:pPr>
        <w:pStyle w:val="Heading5"/>
        <w:rPr>
          <w:color w:val="auto"/>
        </w:rPr>
      </w:pPr>
      <w:r w:rsidRPr="001D3940">
        <w:rPr>
          <w:color w:val="auto"/>
        </w:rPr>
        <w:t>Comments</w:t>
      </w:r>
    </w:p>
    <w:p w14:paraId="6227C787" w14:textId="77777777" w:rsidR="00F340B1" w:rsidRPr="001D3940" w:rsidRDefault="00F340B1" w:rsidP="00F340B1">
      <w:pPr>
        <w:tabs>
          <w:tab w:val="left" w:pos="-1440"/>
          <w:tab w:val="left" w:pos="-720"/>
          <w:tab w:val="left" w:pos="444"/>
        </w:tabs>
        <w:jc w:val="both"/>
        <w:rPr>
          <w:color w:val="auto"/>
        </w:rPr>
      </w:pPr>
    </w:p>
    <w:p w14:paraId="2B1E6BCC" w14:textId="77777777" w:rsidR="00BC50D6" w:rsidRPr="004708CA" w:rsidRDefault="00BC50D6" w:rsidP="008B02B0">
      <w:pPr>
        <w:numPr>
          <w:ilvl w:val="0"/>
          <w:numId w:val="3"/>
        </w:numPr>
        <w:tabs>
          <w:tab w:val="left" w:pos="-1440"/>
          <w:tab w:val="left" w:pos="-720"/>
          <w:tab w:val="left" w:pos="426"/>
        </w:tabs>
        <w:jc w:val="both"/>
        <w:rPr>
          <w:color w:val="auto"/>
          <w:spacing w:val="-3"/>
        </w:rPr>
      </w:pPr>
      <w:r w:rsidRPr="0037729E">
        <w:t>(CH</w:t>
      </w:r>
      <w:r w:rsidRPr="0037729E">
        <w:rPr>
          <w:vertAlign w:val="subscript"/>
        </w:rPr>
        <w:t>3</w:t>
      </w:r>
      <w:r w:rsidRPr="0037729E">
        <w:t>)</w:t>
      </w:r>
      <w:r w:rsidRPr="0037729E">
        <w:rPr>
          <w:vertAlign w:val="subscript"/>
        </w:rPr>
        <w:t>2</w:t>
      </w:r>
      <w:r w:rsidRPr="0037729E">
        <w:t>COO was generated from the 248 nm pulsed photolysis of a gaseous mixture consisting of (CH</w:t>
      </w:r>
      <w:r w:rsidRPr="0037729E">
        <w:rPr>
          <w:vertAlign w:val="subscript"/>
        </w:rPr>
        <w:t>3</w:t>
      </w:r>
      <w:r w:rsidRPr="0037729E">
        <w:t>)</w:t>
      </w:r>
      <w:r w:rsidRPr="0037729E">
        <w:rPr>
          <w:vertAlign w:val="subscript"/>
        </w:rPr>
        <w:t>2</w:t>
      </w:r>
      <w:r w:rsidRPr="0037729E">
        <w:t>CI</w:t>
      </w:r>
      <w:r w:rsidRPr="0037729E">
        <w:rPr>
          <w:vertAlign w:val="subscript"/>
        </w:rPr>
        <w:t>2</w:t>
      </w:r>
      <w:r w:rsidRPr="0037729E">
        <w:t>, O</w:t>
      </w:r>
      <w:r w:rsidRPr="0037729E">
        <w:rPr>
          <w:vertAlign w:val="subscript"/>
        </w:rPr>
        <w:t>2</w:t>
      </w:r>
      <w:r w:rsidRPr="0037729E">
        <w:t xml:space="preserve"> and buffer gas (N</w:t>
      </w:r>
      <w:r w:rsidRPr="0037729E">
        <w:rPr>
          <w:vertAlign w:val="subscript"/>
        </w:rPr>
        <w:t>2</w:t>
      </w:r>
      <w:r w:rsidRPr="0037729E">
        <w:t>) at 20 - 400 Torr total pressure. (CH</w:t>
      </w:r>
      <w:r w:rsidRPr="0037729E">
        <w:rPr>
          <w:vertAlign w:val="subscript"/>
        </w:rPr>
        <w:t>3</w:t>
      </w:r>
      <w:r w:rsidRPr="0037729E">
        <w:t>)</w:t>
      </w:r>
      <w:r w:rsidRPr="0037729E">
        <w:rPr>
          <w:vertAlign w:val="subscript"/>
        </w:rPr>
        <w:t>2</w:t>
      </w:r>
      <w:r w:rsidRPr="0037729E">
        <w:t xml:space="preserve">COO was monitored by UV absorption in the region 300 – 450 nm, corresponding to the B̃ (1A′) ← X̃(1A′) electronic transition (Liu et al., 2014). IO was also detected and is thought to be formed </w:t>
      </w:r>
      <w:r>
        <w:t xml:space="preserve">from a second channel of </w:t>
      </w:r>
      <w:r w:rsidRPr="0037729E">
        <w:t>the (CH</w:t>
      </w:r>
      <w:r w:rsidRPr="0037729E">
        <w:rPr>
          <w:vertAlign w:val="subscript"/>
        </w:rPr>
        <w:t>3</w:t>
      </w:r>
      <w:r w:rsidRPr="0037729E">
        <w:t>)</w:t>
      </w:r>
      <w:r w:rsidRPr="0037729E">
        <w:rPr>
          <w:vertAlign w:val="subscript"/>
        </w:rPr>
        <w:t>2</w:t>
      </w:r>
      <w:r w:rsidRPr="0037729E">
        <w:t>CI</w:t>
      </w:r>
      <w:r w:rsidRPr="0037729E">
        <w:rPr>
          <w:vertAlign w:val="subscript"/>
        </w:rPr>
        <w:t>2</w:t>
      </w:r>
      <w:r w:rsidRPr="0037729E">
        <w:t xml:space="preserve"> + O</w:t>
      </w:r>
      <w:r w:rsidRPr="0037729E">
        <w:rPr>
          <w:vertAlign w:val="subscript"/>
        </w:rPr>
        <w:t>2</w:t>
      </w:r>
      <w:r>
        <w:t xml:space="preserve"> </w:t>
      </w:r>
      <w:r w:rsidRPr="0037729E">
        <w:t>reaction</w:t>
      </w:r>
      <w:r>
        <w:t>.</w:t>
      </w:r>
      <w:r w:rsidRPr="0037729E">
        <w:t xml:space="preserve"> </w:t>
      </w:r>
      <w:r>
        <w:t>The</w:t>
      </w:r>
      <w:r w:rsidRPr="0037729E">
        <w:t xml:space="preserve"> (CH</w:t>
      </w:r>
      <w:r w:rsidRPr="0037729E">
        <w:rPr>
          <w:vertAlign w:val="subscript"/>
        </w:rPr>
        <w:t>3</w:t>
      </w:r>
      <w:r w:rsidRPr="0037729E">
        <w:t>)</w:t>
      </w:r>
      <w:r w:rsidRPr="0037729E">
        <w:rPr>
          <w:vertAlign w:val="subscript"/>
        </w:rPr>
        <w:t>2</w:t>
      </w:r>
      <w:r w:rsidRPr="0037729E">
        <w:t>COO decay showed no dependence on [H</w:t>
      </w:r>
      <w:r w:rsidRPr="0037729E">
        <w:rPr>
          <w:vertAlign w:val="subscript"/>
        </w:rPr>
        <w:t>2</w:t>
      </w:r>
      <w:r w:rsidRPr="0037729E">
        <w:t xml:space="preserve">O] even at high </w:t>
      </w:r>
      <w:r>
        <w:t>concentrations</w:t>
      </w:r>
      <w:r w:rsidRPr="0037729E">
        <w:t xml:space="preserve"> (90% RH at 298 K), over a wide range of experimental conditions.</w:t>
      </w:r>
    </w:p>
    <w:p w14:paraId="491A3E36" w14:textId="362E3EB5" w:rsidR="00ED24D0" w:rsidRPr="00583EB1" w:rsidRDefault="00BC50D6" w:rsidP="00617DFA">
      <w:pPr>
        <w:numPr>
          <w:ilvl w:val="0"/>
          <w:numId w:val="3"/>
        </w:numPr>
        <w:tabs>
          <w:tab w:val="left" w:pos="-1440"/>
          <w:tab w:val="left" w:pos="-720"/>
        </w:tabs>
        <w:jc w:val="both"/>
        <w:rPr>
          <w:color w:val="auto"/>
        </w:rPr>
      </w:pPr>
      <w:r w:rsidRPr="0037729E">
        <w:t>Study of the 2,3-dimethyl-but</w:t>
      </w:r>
      <w:r>
        <w:t>-2-</w:t>
      </w:r>
      <w:r w:rsidRPr="0037729E">
        <w:t>ene + O</w:t>
      </w:r>
      <w:r w:rsidRPr="0037729E">
        <w:rPr>
          <w:vertAlign w:val="subscript"/>
        </w:rPr>
        <w:t>3</w:t>
      </w:r>
      <w:r w:rsidRPr="0037729E">
        <w:t xml:space="preserve"> reaction in the presence of 1 bar of synthetic air with and without added SO</w:t>
      </w:r>
      <w:r w:rsidRPr="0037729E">
        <w:rPr>
          <w:vertAlign w:val="subscript"/>
        </w:rPr>
        <w:t>2</w:t>
      </w:r>
      <w:r>
        <w:t>.</w:t>
      </w:r>
      <w:r w:rsidRPr="0037729E">
        <w:t xml:space="preserve"> </w:t>
      </w:r>
      <w:r>
        <w:t>Y</w:t>
      </w:r>
      <w:r w:rsidRPr="0037729E">
        <w:t>ields</w:t>
      </w:r>
      <w:r>
        <w:t xml:space="preserve"> of </w:t>
      </w:r>
      <w:r w:rsidRPr="0037729E">
        <w:t>H</w:t>
      </w:r>
      <w:r w:rsidRPr="0037729E">
        <w:rPr>
          <w:vertAlign w:val="subscript"/>
        </w:rPr>
        <w:t>2</w:t>
      </w:r>
      <w:r w:rsidRPr="0037729E">
        <w:t>O</w:t>
      </w:r>
      <w:r w:rsidRPr="0037729E">
        <w:rPr>
          <w:vertAlign w:val="subscript"/>
        </w:rPr>
        <w:t>2</w:t>
      </w:r>
      <w:r w:rsidRPr="0037729E">
        <w:t xml:space="preserve"> </w:t>
      </w:r>
      <w:r>
        <w:t xml:space="preserve">(a product of the title reaction) </w:t>
      </w:r>
      <w:r w:rsidRPr="0037729E">
        <w:t xml:space="preserve">were measured by tunable diode laser absorption spectroscopy or by FTIR spectroscopy. The reported rate constant ratio </w:t>
      </w:r>
      <w:r w:rsidRPr="0037729E">
        <w:rPr>
          <w:i/>
        </w:rPr>
        <w:t>k</w:t>
      </w:r>
      <w:r w:rsidR="00B95B42" w:rsidRPr="00B95B42">
        <w:rPr>
          <w:iCs/>
          <w:vertAlign w:val="subscript"/>
        </w:rPr>
        <w:t>1</w:t>
      </w:r>
      <w:r w:rsidRPr="0037729E">
        <w:t>/</w:t>
      </w:r>
      <w:r w:rsidRPr="003D4AA5">
        <w:rPr>
          <w:i/>
        </w:rPr>
        <w:t>k</w:t>
      </w:r>
      <w:r w:rsidR="003D4AA5" w:rsidRPr="003D4AA5">
        <w:rPr>
          <w:iCs/>
        </w:rPr>
        <w:t>(</w:t>
      </w:r>
      <w:r w:rsidR="003D4AA5" w:rsidRPr="0037729E">
        <w:t>(CH</w:t>
      </w:r>
      <w:r w:rsidR="003D4AA5" w:rsidRPr="0037729E">
        <w:rPr>
          <w:vertAlign w:val="subscript"/>
        </w:rPr>
        <w:t>3</w:t>
      </w:r>
      <w:r w:rsidR="003D4AA5" w:rsidRPr="0037729E">
        <w:t>)</w:t>
      </w:r>
      <w:r w:rsidR="003D4AA5" w:rsidRPr="0037729E">
        <w:rPr>
          <w:vertAlign w:val="subscript"/>
        </w:rPr>
        <w:t>2</w:t>
      </w:r>
      <w:r w:rsidR="003D4AA5" w:rsidRPr="0037729E">
        <w:t>COO</w:t>
      </w:r>
      <w:r w:rsidR="003D4AA5" w:rsidRPr="003D4AA5">
        <w:t xml:space="preserve"> </w:t>
      </w:r>
      <w:r w:rsidR="003D4AA5">
        <w:t xml:space="preserve">+ </w:t>
      </w:r>
      <w:r w:rsidRPr="003D4AA5">
        <w:t>SO</w:t>
      </w:r>
      <w:r w:rsidRPr="003D4AA5">
        <w:rPr>
          <w:vertAlign w:val="subscript"/>
        </w:rPr>
        <w:t>2</w:t>
      </w:r>
      <w:r w:rsidR="003D4AA5">
        <w:t>)</w:t>
      </w:r>
      <w:r w:rsidRPr="0037729E">
        <w:t xml:space="preserve"> = (4.1 ± 2.2) </w:t>
      </w:r>
      <w:r w:rsidR="003D4AA5">
        <w:t>×</w:t>
      </w:r>
      <w:r w:rsidRPr="0037729E">
        <w:t xml:space="preserve"> 10</w:t>
      </w:r>
      <w:r w:rsidRPr="0037729E">
        <w:rPr>
          <w:vertAlign w:val="superscript"/>
        </w:rPr>
        <w:t>-4</w:t>
      </w:r>
      <w:r w:rsidRPr="003D4AA5">
        <w:t xml:space="preserve"> </w:t>
      </w:r>
      <w:r w:rsidR="003D4AA5" w:rsidRPr="003D4AA5">
        <w:t>was</w:t>
      </w:r>
      <w:r w:rsidR="003D4AA5">
        <w:t xml:space="preserve"> reported. </w:t>
      </w:r>
      <w:r w:rsidR="003D4AA5" w:rsidRPr="00037C1C">
        <w:rPr>
          <w:i/>
          <w:iCs/>
        </w:rPr>
        <w:t>k</w:t>
      </w:r>
      <w:r w:rsidR="00B95B42" w:rsidRPr="00B95B42">
        <w:rPr>
          <w:vertAlign w:val="subscript"/>
        </w:rPr>
        <w:t>1</w:t>
      </w:r>
      <w:r w:rsidR="003D4AA5">
        <w:t xml:space="preserve"> is placed on an absolute basis using </w:t>
      </w:r>
      <w:r w:rsidR="003D4AA5" w:rsidRPr="006C2FD3">
        <w:rPr>
          <w:i/>
        </w:rPr>
        <w:t>k</w:t>
      </w:r>
      <w:r w:rsidR="003D4AA5" w:rsidRPr="00BA6938">
        <w:t>(</w:t>
      </w:r>
      <w:r w:rsidR="003D4AA5" w:rsidRPr="002138B2">
        <w:t>(CH</w:t>
      </w:r>
      <w:r w:rsidR="003D4AA5" w:rsidRPr="006C2FD3">
        <w:rPr>
          <w:vertAlign w:val="subscript"/>
        </w:rPr>
        <w:t>3</w:t>
      </w:r>
      <w:r w:rsidR="003D4AA5" w:rsidRPr="002138B2">
        <w:t>)</w:t>
      </w:r>
      <w:r w:rsidR="003D4AA5" w:rsidRPr="006C2FD3">
        <w:rPr>
          <w:vertAlign w:val="subscript"/>
        </w:rPr>
        <w:t>2</w:t>
      </w:r>
      <w:r w:rsidR="003D4AA5">
        <w:t>COO</w:t>
      </w:r>
      <w:r w:rsidR="003D4AA5" w:rsidRPr="00BA6938">
        <w:t xml:space="preserve"> </w:t>
      </w:r>
      <w:r w:rsidR="003D4AA5">
        <w:t>+</w:t>
      </w:r>
      <w:r w:rsidR="003D4AA5" w:rsidRPr="00BA6938">
        <w:t xml:space="preserve"> SO</w:t>
      </w:r>
      <w:r w:rsidR="003D4AA5" w:rsidRPr="006C2FD3">
        <w:rPr>
          <w:vertAlign w:val="subscript"/>
        </w:rPr>
        <w:t>2</w:t>
      </w:r>
      <w:r w:rsidR="003D4AA5" w:rsidRPr="00BA6938">
        <w:t>)</w:t>
      </w:r>
      <w:r w:rsidR="003D4AA5">
        <w:t xml:space="preserve"> = 1.55 × 10</w:t>
      </w:r>
      <w:r w:rsidR="003D4AA5">
        <w:rPr>
          <w:vertAlign w:val="superscript"/>
        </w:rPr>
        <w:t>-10</w:t>
      </w:r>
      <w:r w:rsidR="003D4AA5" w:rsidRPr="00BF5DD6">
        <w:t xml:space="preserve"> </w:t>
      </w:r>
      <w:r w:rsidR="003D4AA5">
        <w:t>cm</w:t>
      </w:r>
      <w:r w:rsidR="003D4AA5" w:rsidRPr="007F7877">
        <w:rPr>
          <w:vertAlign w:val="superscript"/>
        </w:rPr>
        <w:t>3</w:t>
      </w:r>
      <w:r w:rsidR="003D4AA5">
        <w:t xml:space="preserve"> molecule</w:t>
      </w:r>
      <w:r w:rsidR="003D4AA5" w:rsidRPr="007F7877">
        <w:rPr>
          <w:vertAlign w:val="superscript"/>
        </w:rPr>
        <w:t>-1</w:t>
      </w:r>
      <w:r w:rsidR="003D4AA5">
        <w:t xml:space="preserve"> s</w:t>
      </w:r>
      <w:r w:rsidR="003D4AA5" w:rsidRPr="007F7877">
        <w:rPr>
          <w:vertAlign w:val="superscript"/>
        </w:rPr>
        <w:t>-1</w:t>
      </w:r>
      <w:r w:rsidR="003D4AA5">
        <w:t xml:space="preserve"> at 298 K (IUPAC</w:t>
      </w:r>
      <w:r w:rsidR="00CA3835">
        <w:t>,</w:t>
      </w:r>
      <w:r w:rsidR="003D4AA5">
        <w:t xml:space="preserve"> current recommendation)</w:t>
      </w:r>
      <w:r w:rsidR="004A4C68">
        <w:t>.</w:t>
      </w:r>
    </w:p>
    <w:p w14:paraId="0ED173F0" w14:textId="272881EB" w:rsidR="00467310" w:rsidRPr="004A4C68" w:rsidRDefault="004A4C68" w:rsidP="006C6D5A">
      <w:pPr>
        <w:numPr>
          <w:ilvl w:val="0"/>
          <w:numId w:val="3"/>
        </w:numPr>
        <w:tabs>
          <w:tab w:val="left" w:pos="-1440"/>
          <w:tab w:val="left" w:pos="-720"/>
        </w:tabs>
        <w:jc w:val="both"/>
        <w:rPr>
          <w:color w:val="auto"/>
        </w:rPr>
      </w:pPr>
      <w:r w:rsidRPr="0037729E">
        <w:t>(CH</w:t>
      </w:r>
      <w:r w:rsidRPr="0037729E">
        <w:rPr>
          <w:vertAlign w:val="subscript"/>
        </w:rPr>
        <w:t>3</w:t>
      </w:r>
      <w:r w:rsidRPr="0037729E">
        <w:t>)</w:t>
      </w:r>
      <w:r w:rsidRPr="0037729E">
        <w:rPr>
          <w:vertAlign w:val="subscript"/>
        </w:rPr>
        <w:t>2</w:t>
      </w:r>
      <w:r w:rsidRPr="0037729E">
        <w:t>COO prepared by</w:t>
      </w:r>
      <w:r>
        <w:t xml:space="preserve"> the</w:t>
      </w:r>
      <w:r w:rsidRPr="0037729E">
        <w:t xml:space="preserve"> O</w:t>
      </w:r>
      <w:r w:rsidRPr="0037729E">
        <w:rPr>
          <w:vertAlign w:val="subscript"/>
        </w:rPr>
        <w:t>3</w:t>
      </w:r>
      <w:r w:rsidRPr="0037729E">
        <w:t xml:space="preserve"> + 2,3-dimethyl-but</w:t>
      </w:r>
      <w:r>
        <w:t>-2-</w:t>
      </w:r>
      <w:r w:rsidRPr="0037729E">
        <w:t>ene reaction in the presence of SO</w:t>
      </w:r>
      <w:r w:rsidRPr="0037729E">
        <w:rPr>
          <w:vertAlign w:val="subscript"/>
        </w:rPr>
        <w:t>2</w:t>
      </w:r>
      <w:r w:rsidRPr="0037729E">
        <w:t xml:space="preserve"> </w:t>
      </w:r>
      <w:r>
        <w:t xml:space="preserve">and propane (HO radical scavenger) </w:t>
      </w:r>
      <w:r w:rsidRPr="0037729E">
        <w:t>in a flow system, equipped with CIMS for detection of H</w:t>
      </w:r>
      <w:r w:rsidRPr="0037729E">
        <w:rPr>
          <w:vertAlign w:val="subscript"/>
        </w:rPr>
        <w:t>2</w:t>
      </w:r>
      <w:r w:rsidRPr="0037729E">
        <w:t>SO</w:t>
      </w:r>
      <w:r w:rsidRPr="0037729E">
        <w:rPr>
          <w:vertAlign w:val="subscript"/>
        </w:rPr>
        <w:t>4</w:t>
      </w:r>
      <w:r w:rsidRPr="0037729E">
        <w:t xml:space="preserve"> using NO</w:t>
      </w:r>
      <w:r w:rsidRPr="0037729E">
        <w:rPr>
          <w:vertAlign w:val="subscript"/>
        </w:rPr>
        <w:t>3</w:t>
      </w:r>
      <w:r w:rsidRPr="0037729E">
        <w:rPr>
          <w:vertAlign w:val="superscript"/>
        </w:rPr>
        <w:t>-</w:t>
      </w:r>
      <w:r w:rsidRPr="0037729E">
        <w:t xml:space="preserve"> as reagent ion. Total pressure = 1 bar. The yield of (CH</w:t>
      </w:r>
      <w:r w:rsidRPr="0037729E">
        <w:rPr>
          <w:vertAlign w:val="subscript"/>
        </w:rPr>
        <w:t>3</w:t>
      </w:r>
      <w:r w:rsidRPr="0037729E">
        <w:t>)</w:t>
      </w:r>
      <w:r w:rsidRPr="0037729E">
        <w:rPr>
          <w:vertAlign w:val="subscript"/>
        </w:rPr>
        <w:t>2</w:t>
      </w:r>
      <w:r w:rsidRPr="0037729E">
        <w:t>COO from the 2,3-dimethyl-but</w:t>
      </w:r>
      <w:r>
        <w:t>-2-</w:t>
      </w:r>
      <w:r w:rsidRPr="0037729E">
        <w:t>ene + O</w:t>
      </w:r>
      <w:r w:rsidRPr="0037729E">
        <w:rPr>
          <w:vertAlign w:val="subscript"/>
        </w:rPr>
        <w:t>3</w:t>
      </w:r>
      <w:r w:rsidRPr="0037729E">
        <w:t xml:space="preserve"> reaction was reported to be 0.45</w:t>
      </w:r>
      <w:r>
        <w:t xml:space="preserve"> </w:t>
      </w:r>
      <w:r w:rsidRPr="0037729E">
        <w:rPr>
          <w:iCs/>
        </w:rPr>
        <w:t>±</w:t>
      </w:r>
      <w:r>
        <w:rPr>
          <w:iCs/>
        </w:rPr>
        <w:t xml:space="preserve"> </w:t>
      </w:r>
      <w:r w:rsidRPr="0037729E">
        <w:rPr>
          <w:iCs/>
        </w:rPr>
        <w:t xml:space="preserve">0.20. </w:t>
      </w:r>
      <w:r w:rsidRPr="0037729E">
        <w:t xml:space="preserve"> The effect of [H</w:t>
      </w:r>
      <w:r w:rsidRPr="0037729E">
        <w:rPr>
          <w:vertAlign w:val="subscript"/>
        </w:rPr>
        <w:t>2</w:t>
      </w:r>
      <w:r w:rsidRPr="0037729E">
        <w:t>O] (RH = 2 – 50%) on yield of H</w:t>
      </w:r>
      <w:r w:rsidRPr="0037729E">
        <w:rPr>
          <w:vertAlign w:val="subscript"/>
        </w:rPr>
        <w:t>2</w:t>
      </w:r>
      <w:r w:rsidRPr="0037729E">
        <w:t>SO</w:t>
      </w:r>
      <w:r w:rsidRPr="0037729E">
        <w:rPr>
          <w:vertAlign w:val="subscript"/>
        </w:rPr>
        <w:t>4</w:t>
      </w:r>
      <w:r w:rsidRPr="0037729E">
        <w:t xml:space="preserve"> was very weak and only allowed determination of an upper limit rate coefficient ratio </w:t>
      </w:r>
      <w:r w:rsidRPr="0037729E">
        <w:rPr>
          <w:i/>
        </w:rPr>
        <w:t>k</w:t>
      </w:r>
      <w:r w:rsidR="00B95B42" w:rsidRPr="00B95B42">
        <w:rPr>
          <w:iCs/>
          <w:vertAlign w:val="subscript"/>
        </w:rPr>
        <w:t>1</w:t>
      </w:r>
      <w:r w:rsidRPr="0037729E">
        <w:t>/</w:t>
      </w:r>
      <w:r w:rsidRPr="0037729E">
        <w:rPr>
          <w:i/>
        </w:rPr>
        <w:t>k</w:t>
      </w:r>
      <w:r w:rsidRPr="0037729E">
        <w:t>((CH</w:t>
      </w:r>
      <w:r w:rsidRPr="0037729E">
        <w:rPr>
          <w:vertAlign w:val="subscript"/>
        </w:rPr>
        <w:t>3</w:t>
      </w:r>
      <w:r w:rsidRPr="0037729E">
        <w:t>)</w:t>
      </w:r>
      <w:r w:rsidRPr="0037729E">
        <w:rPr>
          <w:vertAlign w:val="subscript"/>
        </w:rPr>
        <w:t>2</w:t>
      </w:r>
      <w:r w:rsidRPr="0037729E">
        <w:t>COO + SO</w:t>
      </w:r>
      <w:r w:rsidRPr="0037729E">
        <w:rPr>
          <w:vertAlign w:val="subscript"/>
        </w:rPr>
        <w:t>2</w:t>
      </w:r>
      <w:r w:rsidRPr="0037729E">
        <w:t xml:space="preserve">) </w:t>
      </w:r>
      <w:r>
        <w:t>&lt;</w:t>
      </w:r>
      <w:r w:rsidRPr="0037729E">
        <w:t xml:space="preserve"> 4 </w:t>
      </w:r>
      <w:r>
        <w:t>×</w:t>
      </w:r>
      <w:r w:rsidRPr="0037729E">
        <w:t xml:space="preserve"> 10</w:t>
      </w:r>
      <w:r w:rsidRPr="0037729E">
        <w:rPr>
          <w:vertAlign w:val="superscript"/>
        </w:rPr>
        <w:t>-6</w:t>
      </w:r>
      <w:r w:rsidRPr="0037729E">
        <w:t xml:space="preserve"> at 293 K.  A distinct temperature dependence of H</w:t>
      </w:r>
      <w:r w:rsidRPr="0037729E">
        <w:rPr>
          <w:vertAlign w:val="subscript"/>
        </w:rPr>
        <w:t>2</w:t>
      </w:r>
      <w:r w:rsidRPr="0037729E">
        <w:t>SO</w:t>
      </w:r>
      <w:r w:rsidRPr="0037729E">
        <w:rPr>
          <w:vertAlign w:val="subscript"/>
        </w:rPr>
        <w:t>4</w:t>
      </w:r>
      <w:r w:rsidRPr="0037729E">
        <w:t xml:space="preserve"> formation was observed, attributed to the thermal decomposition of (CH</w:t>
      </w:r>
      <w:r w:rsidRPr="0037729E">
        <w:rPr>
          <w:vertAlign w:val="subscript"/>
        </w:rPr>
        <w:t>3</w:t>
      </w:r>
      <w:r w:rsidRPr="0037729E">
        <w:t>)</w:t>
      </w:r>
      <w:r w:rsidRPr="0037729E">
        <w:rPr>
          <w:vertAlign w:val="subscript"/>
        </w:rPr>
        <w:t>2</w:t>
      </w:r>
      <w:r w:rsidRPr="0037729E">
        <w:t>COO, which is its dominant loss reaction in this system. The cited</w:t>
      </w:r>
      <w:r>
        <w:t xml:space="preserve"> upper limit</w:t>
      </w:r>
      <w:r w:rsidRPr="0037729E">
        <w:t xml:space="preserve"> value</w:t>
      </w:r>
      <w:r>
        <w:t xml:space="preserve"> of </w:t>
      </w:r>
      <w:r w:rsidRPr="004A4C68">
        <w:rPr>
          <w:i/>
          <w:iCs/>
        </w:rPr>
        <w:t>k</w:t>
      </w:r>
      <w:r w:rsidR="00B95B42" w:rsidRPr="00B95B42">
        <w:rPr>
          <w:vertAlign w:val="subscript"/>
        </w:rPr>
        <w:t>1</w:t>
      </w:r>
      <w:r w:rsidRPr="0037729E">
        <w:t xml:space="preserve"> uses </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 4.23 × 10</w:t>
      </w:r>
      <w:r>
        <w:rPr>
          <w:vertAlign w:val="superscript"/>
        </w:rPr>
        <w:t>-13</w:t>
      </w:r>
      <w:r>
        <w:t xml:space="preserve"> exp(1760/</w:t>
      </w:r>
      <w:r w:rsidRPr="00B36F17">
        <w:rPr>
          <w:i/>
          <w:iCs/>
        </w:rPr>
        <w:t>T</w:t>
      </w:r>
      <w:r>
        <w:t>) cm</w:t>
      </w:r>
      <w:r w:rsidRPr="007F7877">
        <w:rPr>
          <w:vertAlign w:val="superscript"/>
        </w:rPr>
        <w:t>3</w:t>
      </w:r>
      <w:r>
        <w:t xml:space="preserve"> molecule</w:t>
      </w:r>
      <w:r w:rsidRPr="007F7877">
        <w:rPr>
          <w:vertAlign w:val="superscript"/>
        </w:rPr>
        <w:t>-1</w:t>
      </w:r>
      <w:r>
        <w:t xml:space="preserve"> s</w:t>
      </w:r>
      <w:r w:rsidRPr="007F7877">
        <w:rPr>
          <w:vertAlign w:val="superscript"/>
        </w:rPr>
        <w:t>-1</w:t>
      </w:r>
      <w:r>
        <w:t xml:space="preserve"> (IUPAC</w:t>
      </w:r>
      <w:r w:rsidR="00CA3835">
        <w:t>,</w:t>
      </w:r>
      <w:r>
        <w:t xml:space="preserve"> current recommendation).</w:t>
      </w:r>
    </w:p>
    <w:p w14:paraId="14597B42" w14:textId="580CD7E1" w:rsidR="004A4C68" w:rsidRPr="00D50BCE" w:rsidRDefault="004A4C68" w:rsidP="006C6D5A">
      <w:pPr>
        <w:numPr>
          <w:ilvl w:val="0"/>
          <w:numId w:val="3"/>
        </w:numPr>
        <w:tabs>
          <w:tab w:val="left" w:pos="-1440"/>
          <w:tab w:val="left" w:pos="-720"/>
        </w:tabs>
        <w:jc w:val="both"/>
        <w:rPr>
          <w:color w:val="auto"/>
        </w:rPr>
      </w:pPr>
      <w:r w:rsidRPr="0037729E">
        <w:t>The removal of SO</w:t>
      </w:r>
      <w:r w:rsidRPr="0037729E">
        <w:rPr>
          <w:vertAlign w:val="subscript"/>
        </w:rPr>
        <w:t>2</w:t>
      </w:r>
      <w:r w:rsidRPr="0037729E">
        <w:t xml:space="preserve"> </w:t>
      </w:r>
      <w:r>
        <w:t xml:space="preserve">during the </w:t>
      </w:r>
      <w:proofErr w:type="spellStart"/>
      <w:r>
        <w:t>ozonolysis</w:t>
      </w:r>
      <w:proofErr w:type="spellEnd"/>
      <w:r w:rsidRPr="0037729E">
        <w:t xml:space="preserve"> of</w:t>
      </w:r>
      <w:r>
        <w:t xml:space="preserve"> </w:t>
      </w:r>
      <w:r w:rsidRPr="0037729E">
        <w:t>2,3-dimethyl-but</w:t>
      </w:r>
      <w:r>
        <w:t>-2-</w:t>
      </w:r>
      <w:r w:rsidRPr="0037729E">
        <w:t xml:space="preserve">ene was measured as a function of humidity in EUPHORE simulation chamber, under atmospheric boundary layer conditions. </w:t>
      </w:r>
      <w:r>
        <w:t>Cyclohexane was also present to scavenge HO radicals.</w:t>
      </w:r>
      <w:r w:rsidRPr="0037729E">
        <w:t xml:space="preserve"> </w:t>
      </w:r>
      <w:r>
        <w:t xml:space="preserve">The </w:t>
      </w:r>
      <w:r w:rsidRPr="0037729E">
        <w:t>SO</w:t>
      </w:r>
      <w:r w:rsidRPr="0037729E">
        <w:rPr>
          <w:vertAlign w:val="subscript"/>
        </w:rPr>
        <w:t>2</w:t>
      </w:r>
      <w:r w:rsidRPr="0037729E">
        <w:t xml:space="preserve"> and O</w:t>
      </w:r>
      <w:r w:rsidRPr="0037729E">
        <w:rPr>
          <w:vertAlign w:val="subscript"/>
        </w:rPr>
        <w:t>3</w:t>
      </w:r>
      <w:r w:rsidRPr="0037729E">
        <w:t xml:space="preserve"> abundance were measured using conventional fluorescence and UV absorption monitors, respectively; </w:t>
      </w:r>
      <w:r>
        <w:t xml:space="preserve">the </w:t>
      </w:r>
      <w:r w:rsidRPr="0037729E">
        <w:t>alkene abundance was determined via FTIR spectroscopy. The yield of (CH</w:t>
      </w:r>
      <w:r w:rsidRPr="0037729E">
        <w:rPr>
          <w:vertAlign w:val="subscript"/>
        </w:rPr>
        <w:t>3</w:t>
      </w:r>
      <w:r w:rsidRPr="0037729E">
        <w:t>)</w:t>
      </w:r>
      <w:r w:rsidRPr="0037729E">
        <w:rPr>
          <w:vertAlign w:val="subscript"/>
        </w:rPr>
        <w:t>2</w:t>
      </w:r>
      <w:r w:rsidRPr="0037729E">
        <w:t>COO from the 2,3-dimethyl-but</w:t>
      </w:r>
      <w:r>
        <w:t>-2-</w:t>
      </w:r>
      <w:r w:rsidRPr="0037729E">
        <w:t xml:space="preserve">ene + </w:t>
      </w:r>
      <w:r w:rsidRPr="0037729E">
        <w:lastRenderedPageBreak/>
        <w:t>O</w:t>
      </w:r>
      <w:r w:rsidRPr="0037729E">
        <w:rPr>
          <w:vertAlign w:val="subscript"/>
        </w:rPr>
        <w:t>3</w:t>
      </w:r>
      <w:r w:rsidRPr="0037729E">
        <w:t xml:space="preserve"> reaction was reported to be 0.32</w:t>
      </w:r>
      <w:r>
        <w:t xml:space="preserve"> </w:t>
      </w:r>
      <w:r w:rsidRPr="0037729E">
        <w:rPr>
          <w:iCs/>
        </w:rPr>
        <w:t>±</w:t>
      </w:r>
      <w:r>
        <w:rPr>
          <w:iCs/>
        </w:rPr>
        <w:t xml:space="preserve"> </w:t>
      </w:r>
      <w:r w:rsidRPr="0037729E">
        <w:rPr>
          <w:iCs/>
        </w:rPr>
        <w:t xml:space="preserve">0.20. </w:t>
      </w:r>
      <w:r w:rsidRPr="0037729E">
        <w:t>The observed SO</w:t>
      </w:r>
      <w:r w:rsidRPr="0037729E">
        <w:rPr>
          <w:vertAlign w:val="subscript"/>
        </w:rPr>
        <w:t>2</w:t>
      </w:r>
      <w:r w:rsidRPr="0037729E">
        <w:t xml:space="preserve"> removal kinetics are consistent with the rate constant ratio: </w:t>
      </w:r>
      <w:r w:rsidRPr="0037729E">
        <w:rPr>
          <w:i/>
        </w:rPr>
        <w:t>k</w:t>
      </w:r>
      <w:r w:rsidR="00B95B42" w:rsidRPr="00B95B42">
        <w:rPr>
          <w:iCs/>
          <w:vertAlign w:val="subscript"/>
        </w:rPr>
        <w:t>1</w:t>
      </w:r>
      <w:r w:rsidRPr="0037729E">
        <w:t>/</w:t>
      </w:r>
      <w:r w:rsidRPr="0037729E">
        <w:rPr>
          <w:i/>
        </w:rPr>
        <w:t>k</w:t>
      </w:r>
      <w:r w:rsidRPr="0037729E">
        <w:t xml:space="preserve"> ((CH</w:t>
      </w:r>
      <w:r w:rsidRPr="0037729E">
        <w:rPr>
          <w:vertAlign w:val="subscript"/>
        </w:rPr>
        <w:t>3</w:t>
      </w:r>
      <w:r w:rsidRPr="0037729E">
        <w:t>)</w:t>
      </w:r>
      <w:r w:rsidRPr="0037729E">
        <w:rPr>
          <w:vertAlign w:val="subscript"/>
        </w:rPr>
        <w:t>2</w:t>
      </w:r>
      <w:r w:rsidRPr="0037729E">
        <w:t>COO+SO</w:t>
      </w:r>
      <w:r w:rsidRPr="0037729E">
        <w:rPr>
          <w:vertAlign w:val="subscript"/>
        </w:rPr>
        <w:t>2</w:t>
      </w:r>
      <w:r w:rsidRPr="0037729E">
        <w:t xml:space="preserve">) = (8.7 ± 2.5) </w:t>
      </w:r>
      <w:r>
        <w:t>×</w:t>
      </w:r>
      <w:r w:rsidRPr="0037729E">
        <w:t xml:space="preserve"> 10</w:t>
      </w:r>
      <w:r w:rsidRPr="0037729E">
        <w:rPr>
          <w:vertAlign w:val="superscript"/>
        </w:rPr>
        <w:t>-5</w:t>
      </w:r>
      <w:r w:rsidRPr="0037729E">
        <w:t xml:space="preserve">. </w:t>
      </w:r>
      <w:r w:rsidR="00B95B42">
        <w:rPr>
          <w:i/>
          <w:iCs/>
        </w:rPr>
        <w:t>k</w:t>
      </w:r>
      <w:r w:rsidR="00B95B42" w:rsidRPr="00B95B42">
        <w:rPr>
          <w:vertAlign w:val="subscript"/>
        </w:rPr>
        <w:t>1</w:t>
      </w:r>
      <w:r>
        <w:t xml:space="preserve"> is placed on an absolute basis using </w:t>
      </w:r>
      <w:r w:rsidRPr="006C2FD3">
        <w:rPr>
          <w:i/>
        </w:rPr>
        <w:t>k</w:t>
      </w:r>
      <w:r w:rsidRPr="00BA6938">
        <w:t>(</w:t>
      </w:r>
      <w:r w:rsidRPr="002138B2">
        <w:t>(CH</w:t>
      </w:r>
      <w:r w:rsidRPr="006C2FD3">
        <w:rPr>
          <w:vertAlign w:val="subscript"/>
        </w:rPr>
        <w:t>3</w:t>
      </w:r>
      <w:r w:rsidRPr="002138B2">
        <w:t>)</w:t>
      </w:r>
      <w:r w:rsidRPr="006C2FD3">
        <w:rPr>
          <w:vertAlign w:val="subscript"/>
        </w:rPr>
        <w:t>2</w:t>
      </w:r>
      <w:r>
        <w:t>COO</w:t>
      </w:r>
      <w:r w:rsidRPr="00BA6938">
        <w:t xml:space="preserve"> </w:t>
      </w:r>
      <w:r>
        <w:t>+</w:t>
      </w:r>
      <w:r w:rsidRPr="00BA6938">
        <w:t xml:space="preserve"> SO</w:t>
      </w:r>
      <w:r w:rsidRPr="006C2FD3">
        <w:rPr>
          <w:vertAlign w:val="subscript"/>
        </w:rPr>
        <w:t>2</w:t>
      </w:r>
      <w:r w:rsidRPr="00BA6938">
        <w:t>)</w:t>
      </w:r>
      <w:r>
        <w:t xml:space="preserve"> = 4.23 × 10</w:t>
      </w:r>
      <w:r>
        <w:rPr>
          <w:vertAlign w:val="superscript"/>
        </w:rPr>
        <w:t>-13</w:t>
      </w:r>
      <w:r>
        <w:t xml:space="preserve"> exp(1760/</w:t>
      </w:r>
      <w:r w:rsidRPr="00B36F17">
        <w:rPr>
          <w:i/>
          <w:iCs/>
        </w:rPr>
        <w:t>T</w:t>
      </w:r>
      <w:r>
        <w:t>)</w:t>
      </w:r>
      <w:r w:rsidRPr="00BF5DD6">
        <w:t xml:space="preserve"> </w:t>
      </w:r>
      <w:r>
        <w:t>cm</w:t>
      </w:r>
      <w:r w:rsidRPr="007F7877">
        <w:rPr>
          <w:vertAlign w:val="superscript"/>
        </w:rPr>
        <w:t>3</w:t>
      </w:r>
      <w:r>
        <w:t xml:space="preserve"> molecule</w:t>
      </w:r>
      <w:r w:rsidRPr="007F7877">
        <w:rPr>
          <w:vertAlign w:val="superscript"/>
        </w:rPr>
        <w:t>-1</w:t>
      </w:r>
      <w:r>
        <w:t xml:space="preserve"> s</w:t>
      </w:r>
      <w:r w:rsidRPr="007F7877">
        <w:rPr>
          <w:vertAlign w:val="superscript"/>
        </w:rPr>
        <w:t>-1</w:t>
      </w:r>
      <w:r>
        <w:t xml:space="preserve"> (IUPAC</w:t>
      </w:r>
      <w:r w:rsidR="00CA3835">
        <w:t>,</w:t>
      </w:r>
      <w:r>
        <w:t xml:space="preserve"> current recommendation).</w:t>
      </w:r>
    </w:p>
    <w:p w14:paraId="47DA47E0" w14:textId="77777777" w:rsidR="004A4C68" w:rsidRDefault="004A4C68" w:rsidP="001E3362">
      <w:pPr>
        <w:tabs>
          <w:tab w:val="left" w:pos="-1440"/>
          <w:tab w:val="left" w:pos="-720"/>
        </w:tabs>
        <w:ind w:left="360"/>
        <w:jc w:val="both"/>
      </w:pPr>
    </w:p>
    <w:p w14:paraId="1C043F5C" w14:textId="77777777" w:rsidR="00ED24D0" w:rsidRPr="001D3940" w:rsidRDefault="00ED24D0" w:rsidP="00ED24D0">
      <w:pPr>
        <w:pStyle w:val="Heading5"/>
        <w:tabs>
          <w:tab w:val="clear" w:pos="4867"/>
          <w:tab w:val="clear" w:pos="7982"/>
          <w:tab w:val="clear" w:pos="8395"/>
          <w:tab w:val="clear" w:pos="8812"/>
        </w:tabs>
        <w:rPr>
          <w:color w:val="auto"/>
        </w:rPr>
      </w:pPr>
      <w:r w:rsidRPr="001D3940">
        <w:rPr>
          <w:color w:val="auto"/>
        </w:rPr>
        <w:t>Preferred Values</w:t>
      </w:r>
    </w:p>
    <w:p w14:paraId="69FF5DDF"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056"/>
        <w:gridCol w:w="142"/>
        <w:gridCol w:w="3313"/>
        <w:gridCol w:w="19"/>
        <w:gridCol w:w="1992"/>
      </w:tblGrid>
      <w:tr w:rsidR="00ED24D0" w:rsidRPr="001D3940" w14:paraId="36306C83" w14:textId="77777777" w:rsidTr="00B071AB">
        <w:tc>
          <w:tcPr>
            <w:tcW w:w="3198" w:type="dxa"/>
            <w:gridSpan w:val="2"/>
            <w:tcBorders>
              <w:top w:val="single" w:sz="4" w:space="0" w:color="000000"/>
              <w:bottom w:val="single" w:sz="4" w:space="0" w:color="000000"/>
            </w:tcBorders>
            <w:shd w:val="clear" w:color="auto" w:fill="auto"/>
          </w:tcPr>
          <w:p w14:paraId="04C12FB9"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332" w:type="dxa"/>
            <w:gridSpan w:val="2"/>
            <w:tcBorders>
              <w:top w:val="single" w:sz="4" w:space="0" w:color="000000"/>
              <w:bottom w:val="single" w:sz="4" w:space="0" w:color="000000"/>
            </w:tcBorders>
            <w:shd w:val="clear" w:color="auto" w:fill="auto"/>
          </w:tcPr>
          <w:p w14:paraId="02507B6A"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649B559E"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2440F5A7" w14:textId="77777777" w:rsidTr="00B071AB">
        <w:tc>
          <w:tcPr>
            <w:tcW w:w="3198" w:type="dxa"/>
            <w:gridSpan w:val="2"/>
            <w:tcBorders>
              <w:top w:val="single" w:sz="4" w:space="0" w:color="000000"/>
            </w:tcBorders>
            <w:shd w:val="clear" w:color="auto" w:fill="auto"/>
          </w:tcPr>
          <w:p w14:paraId="7ABFAD76"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332" w:type="dxa"/>
            <w:gridSpan w:val="2"/>
            <w:tcBorders>
              <w:top w:val="single" w:sz="4" w:space="0" w:color="000000"/>
            </w:tcBorders>
            <w:shd w:val="clear" w:color="auto" w:fill="auto"/>
          </w:tcPr>
          <w:p w14:paraId="266E79D6"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7744C4DB"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338C574E" w14:textId="77777777" w:rsidTr="00B071AB">
        <w:tc>
          <w:tcPr>
            <w:tcW w:w="3198" w:type="dxa"/>
            <w:gridSpan w:val="2"/>
            <w:shd w:val="clear" w:color="auto" w:fill="auto"/>
          </w:tcPr>
          <w:p w14:paraId="6B1CD750" w14:textId="77777777" w:rsidR="00ED24D0" w:rsidRPr="00DC5F36" w:rsidRDefault="00ED24D0"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00B95B42" w:rsidRPr="00B95B42">
              <w:rPr>
                <w:iCs/>
                <w:color w:val="auto"/>
                <w:spacing w:val="-3"/>
                <w:szCs w:val="24"/>
                <w:vertAlign w:val="subscript"/>
              </w:rPr>
              <w:t>1</w:t>
            </w:r>
            <w:r w:rsidRPr="001D3940">
              <w:rPr>
                <w:color w:val="auto"/>
                <w:spacing w:val="-3"/>
                <w:szCs w:val="24"/>
              </w:rPr>
              <w:t xml:space="preserve">/ </w:t>
            </w:r>
            <w:r w:rsidR="00FD4F17">
              <w:rPr>
                <w:color w:val="auto"/>
                <w:spacing w:val="-3"/>
                <w:szCs w:val="24"/>
              </w:rPr>
              <w:t>cm</w:t>
            </w:r>
            <w:r w:rsidR="00FD4F17" w:rsidRPr="00FD4F17">
              <w:rPr>
                <w:color w:val="auto"/>
                <w:spacing w:val="-3"/>
                <w:szCs w:val="24"/>
                <w:vertAlign w:val="superscript"/>
              </w:rPr>
              <w:t>3</w:t>
            </w:r>
            <w:r w:rsidR="00FD4F17">
              <w:rPr>
                <w:color w:val="auto"/>
                <w:spacing w:val="-3"/>
                <w:szCs w:val="24"/>
              </w:rPr>
              <w:t xml:space="preserve"> molecule</w:t>
            </w:r>
            <w:r w:rsidR="00FD4F17" w:rsidRPr="00FD4F17">
              <w:rPr>
                <w:color w:val="auto"/>
                <w:spacing w:val="-3"/>
                <w:szCs w:val="24"/>
                <w:vertAlign w:val="superscript"/>
              </w:rPr>
              <w:t>-1</w:t>
            </w:r>
            <w:r w:rsidR="00FD4F17">
              <w:rPr>
                <w:color w:val="auto"/>
                <w:spacing w:val="-3"/>
                <w:szCs w:val="24"/>
              </w:rPr>
              <w:t xml:space="preserve"> </w:t>
            </w:r>
            <w:r w:rsidRPr="001D3940">
              <w:rPr>
                <w:color w:val="auto"/>
                <w:spacing w:val="-3"/>
                <w:szCs w:val="24"/>
              </w:rPr>
              <w:t>s</w:t>
            </w:r>
            <w:r w:rsidRPr="001D3940">
              <w:rPr>
                <w:color w:val="auto"/>
                <w:spacing w:val="-3"/>
                <w:szCs w:val="24"/>
                <w:vertAlign w:val="superscript"/>
              </w:rPr>
              <w:t>-1</w:t>
            </w:r>
          </w:p>
        </w:tc>
        <w:tc>
          <w:tcPr>
            <w:tcW w:w="3332" w:type="dxa"/>
            <w:gridSpan w:val="2"/>
            <w:shd w:val="clear" w:color="auto" w:fill="auto"/>
          </w:tcPr>
          <w:p w14:paraId="4C7D1B7C" w14:textId="77777777" w:rsidR="00ED24D0" w:rsidRPr="00A5312B" w:rsidRDefault="000B75BC" w:rsidP="00A5312B">
            <w:pPr>
              <w:tabs>
                <w:tab w:val="left" w:pos="0"/>
                <w:tab w:val="left" w:pos="444"/>
                <w:tab w:val="left" w:pos="720"/>
              </w:tabs>
              <w:spacing w:line="240" w:lineRule="atLeast"/>
              <w:jc w:val="center"/>
              <w:rPr>
                <w:color w:val="auto"/>
                <w:spacing w:val="-3"/>
                <w:szCs w:val="24"/>
              </w:rPr>
            </w:pPr>
            <w:r>
              <w:t xml:space="preserve">&lt; </w:t>
            </w:r>
            <w:r w:rsidR="00FC7D11">
              <w:t>1.</w:t>
            </w:r>
            <w:r w:rsidR="000E4DF3">
              <w:t>5</w:t>
            </w:r>
            <w:r w:rsidR="00FC7D11">
              <w:t xml:space="preserve"> ×</w:t>
            </w:r>
            <w:r w:rsidR="002D4F64">
              <w:t xml:space="preserve"> </w:t>
            </w:r>
            <w:r w:rsidR="00FC7D11">
              <w:t>10</w:t>
            </w:r>
            <w:r w:rsidR="00FC7D11">
              <w:rPr>
                <w:vertAlign w:val="superscript"/>
              </w:rPr>
              <w:t>-1</w:t>
            </w:r>
            <w:r>
              <w:rPr>
                <w:vertAlign w:val="superscript"/>
              </w:rPr>
              <w:t>6</w:t>
            </w:r>
            <w:r w:rsidR="00FC7D11">
              <w:t xml:space="preserve">  </w:t>
            </w:r>
          </w:p>
        </w:tc>
        <w:tc>
          <w:tcPr>
            <w:tcW w:w="1992" w:type="dxa"/>
            <w:shd w:val="clear" w:color="auto" w:fill="auto"/>
          </w:tcPr>
          <w:p w14:paraId="769454F6"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r w:rsidR="00B95B42" w:rsidRPr="001D3940" w14:paraId="56F713BF" w14:textId="77777777" w:rsidTr="00B071AB">
        <w:tc>
          <w:tcPr>
            <w:tcW w:w="3198" w:type="dxa"/>
            <w:gridSpan w:val="2"/>
            <w:shd w:val="clear" w:color="auto" w:fill="auto"/>
          </w:tcPr>
          <w:p w14:paraId="29FE2194" w14:textId="77777777" w:rsidR="00B95B42" w:rsidRPr="001D3940" w:rsidRDefault="00B95B42" w:rsidP="00B95B42">
            <w:pPr>
              <w:tabs>
                <w:tab w:val="left" w:pos="0"/>
                <w:tab w:val="left" w:pos="444"/>
                <w:tab w:val="left" w:pos="720"/>
              </w:tabs>
              <w:spacing w:line="240" w:lineRule="atLeast"/>
              <w:jc w:val="center"/>
              <w:rPr>
                <w:i/>
                <w:color w:val="auto"/>
                <w:spacing w:val="-3"/>
                <w:szCs w:val="24"/>
              </w:rPr>
            </w:pPr>
            <w:r>
              <w:rPr>
                <w:i/>
                <w:color w:val="auto"/>
                <w:spacing w:val="-3"/>
                <w:szCs w:val="24"/>
              </w:rPr>
              <w:t>k</w:t>
            </w:r>
            <w:r>
              <w:rPr>
                <w:iCs/>
                <w:color w:val="auto"/>
                <w:spacing w:val="-3"/>
                <w:szCs w:val="24"/>
                <w:vertAlign w:val="subscript"/>
              </w:rPr>
              <w:t>2</w:t>
            </w:r>
            <w:r w:rsidRPr="001D3940">
              <w:rPr>
                <w:color w:val="auto"/>
                <w:spacing w:val="-3"/>
                <w:szCs w:val="24"/>
              </w:rPr>
              <w:t xml:space="preserve">/ </w:t>
            </w:r>
            <w:r>
              <w:rPr>
                <w:color w:val="auto"/>
                <w:spacing w:val="-3"/>
                <w:szCs w:val="24"/>
              </w:rPr>
              <w:t>cm</w:t>
            </w:r>
            <w:r w:rsidRPr="00FD4F17">
              <w:rPr>
                <w:color w:val="auto"/>
                <w:spacing w:val="-3"/>
                <w:szCs w:val="24"/>
                <w:vertAlign w:val="superscript"/>
              </w:rPr>
              <w:t>3</w:t>
            </w:r>
            <w:r>
              <w:rPr>
                <w:color w:val="auto"/>
                <w:spacing w:val="-3"/>
                <w:szCs w:val="24"/>
              </w:rPr>
              <w:t xml:space="preserve"> molecule</w:t>
            </w:r>
            <w:r w:rsidRPr="00FD4F17">
              <w:rPr>
                <w:color w:val="auto"/>
                <w:spacing w:val="-3"/>
                <w:szCs w:val="24"/>
                <w:vertAlign w:val="superscript"/>
              </w:rPr>
              <w:t>-1</w:t>
            </w:r>
            <w:r>
              <w:rPr>
                <w:color w:val="auto"/>
                <w:spacing w:val="-3"/>
                <w:szCs w:val="24"/>
              </w:rPr>
              <w:t xml:space="preserve"> </w:t>
            </w:r>
            <w:r w:rsidRPr="001D3940">
              <w:rPr>
                <w:color w:val="auto"/>
                <w:spacing w:val="-3"/>
                <w:szCs w:val="24"/>
              </w:rPr>
              <w:t>s</w:t>
            </w:r>
            <w:r w:rsidRPr="001D3940">
              <w:rPr>
                <w:color w:val="auto"/>
                <w:spacing w:val="-3"/>
                <w:szCs w:val="24"/>
                <w:vertAlign w:val="superscript"/>
              </w:rPr>
              <w:t>-1</w:t>
            </w:r>
          </w:p>
        </w:tc>
        <w:tc>
          <w:tcPr>
            <w:tcW w:w="3332" w:type="dxa"/>
            <w:gridSpan w:val="2"/>
            <w:shd w:val="clear" w:color="auto" w:fill="auto"/>
          </w:tcPr>
          <w:p w14:paraId="155B073B" w14:textId="77777777" w:rsidR="00B95B42" w:rsidRDefault="00B95B42" w:rsidP="00B95B42">
            <w:pPr>
              <w:tabs>
                <w:tab w:val="left" w:pos="0"/>
                <w:tab w:val="left" w:pos="444"/>
                <w:tab w:val="left" w:pos="720"/>
              </w:tabs>
              <w:spacing w:line="240" w:lineRule="atLeast"/>
              <w:jc w:val="center"/>
            </w:pPr>
            <w:r>
              <w:t>&lt; 1.3 × 10</w:t>
            </w:r>
            <w:r>
              <w:rPr>
                <w:vertAlign w:val="superscript"/>
              </w:rPr>
              <w:t>-13</w:t>
            </w:r>
            <w:r>
              <w:t xml:space="preserve">  </w:t>
            </w:r>
          </w:p>
        </w:tc>
        <w:tc>
          <w:tcPr>
            <w:tcW w:w="1992" w:type="dxa"/>
            <w:shd w:val="clear" w:color="auto" w:fill="auto"/>
          </w:tcPr>
          <w:p w14:paraId="60311B74" w14:textId="77777777" w:rsidR="00B95B42" w:rsidRPr="001D3940" w:rsidRDefault="00B95B42" w:rsidP="00B95B42">
            <w:pPr>
              <w:tabs>
                <w:tab w:val="left" w:pos="0"/>
                <w:tab w:val="left" w:pos="444"/>
                <w:tab w:val="left" w:pos="720"/>
              </w:tabs>
              <w:spacing w:line="240" w:lineRule="atLeast"/>
              <w:jc w:val="center"/>
              <w:rPr>
                <w:color w:val="auto"/>
                <w:spacing w:val="-3"/>
                <w:szCs w:val="24"/>
              </w:rPr>
            </w:pPr>
            <w:r w:rsidRPr="001D3940">
              <w:rPr>
                <w:color w:val="auto"/>
                <w:spacing w:val="-3"/>
                <w:szCs w:val="24"/>
              </w:rPr>
              <w:t>298</w:t>
            </w:r>
          </w:p>
        </w:tc>
      </w:tr>
      <w:tr w:rsidR="00B95B42" w:rsidRPr="001D3940" w14:paraId="71D1B0DC" w14:textId="77777777" w:rsidTr="003964D0">
        <w:tc>
          <w:tcPr>
            <w:tcW w:w="3056" w:type="dxa"/>
            <w:tcBorders>
              <w:bottom w:val="single" w:sz="4" w:space="0" w:color="auto"/>
            </w:tcBorders>
            <w:shd w:val="clear" w:color="auto" w:fill="auto"/>
          </w:tcPr>
          <w:p w14:paraId="5FBD61B9" w14:textId="77777777" w:rsidR="00B95B42" w:rsidRPr="001D3940" w:rsidRDefault="00B95B42" w:rsidP="00B95B42">
            <w:pPr>
              <w:tabs>
                <w:tab w:val="left" w:pos="0"/>
                <w:tab w:val="left" w:pos="444"/>
                <w:tab w:val="left" w:pos="720"/>
              </w:tabs>
              <w:jc w:val="center"/>
              <w:rPr>
                <w:color w:val="auto"/>
                <w:spacing w:val="-3"/>
                <w:szCs w:val="24"/>
              </w:rPr>
            </w:pPr>
          </w:p>
        </w:tc>
        <w:tc>
          <w:tcPr>
            <w:tcW w:w="3455" w:type="dxa"/>
            <w:gridSpan w:val="2"/>
            <w:tcBorders>
              <w:bottom w:val="single" w:sz="4" w:space="0" w:color="auto"/>
            </w:tcBorders>
            <w:shd w:val="clear" w:color="auto" w:fill="auto"/>
          </w:tcPr>
          <w:p w14:paraId="7F5AE027" w14:textId="77777777" w:rsidR="00B95B42" w:rsidRPr="001D3940" w:rsidRDefault="00B95B42" w:rsidP="00B95B42">
            <w:pPr>
              <w:tabs>
                <w:tab w:val="left" w:pos="0"/>
                <w:tab w:val="left" w:pos="444"/>
                <w:tab w:val="left" w:pos="720"/>
              </w:tabs>
              <w:jc w:val="center"/>
              <w:rPr>
                <w:color w:val="auto"/>
                <w:spacing w:val="-3"/>
                <w:szCs w:val="24"/>
              </w:rPr>
            </w:pPr>
          </w:p>
        </w:tc>
        <w:tc>
          <w:tcPr>
            <w:tcW w:w="2011" w:type="dxa"/>
            <w:gridSpan w:val="2"/>
            <w:tcBorders>
              <w:bottom w:val="single" w:sz="4" w:space="0" w:color="auto"/>
            </w:tcBorders>
            <w:shd w:val="clear" w:color="auto" w:fill="auto"/>
          </w:tcPr>
          <w:p w14:paraId="5C56323A" w14:textId="77777777" w:rsidR="00B95B42" w:rsidRPr="001D3940" w:rsidRDefault="00B95B42" w:rsidP="00B95B42">
            <w:pPr>
              <w:tabs>
                <w:tab w:val="left" w:pos="0"/>
                <w:tab w:val="left" w:pos="444"/>
                <w:tab w:val="left" w:pos="720"/>
              </w:tabs>
              <w:jc w:val="center"/>
              <w:rPr>
                <w:color w:val="auto"/>
              </w:rPr>
            </w:pPr>
          </w:p>
        </w:tc>
      </w:tr>
    </w:tbl>
    <w:p w14:paraId="147AE74E" w14:textId="77777777" w:rsidR="0085481F" w:rsidRDefault="0085481F" w:rsidP="00A34B0D">
      <w:pPr>
        <w:tabs>
          <w:tab w:val="left" w:pos="-1440"/>
          <w:tab w:val="left" w:pos="-720"/>
          <w:tab w:val="left" w:pos="444"/>
        </w:tabs>
        <w:jc w:val="both"/>
        <w:rPr>
          <w:color w:val="auto"/>
        </w:rPr>
      </w:pPr>
    </w:p>
    <w:p w14:paraId="4A0846B8" w14:textId="77777777" w:rsidR="000B75BC" w:rsidRDefault="000B75BC" w:rsidP="00057B6C">
      <w:pPr>
        <w:tabs>
          <w:tab w:val="left" w:pos="-1440"/>
          <w:tab w:val="left" w:pos="-720"/>
          <w:tab w:val="left" w:pos="444"/>
        </w:tabs>
        <w:jc w:val="both"/>
        <w:rPr>
          <w:color w:val="auto"/>
        </w:rPr>
      </w:pPr>
    </w:p>
    <w:p w14:paraId="3A8DE134"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700551FE" w14:textId="77777777" w:rsidR="00D50BCE" w:rsidRDefault="00E425A5" w:rsidP="00D50BCE">
      <w:pPr>
        <w:tabs>
          <w:tab w:val="left" w:pos="-1440"/>
          <w:tab w:val="left" w:pos="-720"/>
          <w:tab w:val="left" w:pos="444"/>
        </w:tabs>
        <w:ind w:firstLine="444"/>
        <w:jc w:val="both"/>
      </w:pPr>
      <w:r w:rsidRPr="0037729E">
        <w:t>All studies point to a slow reaction of (CH</w:t>
      </w:r>
      <w:r w:rsidRPr="0037729E">
        <w:rPr>
          <w:vertAlign w:val="subscript"/>
        </w:rPr>
        <w:t>3</w:t>
      </w:r>
      <w:r w:rsidRPr="0037729E">
        <w:t>)</w:t>
      </w:r>
      <w:r w:rsidRPr="0037729E">
        <w:rPr>
          <w:vertAlign w:val="subscript"/>
        </w:rPr>
        <w:t>2</w:t>
      </w:r>
      <w:r w:rsidRPr="0037729E">
        <w:t>COO with H</w:t>
      </w:r>
      <w:r w:rsidRPr="0037729E">
        <w:rPr>
          <w:vertAlign w:val="subscript"/>
        </w:rPr>
        <w:t>2</w:t>
      </w:r>
      <w:r w:rsidRPr="0037729E">
        <w:t xml:space="preserve">O. The relative rate determinations from </w:t>
      </w:r>
      <w:proofErr w:type="spellStart"/>
      <w:r w:rsidRPr="0037729E">
        <w:t>ozonolysis</w:t>
      </w:r>
      <w:proofErr w:type="spellEnd"/>
      <w:r w:rsidRPr="0037729E">
        <w:t xml:space="preserve"> of 2,3-dimethyl-2-butene do not show much consistency, however.  The difficulty seems to lie in distinguishing the slow reaction with water from thermal decomposition and other pseudo</w:t>
      </w:r>
      <w:r w:rsidR="00AF7A27">
        <w:t>-</w:t>
      </w:r>
      <w:r w:rsidRPr="0037729E">
        <w:t>first</w:t>
      </w:r>
      <w:r w:rsidR="00AF7A27">
        <w:t xml:space="preserve"> </w:t>
      </w:r>
      <w:r w:rsidRPr="0037729E">
        <w:t>order loss processes, which have similar, system dependent rates. The direct kinetic study of Huang et al.</w:t>
      </w:r>
      <w:r>
        <w:t xml:space="preserve"> </w:t>
      </w:r>
      <w:r w:rsidRPr="0037729E">
        <w:t>(2015) offers the most definitive picture which shows no dependence of the pseudo</w:t>
      </w:r>
      <w:r>
        <w:t>-</w:t>
      </w:r>
      <w:r w:rsidRPr="0037729E">
        <w:t>first order decay constant on [H</w:t>
      </w:r>
      <w:r w:rsidRPr="0037729E">
        <w:rPr>
          <w:vertAlign w:val="subscript"/>
        </w:rPr>
        <w:t>2</w:t>
      </w:r>
      <w:r w:rsidRPr="0037729E">
        <w:t>O] over a wide range of conditions</w:t>
      </w:r>
      <w:r w:rsidR="00AF7A27">
        <w:t>,</w:t>
      </w:r>
      <w:r w:rsidRPr="0037729E">
        <w:t xml:space="preserve"> which precludes any significant reaction with either monomer or dimer. These data form the basis of the preferred </w:t>
      </w:r>
      <w:r>
        <w:t xml:space="preserve">upper limit </w:t>
      </w:r>
      <w:r w:rsidRPr="0037729E">
        <w:t>value</w:t>
      </w:r>
      <w:r w:rsidR="00B95B42">
        <w:t xml:space="preserve">s for </w:t>
      </w:r>
      <w:r w:rsidR="00B95B42" w:rsidRPr="00B95B42">
        <w:rPr>
          <w:i/>
          <w:iCs/>
        </w:rPr>
        <w:t>k</w:t>
      </w:r>
      <w:r w:rsidR="00B95B42" w:rsidRPr="00B95B42">
        <w:rPr>
          <w:vertAlign w:val="subscript"/>
        </w:rPr>
        <w:t>1</w:t>
      </w:r>
      <w:r w:rsidR="00B95B42">
        <w:t xml:space="preserve"> and </w:t>
      </w:r>
      <w:r w:rsidR="00B95B42" w:rsidRPr="00B95B42">
        <w:rPr>
          <w:i/>
          <w:iCs/>
        </w:rPr>
        <w:t>k</w:t>
      </w:r>
      <w:r w:rsidR="00B95B42" w:rsidRPr="00B95B42">
        <w:rPr>
          <w:vertAlign w:val="subscript"/>
        </w:rPr>
        <w:t>2</w:t>
      </w:r>
      <w:r>
        <w:t>.</w:t>
      </w:r>
      <w:r w:rsidR="0019689A">
        <w:t xml:space="preserve"> </w:t>
      </w:r>
    </w:p>
    <w:p w14:paraId="17276FC4" w14:textId="77777777" w:rsidR="00EB3BD8" w:rsidRDefault="00E425A5" w:rsidP="002D26FD">
      <w:pPr>
        <w:tabs>
          <w:tab w:val="left" w:pos="-1440"/>
          <w:tab w:val="left" w:pos="-720"/>
          <w:tab w:val="left" w:pos="444"/>
        </w:tabs>
        <w:ind w:firstLine="444"/>
        <w:jc w:val="both"/>
      </w:pPr>
      <w:r w:rsidRPr="0037729E">
        <w:t>Quantum chemical studies predict that (CH</w:t>
      </w:r>
      <w:r w:rsidRPr="0037729E">
        <w:rPr>
          <w:vertAlign w:val="subscript"/>
        </w:rPr>
        <w:t>3</w:t>
      </w:r>
      <w:r w:rsidRPr="0037729E">
        <w:t>)</w:t>
      </w:r>
      <w:r w:rsidRPr="0037729E">
        <w:rPr>
          <w:vertAlign w:val="subscript"/>
        </w:rPr>
        <w:t>2</w:t>
      </w:r>
      <w:r w:rsidRPr="0037729E">
        <w:t xml:space="preserve">COO </w:t>
      </w:r>
      <w:r>
        <w:t xml:space="preserve">is </w:t>
      </w:r>
      <w:r w:rsidRPr="0037729E">
        <w:t>significantly less reactive</w:t>
      </w:r>
      <w:r>
        <w:t xml:space="preserve"> with H</w:t>
      </w:r>
      <w:r w:rsidRPr="00E425A5">
        <w:rPr>
          <w:vertAlign w:val="subscript"/>
        </w:rPr>
        <w:t>2</w:t>
      </w:r>
      <w:r>
        <w:t>O</w:t>
      </w:r>
      <w:r w:rsidRPr="0037729E">
        <w:t xml:space="preserve"> than </w:t>
      </w:r>
      <w:r>
        <w:rPr>
          <w:i/>
        </w:rPr>
        <w:t>E</w:t>
      </w:r>
      <w:r w:rsidRPr="0037729E">
        <w:rPr>
          <w:i/>
        </w:rPr>
        <w:t>-</w:t>
      </w:r>
      <w:r w:rsidRPr="0037729E">
        <w:t>CH</w:t>
      </w:r>
      <w:r w:rsidRPr="0037729E">
        <w:rPr>
          <w:vertAlign w:val="subscript"/>
        </w:rPr>
        <w:t>3</w:t>
      </w:r>
      <w:r w:rsidRPr="0037729E">
        <w:t>CHOO</w:t>
      </w:r>
      <w:r>
        <w:t xml:space="preserve"> </w:t>
      </w:r>
      <w:r w:rsidRPr="0037729E">
        <w:t>(</w:t>
      </w:r>
      <w:proofErr w:type="spellStart"/>
      <w:r w:rsidRPr="0037729E">
        <w:t>Anglada</w:t>
      </w:r>
      <w:proofErr w:type="spellEnd"/>
      <w:r w:rsidRPr="0037729E">
        <w:t xml:space="preserve"> et al., 2011).</w:t>
      </w:r>
      <w:r>
        <w:t xml:space="preserve"> This is consistent with experimental observations, as reflected in the IUPAC recommended rate coefficients for the two species.</w:t>
      </w:r>
    </w:p>
    <w:p w14:paraId="5EF77AA8" w14:textId="77777777" w:rsidR="00945495" w:rsidRDefault="00945495" w:rsidP="00945495">
      <w:pPr>
        <w:tabs>
          <w:tab w:val="left" w:pos="-1440"/>
          <w:tab w:val="left" w:pos="-720"/>
          <w:tab w:val="left" w:pos="444"/>
        </w:tabs>
        <w:ind w:firstLine="444"/>
        <w:jc w:val="both"/>
      </w:pPr>
    </w:p>
    <w:p w14:paraId="572971AC" w14:textId="77777777" w:rsidR="00945495" w:rsidRDefault="00945495" w:rsidP="00945495">
      <w:pPr>
        <w:jc w:val="center"/>
        <w:rPr>
          <w:b/>
          <w:bCs/>
        </w:rPr>
      </w:pPr>
      <w:r>
        <w:rPr>
          <w:b/>
          <w:bCs/>
        </w:rPr>
        <w:t>References</w:t>
      </w:r>
    </w:p>
    <w:p w14:paraId="6BFAA9E0" w14:textId="77777777" w:rsidR="00925059" w:rsidRDefault="00925059" w:rsidP="00945495">
      <w:pPr>
        <w:jc w:val="center"/>
      </w:pPr>
    </w:p>
    <w:p w14:paraId="0A53E0C7" w14:textId="77777777" w:rsidR="000B6F6C" w:rsidRPr="0034676A" w:rsidRDefault="000B6F6C" w:rsidP="00F27A1C">
      <w:pPr>
        <w:ind w:left="289" w:hanging="289"/>
        <w:jc w:val="both"/>
      </w:pPr>
      <w:proofErr w:type="spellStart"/>
      <w:r w:rsidRPr="0034676A">
        <w:t>Anglada</w:t>
      </w:r>
      <w:proofErr w:type="spellEnd"/>
      <w:r w:rsidRPr="0034676A">
        <w:t>, J.M., Gonzalez, J.</w:t>
      </w:r>
      <w:r>
        <w:t>,</w:t>
      </w:r>
      <w:r w:rsidRPr="0034676A">
        <w:t xml:space="preserve"> and Torrent-</w:t>
      </w:r>
      <w:proofErr w:type="spellStart"/>
      <w:r w:rsidRPr="0034676A">
        <w:t>Sucarrat</w:t>
      </w:r>
      <w:proofErr w:type="spellEnd"/>
      <w:r w:rsidRPr="0034676A">
        <w:t>, M.: Phys.</w:t>
      </w:r>
      <w:r>
        <w:t xml:space="preserve"> </w:t>
      </w:r>
      <w:r w:rsidRPr="0034676A">
        <w:t>Chem.</w:t>
      </w:r>
      <w:r>
        <w:t xml:space="preserve"> </w:t>
      </w:r>
      <w:r w:rsidRPr="0034676A">
        <w:t>Chem.</w:t>
      </w:r>
      <w:r>
        <w:t xml:space="preserve"> </w:t>
      </w:r>
      <w:r w:rsidRPr="0034676A">
        <w:t>Phys., 13, 13034, 2011.</w:t>
      </w:r>
    </w:p>
    <w:p w14:paraId="4EE2E312" w14:textId="77777777" w:rsidR="00E425A5" w:rsidRPr="0037729E" w:rsidRDefault="00E425A5" w:rsidP="00F27A1C">
      <w:pPr>
        <w:ind w:left="289" w:hanging="289"/>
      </w:pPr>
      <w:r w:rsidRPr="0037729E">
        <w:t xml:space="preserve">Becker, K. H., </w:t>
      </w:r>
      <w:proofErr w:type="spellStart"/>
      <w:r w:rsidRPr="0037729E">
        <w:t>Brockmann</w:t>
      </w:r>
      <w:proofErr w:type="spellEnd"/>
      <w:r w:rsidRPr="0037729E">
        <w:t>, K. J. and Bechara,</w:t>
      </w:r>
      <w:r>
        <w:t xml:space="preserve"> J.:</w:t>
      </w:r>
      <w:r w:rsidRPr="0037729E">
        <w:t xml:space="preserve"> Atmos.</w:t>
      </w:r>
      <w:r>
        <w:t xml:space="preserve"> </w:t>
      </w:r>
      <w:r w:rsidRPr="0037729E">
        <w:t>Environ.</w:t>
      </w:r>
      <w:r>
        <w:t xml:space="preserve"> A</w:t>
      </w:r>
      <w:r w:rsidRPr="0037729E">
        <w:t xml:space="preserve">, </w:t>
      </w:r>
      <w:r>
        <w:t>27(1)</w:t>
      </w:r>
      <w:r w:rsidRPr="0037729E">
        <w:t>,</w:t>
      </w:r>
      <w:r>
        <w:t xml:space="preserve"> 57,</w:t>
      </w:r>
      <w:r w:rsidRPr="0037729E">
        <w:t xml:space="preserve"> 1993.</w:t>
      </w:r>
    </w:p>
    <w:p w14:paraId="712E0CE4" w14:textId="77777777" w:rsidR="00B32805" w:rsidRDefault="00B32805" w:rsidP="00F27A1C">
      <w:pPr>
        <w:tabs>
          <w:tab w:val="center" w:pos="4680"/>
        </w:tabs>
        <w:ind w:left="289" w:hanging="289"/>
        <w:jc w:val="both"/>
        <w:rPr>
          <w:color w:val="auto"/>
          <w:szCs w:val="24"/>
        </w:rPr>
      </w:pPr>
      <w:r w:rsidRPr="00C730A2">
        <w:rPr>
          <w:color w:val="auto"/>
          <w:szCs w:val="24"/>
        </w:rPr>
        <w:t>Berndt</w:t>
      </w:r>
      <w:r>
        <w:rPr>
          <w:color w:val="auto"/>
          <w:szCs w:val="24"/>
        </w:rPr>
        <w:t xml:space="preserve">, T., </w:t>
      </w:r>
      <w:r w:rsidRPr="00C730A2">
        <w:rPr>
          <w:color w:val="auto"/>
          <w:szCs w:val="24"/>
        </w:rPr>
        <w:t>Jokinen</w:t>
      </w:r>
      <w:r>
        <w:rPr>
          <w:color w:val="auto"/>
          <w:szCs w:val="24"/>
        </w:rPr>
        <w:t xml:space="preserve">, T., </w:t>
      </w:r>
      <w:proofErr w:type="spellStart"/>
      <w:r w:rsidRPr="00C730A2">
        <w:rPr>
          <w:color w:val="auto"/>
          <w:szCs w:val="24"/>
        </w:rPr>
        <w:t>Sipilä</w:t>
      </w:r>
      <w:proofErr w:type="spellEnd"/>
      <w:r>
        <w:rPr>
          <w:color w:val="auto"/>
          <w:szCs w:val="24"/>
        </w:rPr>
        <w:t xml:space="preserve">, M., </w:t>
      </w:r>
      <w:r w:rsidRPr="00C730A2">
        <w:rPr>
          <w:color w:val="auto"/>
          <w:szCs w:val="24"/>
        </w:rPr>
        <w:t>Mauldin</w:t>
      </w:r>
      <w:r>
        <w:rPr>
          <w:color w:val="auto"/>
          <w:szCs w:val="24"/>
        </w:rPr>
        <w:t xml:space="preserve">, R. L., </w:t>
      </w:r>
      <w:r w:rsidRPr="00C730A2">
        <w:rPr>
          <w:color w:val="auto"/>
          <w:szCs w:val="24"/>
        </w:rPr>
        <w:t>Herrmann</w:t>
      </w:r>
      <w:r>
        <w:rPr>
          <w:color w:val="auto"/>
          <w:szCs w:val="24"/>
        </w:rPr>
        <w:t>, H.</w:t>
      </w:r>
      <w:r w:rsidRPr="00C730A2">
        <w:rPr>
          <w:color w:val="auto"/>
          <w:szCs w:val="24"/>
        </w:rPr>
        <w:t xml:space="preserve">, </w:t>
      </w:r>
      <w:proofErr w:type="spellStart"/>
      <w:r w:rsidRPr="00C730A2">
        <w:rPr>
          <w:color w:val="auto"/>
          <w:szCs w:val="24"/>
        </w:rPr>
        <w:t>Stratmann</w:t>
      </w:r>
      <w:proofErr w:type="spellEnd"/>
      <w:r>
        <w:rPr>
          <w:color w:val="auto"/>
          <w:szCs w:val="24"/>
        </w:rPr>
        <w:t xml:space="preserve">, F., </w:t>
      </w:r>
      <w:proofErr w:type="spellStart"/>
      <w:r w:rsidRPr="00C730A2">
        <w:rPr>
          <w:color w:val="auto"/>
          <w:szCs w:val="24"/>
        </w:rPr>
        <w:t>Junninen</w:t>
      </w:r>
      <w:proofErr w:type="spellEnd"/>
      <w:r>
        <w:rPr>
          <w:color w:val="auto"/>
          <w:szCs w:val="24"/>
        </w:rPr>
        <w:t xml:space="preserve">, H. and </w:t>
      </w:r>
      <w:proofErr w:type="spellStart"/>
      <w:r w:rsidRPr="00C730A2">
        <w:rPr>
          <w:color w:val="auto"/>
          <w:szCs w:val="24"/>
        </w:rPr>
        <w:t>Kulmala</w:t>
      </w:r>
      <w:proofErr w:type="spellEnd"/>
      <w:r>
        <w:rPr>
          <w:color w:val="auto"/>
          <w:szCs w:val="24"/>
        </w:rPr>
        <w:t xml:space="preserve">, M.: </w:t>
      </w:r>
      <w:r w:rsidRPr="00CC6651">
        <w:rPr>
          <w:color w:val="auto"/>
          <w:szCs w:val="24"/>
        </w:rPr>
        <w:t>Atmos</w:t>
      </w:r>
      <w:r>
        <w:rPr>
          <w:color w:val="auto"/>
          <w:szCs w:val="24"/>
        </w:rPr>
        <w:t>.</w:t>
      </w:r>
      <w:r w:rsidRPr="00CC6651">
        <w:rPr>
          <w:color w:val="auto"/>
          <w:szCs w:val="24"/>
        </w:rPr>
        <w:t xml:space="preserve"> Environ</w:t>
      </w:r>
      <w:r>
        <w:rPr>
          <w:color w:val="auto"/>
          <w:szCs w:val="24"/>
        </w:rPr>
        <w:t xml:space="preserve">., </w:t>
      </w:r>
      <w:r w:rsidRPr="00CC6651">
        <w:rPr>
          <w:color w:val="auto"/>
          <w:szCs w:val="24"/>
        </w:rPr>
        <w:t>89</w:t>
      </w:r>
      <w:r>
        <w:rPr>
          <w:color w:val="auto"/>
          <w:szCs w:val="24"/>
        </w:rPr>
        <w:t>, 603, 2014.</w:t>
      </w:r>
    </w:p>
    <w:p w14:paraId="0EB1817D" w14:textId="77777777" w:rsidR="000B6F6C" w:rsidRDefault="000B6F6C" w:rsidP="00F27A1C">
      <w:pPr>
        <w:widowControl w:val="0"/>
        <w:ind w:left="289" w:hanging="289"/>
        <w:jc w:val="both"/>
        <w:rPr>
          <w:lang w:val="de-DE"/>
        </w:rPr>
      </w:pPr>
      <w:r>
        <w:t xml:space="preserve">Huang, H.-L., Chao, W. and Lin, J. J.-M.: Proc. Natl. Acad. Sci., 112(35), 10857, </w:t>
      </w:r>
      <w:proofErr w:type="spellStart"/>
      <w:r>
        <w:t>doi</w:t>
      </w:r>
      <w:proofErr w:type="spellEnd"/>
      <w:r>
        <w:t>: 10.1073/pnas.1513149112, 2015.</w:t>
      </w:r>
    </w:p>
    <w:p w14:paraId="4AC15939" w14:textId="77777777" w:rsidR="000B6F6C" w:rsidRDefault="000B6F6C" w:rsidP="00F27A1C">
      <w:pPr>
        <w:tabs>
          <w:tab w:val="center" w:pos="4680"/>
        </w:tabs>
        <w:ind w:left="289" w:hanging="289"/>
        <w:jc w:val="both"/>
        <w:rPr>
          <w:color w:val="auto"/>
          <w:szCs w:val="24"/>
        </w:rPr>
      </w:pPr>
      <w:r w:rsidRPr="00C730A2">
        <w:rPr>
          <w:color w:val="auto"/>
          <w:szCs w:val="24"/>
        </w:rPr>
        <w:t>Newland, M. J., Rickard, A. R.</w:t>
      </w:r>
      <w:r>
        <w:rPr>
          <w:color w:val="auto"/>
          <w:szCs w:val="24"/>
        </w:rPr>
        <w:t>,</w:t>
      </w:r>
      <w:r w:rsidRPr="00C730A2">
        <w:rPr>
          <w:color w:val="auto"/>
          <w:szCs w:val="24"/>
        </w:rPr>
        <w:t xml:space="preserve"> </w:t>
      </w:r>
      <w:proofErr w:type="spellStart"/>
      <w:r w:rsidRPr="00C730A2">
        <w:rPr>
          <w:color w:val="auto"/>
          <w:szCs w:val="24"/>
        </w:rPr>
        <w:t>Alam</w:t>
      </w:r>
      <w:proofErr w:type="spellEnd"/>
      <w:r w:rsidRPr="00C730A2">
        <w:rPr>
          <w:color w:val="auto"/>
          <w:szCs w:val="24"/>
        </w:rPr>
        <w:t>, M. S.</w:t>
      </w:r>
      <w:r>
        <w:rPr>
          <w:color w:val="auto"/>
          <w:szCs w:val="24"/>
        </w:rPr>
        <w:t>,</w:t>
      </w:r>
      <w:r w:rsidRPr="00C730A2">
        <w:rPr>
          <w:color w:val="auto"/>
          <w:szCs w:val="24"/>
        </w:rPr>
        <w:t xml:space="preserve"> Vereecken, L., Muñoz, A.</w:t>
      </w:r>
      <w:r>
        <w:rPr>
          <w:color w:val="auto"/>
          <w:szCs w:val="24"/>
        </w:rPr>
        <w:t>,</w:t>
      </w:r>
      <w:r w:rsidRPr="00C730A2">
        <w:rPr>
          <w:color w:val="auto"/>
          <w:szCs w:val="24"/>
        </w:rPr>
        <w:t xml:space="preserve"> </w:t>
      </w:r>
      <w:proofErr w:type="spellStart"/>
      <w:r w:rsidRPr="00C730A2">
        <w:rPr>
          <w:color w:val="auto"/>
          <w:szCs w:val="24"/>
        </w:rPr>
        <w:t>Rod́enas</w:t>
      </w:r>
      <w:proofErr w:type="spellEnd"/>
      <w:r w:rsidRPr="00C730A2">
        <w:rPr>
          <w:color w:val="auto"/>
          <w:szCs w:val="24"/>
        </w:rPr>
        <w:t>,</w:t>
      </w:r>
      <w:r>
        <w:rPr>
          <w:color w:val="auto"/>
          <w:szCs w:val="24"/>
        </w:rPr>
        <w:t xml:space="preserve"> </w:t>
      </w:r>
      <w:r w:rsidRPr="00C730A2">
        <w:rPr>
          <w:color w:val="auto"/>
          <w:szCs w:val="24"/>
        </w:rPr>
        <w:t>M.</w:t>
      </w:r>
      <w:r>
        <w:rPr>
          <w:color w:val="auto"/>
          <w:szCs w:val="24"/>
        </w:rPr>
        <w:t xml:space="preserve"> and</w:t>
      </w:r>
      <w:r w:rsidRPr="00C730A2">
        <w:rPr>
          <w:color w:val="auto"/>
          <w:szCs w:val="24"/>
        </w:rPr>
        <w:t xml:space="preserve"> </w:t>
      </w:r>
      <w:proofErr w:type="spellStart"/>
      <w:r w:rsidRPr="00C730A2">
        <w:rPr>
          <w:color w:val="auto"/>
          <w:szCs w:val="24"/>
        </w:rPr>
        <w:t>Bloss</w:t>
      </w:r>
      <w:proofErr w:type="spellEnd"/>
      <w:r w:rsidRPr="00C730A2">
        <w:rPr>
          <w:color w:val="auto"/>
          <w:szCs w:val="24"/>
        </w:rPr>
        <w:t>, W. J.</w:t>
      </w:r>
      <w:r>
        <w:rPr>
          <w:color w:val="auto"/>
          <w:szCs w:val="24"/>
        </w:rPr>
        <w:t>:</w:t>
      </w:r>
      <w:r w:rsidRPr="00C730A2">
        <w:rPr>
          <w:color w:val="auto"/>
          <w:szCs w:val="24"/>
        </w:rPr>
        <w:t xml:space="preserve"> Phys. Chem. Chem. Phys., 17, 4076</w:t>
      </w:r>
      <w:r>
        <w:rPr>
          <w:color w:val="auto"/>
          <w:szCs w:val="24"/>
        </w:rPr>
        <w:t xml:space="preserve">, </w:t>
      </w:r>
      <w:r w:rsidRPr="00C730A2">
        <w:rPr>
          <w:color w:val="auto"/>
          <w:szCs w:val="24"/>
        </w:rPr>
        <w:t>2015</w:t>
      </w:r>
      <w:r>
        <w:rPr>
          <w:color w:val="auto"/>
          <w:szCs w:val="24"/>
        </w:rPr>
        <w:t>.</w:t>
      </w:r>
    </w:p>
    <w:p w14:paraId="7688BE1D" w14:textId="77777777" w:rsidR="001668B9" w:rsidRDefault="001668B9" w:rsidP="00065255">
      <w:pPr>
        <w:tabs>
          <w:tab w:val="center" w:pos="4680"/>
        </w:tabs>
        <w:ind w:right="-63"/>
        <w:jc w:val="both"/>
        <w:rPr>
          <w:color w:val="auto"/>
          <w:szCs w:val="24"/>
        </w:rPr>
      </w:pPr>
    </w:p>
    <w:sectPr w:rsidR="001668B9">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0B55" w14:textId="77777777" w:rsidR="00D7505B" w:rsidRDefault="00D7505B">
      <w:r>
        <w:separator/>
      </w:r>
    </w:p>
  </w:endnote>
  <w:endnote w:type="continuationSeparator" w:id="0">
    <w:p w14:paraId="3F96188B" w14:textId="77777777" w:rsidR="00D7505B" w:rsidRDefault="00D7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3F9B" w14:textId="77777777" w:rsidR="00667891" w:rsidRDefault="00667891">
    <w:pPr>
      <w:pStyle w:val="Footer"/>
    </w:pPr>
    <w:r>
      <w:pict w14:anchorId="67E33D14">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13AB233A"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9B471B">
                  <w:rPr>
                    <w:rStyle w:val="PageNumber"/>
                    <w:noProof/>
                  </w:rPr>
                  <w:t>3</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83DA"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68A4" w14:textId="77777777" w:rsidR="00D7505B" w:rsidRDefault="00D7505B">
      <w:r>
        <w:separator/>
      </w:r>
    </w:p>
  </w:footnote>
  <w:footnote w:type="continuationSeparator" w:id="0">
    <w:p w14:paraId="3ECE8560" w14:textId="77777777" w:rsidR="00D7505B" w:rsidRDefault="00D7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5D46"/>
    <w:rsid w:val="00025707"/>
    <w:rsid w:val="00026185"/>
    <w:rsid w:val="00046F46"/>
    <w:rsid w:val="0004713D"/>
    <w:rsid w:val="00051639"/>
    <w:rsid w:val="00057B6C"/>
    <w:rsid w:val="00060F84"/>
    <w:rsid w:val="000623CE"/>
    <w:rsid w:val="00065255"/>
    <w:rsid w:val="000657B0"/>
    <w:rsid w:val="00067037"/>
    <w:rsid w:val="00073E26"/>
    <w:rsid w:val="00082371"/>
    <w:rsid w:val="00083A9E"/>
    <w:rsid w:val="00087559"/>
    <w:rsid w:val="000917D3"/>
    <w:rsid w:val="000A1BA3"/>
    <w:rsid w:val="000A5DB0"/>
    <w:rsid w:val="000A755B"/>
    <w:rsid w:val="000B1E91"/>
    <w:rsid w:val="000B4DB6"/>
    <w:rsid w:val="000B6F6C"/>
    <w:rsid w:val="000B75BC"/>
    <w:rsid w:val="000C6109"/>
    <w:rsid w:val="000D5266"/>
    <w:rsid w:val="000E4DF3"/>
    <w:rsid w:val="000F5647"/>
    <w:rsid w:val="00103BFE"/>
    <w:rsid w:val="00110DA2"/>
    <w:rsid w:val="00120939"/>
    <w:rsid w:val="00127FA2"/>
    <w:rsid w:val="00160DFA"/>
    <w:rsid w:val="00165737"/>
    <w:rsid w:val="001668B9"/>
    <w:rsid w:val="00171657"/>
    <w:rsid w:val="00180A4F"/>
    <w:rsid w:val="00187FB3"/>
    <w:rsid w:val="0019689A"/>
    <w:rsid w:val="00196AE4"/>
    <w:rsid w:val="001B11F8"/>
    <w:rsid w:val="001C756F"/>
    <w:rsid w:val="001E3362"/>
    <w:rsid w:val="001F4575"/>
    <w:rsid w:val="00217DE8"/>
    <w:rsid w:val="00230EA1"/>
    <w:rsid w:val="0024296A"/>
    <w:rsid w:val="00243A0E"/>
    <w:rsid w:val="00257C1E"/>
    <w:rsid w:val="00263004"/>
    <w:rsid w:val="00276CE1"/>
    <w:rsid w:val="0027752A"/>
    <w:rsid w:val="00286AEC"/>
    <w:rsid w:val="00296D05"/>
    <w:rsid w:val="002A3239"/>
    <w:rsid w:val="002B748A"/>
    <w:rsid w:val="002B76A5"/>
    <w:rsid w:val="002D26FD"/>
    <w:rsid w:val="002D4F64"/>
    <w:rsid w:val="002E6C15"/>
    <w:rsid w:val="002F7BF3"/>
    <w:rsid w:val="00303875"/>
    <w:rsid w:val="003560D4"/>
    <w:rsid w:val="003738B3"/>
    <w:rsid w:val="003738E0"/>
    <w:rsid w:val="00374307"/>
    <w:rsid w:val="00381D92"/>
    <w:rsid w:val="00393157"/>
    <w:rsid w:val="003964D0"/>
    <w:rsid w:val="003A56C9"/>
    <w:rsid w:val="003B2E4A"/>
    <w:rsid w:val="003B61AE"/>
    <w:rsid w:val="003C25D8"/>
    <w:rsid w:val="003D4AA5"/>
    <w:rsid w:val="003E0DEE"/>
    <w:rsid w:val="003F4552"/>
    <w:rsid w:val="00400E22"/>
    <w:rsid w:val="00421A61"/>
    <w:rsid w:val="004318EF"/>
    <w:rsid w:val="0044732A"/>
    <w:rsid w:val="0044764F"/>
    <w:rsid w:val="004478AE"/>
    <w:rsid w:val="00467310"/>
    <w:rsid w:val="004708CA"/>
    <w:rsid w:val="004A38CD"/>
    <w:rsid w:val="004A4C68"/>
    <w:rsid w:val="004B43B1"/>
    <w:rsid w:val="004E7933"/>
    <w:rsid w:val="004F00DE"/>
    <w:rsid w:val="00506C23"/>
    <w:rsid w:val="00510981"/>
    <w:rsid w:val="00525C80"/>
    <w:rsid w:val="0052659C"/>
    <w:rsid w:val="00543848"/>
    <w:rsid w:val="00544596"/>
    <w:rsid w:val="005532D9"/>
    <w:rsid w:val="00556248"/>
    <w:rsid w:val="00581FF4"/>
    <w:rsid w:val="00583EB1"/>
    <w:rsid w:val="0058473E"/>
    <w:rsid w:val="005954BC"/>
    <w:rsid w:val="00596CF6"/>
    <w:rsid w:val="00597285"/>
    <w:rsid w:val="005C5BC3"/>
    <w:rsid w:val="005D0E90"/>
    <w:rsid w:val="005D5FBD"/>
    <w:rsid w:val="005F30D4"/>
    <w:rsid w:val="005F7772"/>
    <w:rsid w:val="00600576"/>
    <w:rsid w:val="00605352"/>
    <w:rsid w:val="00613499"/>
    <w:rsid w:val="00617DFA"/>
    <w:rsid w:val="00620CB0"/>
    <w:rsid w:val="00624F30"/>
    <w:rsid w:val="00625295"/>
    <w:rsid w:val="0063486F"/>
    <w:rsid w:val="00637C26"/>
    <w:rsid w:val="00643BD9"/>
    <w:rsid w:val="00650C5B"/>
    <w:rsid w:val="006622D2"/>
    <w:rsid w:val="00667891"/>
    <w:rsid w:val="00686C86"/>
    <w:rsid w:val="00693EC7"/>
    <w:rsid w:val="006B6047"/>
    <w:rsid w:val="006C308C"/>
    <w:rsid w:val="006C6D5A"/>
    <w:rsid w:val="006F09CD"/>
    <w:rsid w:val="006F79CA"/>
    <w:rsid w:val="00702690"/>
    <w:rsid w:val="00705785"/>
    <w:rsid w:val="00710798"/>
    <w:rsid w:val="00713905"/>
    <w:rsid w:val="00722811"/>
    <w:rsid w:val="0073695A"/>
    <w:rsid w:val="00743D70"/>
    <w:rsid w:val="00754BAA"/>
    <w:rsid w:val="007565E5"/>
    <w:rsid w:val="00773C03"/>
    <w:rsid w:val="00773E84"/>
    <w:rsid w:val="00777B41"/>
    <w:rsid w:val="00787030"/>
    <w:rsid w:val="007A13AB"/>
    <w:rsid w:val="007A14B0"/>
    <w:rsid w:val="007A2AFA"/>
    <w:rsid w:val="007A33FE"/>
    <w:rsid w:val="007B01B5"/>
    <w:rsid w:val="007B0EF5"/>
    <w:rsid w:val="007B5080"/>
    <w:rsid w:val="007C17E7"/>
    <w:rsid w:val="007D12BB"/>
    <w:rsid w:val="007F4289"/>
    <w:rsid w:val="007F6A59"/>
    <w:rsid w:val="00837596"/>
    <w:rsid w:val="008401F1"/>
    <w:rsid w:val="00841802"/>
    <w:rsid w:val="0085481F"/>
    <w:rsid w:val="008605B7"/>
    <w:rsid w:val="008858B3"/>
    <w:rsid w:val="00887324"/>
    <w:rsid w:val="00891DF2"/>
    <w:rsid w:val="00894283"/>
    <w:rsid w:val="008B02B0"/>
    <w:rsid w:val="008B3D0F"/>
    <w:rsid w:val="008B68B1"/>
    <w:rsid w:val="008D1E2D"/>
    <w:rsid w:val="008E4057"/>
    <w:rsid w:val="008E758B"/>
    <w:rsid w:val="008F151A"/>
    <w:rsid w:val="00906C25"/>
    <w:rsid w:val="00925059"/>
    <w:rsid w:val="00937BE5"/>
    <w:rsid w:val="00940D3A"/>
    <w:rsid w:val="00945495"/>
    <w:rsid w:val="00953031"/>
    <w:rsid w:val="0095622F"/>
    <w:rsid w:val="0096098F"/>
    <w:rsid w:val="00963CC7"/>
    <w:rsid w:val="00976095"/>
    <w:rsid w:val="00983C0D"/>
    <w:rsid w:val="00994621"/>
    <w:rsid w:val="009B012C"/>
    <w:rsid w:val="009B1A6B"/>
    <w:rsid w:val="009B471B"/>
    <w:rsid w:val="009C4577"/>
    <w:rsid w:val="009C4C6F"/>
    <w:rsid w:val="009C550E"/>
    <w:rsid w:val="009E304E"/>
    <w:rsid w:val="009F3A27"/>
    <w:rsid w:val="009F4230"/>
    <w:rsid w:val="00A05D44"/>
    <w:rsid w:val="00A11E5E"/>
    <w:rsid w:val="00A12D67"/>
    <w:rsid w:val="00A147A6"/>
    <w:rsid w:val="00A23A24"/>
    <w:rsid w:val="00A339FB"/>
    <w:rsid w:val="00A34B0D"/>
    <w:rsid w:val="00A373FD"/>
    <w:rsid w:val="00A443AE"/>
    <w:rsid w:val="00A52A57"/>
    <w:rsid w:val="00A5312B"/>
    <w:rsid w:val="00A54391"/>
    <w:rsid w:val="00A606B7"/>
    <w:rsid w:val="00A74A04"/>
    <w:rsid w:val="00A74DF0"/>
    <w:rsid w:val="00A914B7"/>
    <w:rsid w:val="00AB6337"/>
    <w:rsid w:val="00AC42C9"/>
    <w:rsid w:val="00AC6019"/>
    <w:rsid w:val="00AC70C1"/>
    <w:rsid w:val="00AD3393"/>
    <w:rsid w:val="00AE45BB"/>
    <w:rsid w:val="00AE657F"/>
    <w:rsid w:val="00AF48D7"/>
    <w:rsid w:val="00AF66F9"/>
    <w:rsid w:val="00AF7A27"/>
    <w:rsid w:val="00B071AB"/>
    <w:rsid w:val="00B11AA9"/>
    <w:rsid w:val="00B13DC2"/>
    <w:rsid w:val="00B205D2"/>
    <w:rsid w:val="00B24156"/>
    <w:rsid w:val="00B31BF6"/>
    <w:rsid w:val="00B32805"/>
    <w:rsid w:val="00B36F17"/>
    <w:rsid w:val="00B4430F"/>
    <w:rsid w:val="00B50B73"/>
    <w:rsid w:val="00B57759"/>
    <w:rsid w:val="00B614F5"/>
    <w:rsid w:val="00B615E9"/>
    <w:rsid w:val="00B84FD2"/>
    <w:rsid w:val="00B94850"/>
    <w:rsid w:val="00B95B42"/>
    <w:rsid w:val="00BC50D6"/>
    <w:rsid w:val="00BD2342"/>
    <w:rsid w:val="00BF03C1"/>
    <w:rsid w:val="00BF04CF"/>
    <w:rsid w:val="00C000CE"/>
    <w:rsid w:val="00C018D6"/>
    <w:rsid w:val="00C1673C"/>
    <w:rsid w:val="00C22671"/>
    <w:rsid w:val="00C2431D"/>
    <w:rsid w:val="00C276C1"/>
    <w:rsid w:val="00C501D5"/>
    <w:rsid w:val="00C5353A"/>
    <w:rsid w:val="00C677D7"/>
    <w:rsid w:val="00C730A2"/>
    <w:rsid w:val="00C77266"/>
    <w:rsid w:val="00C90753"/>
    <w:rsid w:val="00C92608"/>
    <w:rsid w:val="00CA3835"/>
    <w:rsid w:val="00CA56DB"/>
    <w:rsid w:val="00CA5CE1"/>
    <w:rsid w:val="00CA6630"/>
    <w:rsid w:val="00CA69DA"/>
    <w:rsid w:val="00CC6651"/>
    <w:rsid w:val="00CF19DD"/>
    <w:rsid w:val="00D0777C"/>
    <w:rsid w:val="00D309AC"/>
    <w:rsid w:val="00D50BCE"/>
    <w:rsid w:val="00D60876"/>
    <w:rsid w:val="00D72280"/>
    <w:rsid w:val="00D7505B"/>
    <w:rsid w:val="00D753B9"/>
    <w:rsid w:val="00D76EA6"/>
    <w:rsid w:val="00D7735F"/>
    <w:rsid w:val="00D83945"/>
    <w:rsid w:val="00D851E9"/>
    <w:rsid w:val="00D85296"/>
    <w:rsid w:val="00D8581C"/>
    <w:rsid w:val="00DA43A2"/>
    <w:rsid w:val="00DA5A6E"/>
    <w:rsid w:val="00DA7A4E"/>
    <w:rsid w:val="00DC174E"/>
    <w:rsid w:val="00DC1D99"/>
    <w:rsid w:val="00DC219A"/>
    <w:rsid w:val="00DC5A70"/>
    <w:rsid w:val="00DC5F36"/>
    <w:rsid w:val="00DD1050"/>
    <w:rsid w:val="00DF0DBB"/>
    <w:rsid w:val="00DF5AAC"/>
    <w:rsid w:val="00E0745F"/>
    <w:rsid w:val="00E3651F"/>
    <w:rsid w:val="00E425A5"/>
    <w:rsid w:val="00E4656A"/>
    <w:rsid w:val="00E656B1"/>
    <w:rsid w:val="00E81FFB"/>
    <w:rsid w:val="00E82CEC"/>
    <w:rsid w:val="00EA5447"/>
    <w:rsid w:val="00EB3BD8"/>
    <w:rsid w:val="00EC3729"/>
    <w:rsid w:val="00ED24D0"/>
    <w:rsid w:val="00ED36D6"/>
    <w:rsid w:val="00ED5945"/>
    <w:rsid w:val="00EF55BF"/>
    <w:rsid w:val="00F16E4A"/>
    <w:rsid w:val="00F27A1C"/>
    <w:rsid w:val="00F340B1"/>
    <w:rsid w:val="00F51E40"/>
    <w:rsid w:val="00F649C4"/>
    <w:rsid w:val="00F724B2"/>
    <w:rsid w:val="00F80206"/>
    <w:rsid w:val="00F81A6C"/>
    <w:rsid w:val="00F81A75"/>
    <w:rsid w:val="00F828C5"/>
    <w:rsid w:val="00F920DF"/>
    <w:rsid w:val="00FB2707"/>
    <w:rsid w:val="00FB2B0A"/>
    <w:rsid w:val="00FB54ED"/>
    <w:rsid w:val="00FC7D11"/>
    <w:rsid w:val="00FD2AD1"/>
    <w:rsid w:val="00FD4F17"/>
    <w:rsid w:val="00FE162E"/>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75DBCD6"/>
  <w15:chartTrackingRefBased/>
  <w15:docId w15:val="{C033BFEE-5F6C-4866-A84A-D88457E0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styleId="SubtleEmphasis">
    <w:name w:val="Subtle Emphasis"/>
    <w:uiPriority w:val="19"/>
    <w:qFormat/>
    <w:rsid w:val="004673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8379-E1BB-4026-A130-38C3CC61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CGI_19</vt:lpstr>
    </vt:vector>
  </TitlesOfParts>
  <Company/>
  <LinksUpToDate>false</LinksUpToDate>
  <CharactersWithSpaces>5393</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CGI_19</dc:title>
  <dc:subject/>
  <dc:creator>Janet Arey</dc:creator>
  <cp:keywords/>
  <cp:lastModifiedBy>Mike</cp:lastModifiedBy>
  <cp:revision>2</cp:revision>
  <cp:lastPrinted>2020-05-11T09:32:00Z</cp:lastPrinted>
  <dcterms:created xsi:type="dcterms:W3CDTF">2020-05-11T09:32:00Z</dcterms:created>
  <dcterms:modified xsi:type="dcterms:W3CDTF">2020-05-11T09:32:00Z</dcterms:modified>
</cp:coreProperties>
</file>