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C31AA87" w14:textId="77777777" w:rsidR="00083A9E" w:rsidRPr="00643BD9" w:rsidRDefault="00083A9E" w:rsidP="00083A9E">
      <w:pPr>
        <w:pStyle w:val="BodyTextIndent"/>
        <w:ind w:left="0"/>
        <w:rPr>
          <w:szCs w:val="24"/>
        </w:rPr>
      </w:pPr>
      <w:r w:rsidRPr="00643BD9">
        <w:rPr>
          <w:b/>
          <w:szCs w:val="24"/>
        </w:rPr>
        <w:t xml:space="preserve">IUPAC Task Group on Atmospheric Chemical Kinetic Data Evaluation – Data Sheet </w:t>
      </w:r>
      <w:r w:rsidR="00643BD9" w:rsidRPr="00643BD9">
        <w:rPr>
          <w:b/>
          <w:szCs w:val="24"/>
        </w:rPr>
        <w:t>CGI</w:t>
      </w:r>
      <w:r w:rsidRPr="00643BD9">
        <w:rPr>
          <w:b/>
          <w:szCs w:val="24"/>
        </w:rPr>
        <w:t>_</w:t>
      </w:r>
      <w:r w:rsidR="00A914B7" w:rsidRPr="00643BD9">
        <w:rPr>
          <w:b/>
          <w:szCs w:val="24"/>
        </w:rPr>
        <w:t>1</w:t>
      </w:r>
      <w:r w:rsidR="00D8305E">
        <w:rPr>
          <w:b/>
          <w:szCs w:val="24"/>
        </w:rPr>
        <w:t>7</w:t>
      </w:r>
    </w:p>
    <w:p w14:paraId="1867E978" w14:textId="77777777" w:rsidR="00083A9E" w:rsidRDefault="00083A9E" w:rsidP="00083A9E">
      <w:pPr>
        <w:ind w:right="680"/>
        <w:jc w:val="both"/>
        <w:rPr>
          <w:szCs w:val="24"/>
        </w:rPr>
      </w:pPr>
      <w:r>
        <w:rPr>
          <w:szCs w:val="24"/>
        </w:rPr>
        <w:t>Datasheets can be downloaded for personal use only and must not be retransmitted or disseminated either electronically or in hardcopy without explicit written permission. The citation for this data sheet is: IUPAC Task Group on Atmospheric Chemical Kinetic Data Evaluation, (</w:t>
      </w:r>
      <w:hyperlink r:id="rId8" w:history="1">
        <w:r>
          <w:rPr>
            <w:rStyle w:val="Hyperlink"/>
            <w:szCs w:val="24"/>
          </w:rPr>
          <w:t>http://iupac.pole-ether.fr</w:t>
        </w:r>
      </w:hyperlink>
      <w:r>
        <w:rPr>
          <w:szCs w:val="24"/>
        </w:rPr>
        <w:t xml:space="preserve">). </w:t>
      </w:r>
    </w:p>
    <w:p w14:paraId="65744DC6" w14:textId="77777777" w:rsidR="00083A9E" w:rsidRDefault="00083A9E" w:rsidP="00083A9E">
      <w:pPr>
        <w:ind w:right="525"/>
        <w:jc w:val="both"/>
      </w:pPr>
      <w:r>
        <w:rPr>
          <w:szCs w:val="24"/>
        </w:rPr>
        <w:t xml:space="preserve">This datasheet last evaluated: </w:t>
      </w:r>
      <w:r w:rsidR="00D8305E">
        <w:rPr>
          <w:szCs w:val="24"/>
        </w:rPr>
        <w:t>February</w:t>
      </w:r>
      <w:r w:rsidR="00643BD9">
        <w:rPr>
          <w:szCs w:val="24"/>
        </w:rPr>
        <w:t xml:space="preserve"> 201</w:t>
      </w:r>
      <w:r w:rsidR="005532D9">
        <w:rPr>
          <w:szCs w:val="24"/>
        </w:rPr>
        <w:t>9</w:t>
      </w:r>
      <w:r>
        <w:rPr>
          <w:szCs w:val="24"/>
        </w:rPr>
        <w:t xml:space="preserve">; last change in preferred values: </w:t>
      </w:r>
      <w:r w:rsidR="00D8305E">
        <w:rPr>
          <w:szCs w:val="24"/>
        </w:rPr>
        <w:t>February</w:t>
      </w:r>
      <w:r w:rsidR="00643BD9">
        <w:rPr>
          <w:szCs w:val="24"/>
        </w:rPr>
        <w:t xml:space="preserve"> 201</w:t>
      </w:r>
      <w:r w:rsidR="005532D9">
        <w:rPr>
          <w:szCs w:val="24"/>
        </w:rPr>
        <w:t>9</w:t>
      </w:r>
    </w:p>
    <w:p w14:paraId="39D89313" w14:textId="77777777" w:rsidR="00667891" w:rsidRDefault="00667891">
      <w:pPr>
        <w:ind w:right="332"/>
      </w:pPr>
      <w:r>
        <w:pict w14:anchorId="1F93B4E5">
          <v:line id="_x0000_s1026" style="position:absolute;z-index:1" from="-67.05pt,11.4pt" to="528.2pt,11.4pt" strokeweight=".26mm">
            <v:stroke joinstyle="miter" endcap="square"/>
          </v:line>
        </w:pict>
      </w:r>
    </w:p>
    <w:p w14:paraId="448F1A31" w14:textId="77777777" w:rsidR="00667891" w:rsidRDefault="00667891">
      <w:pPr>
        <w:tabs>
          <w:tab w:val="center" w:pos="4680"/>
        </w:tabs>
        <w:jc w:val="center"/>
      </w:pPr>
    </w:p>
    <w:p w14:paraId="40EC9EEB" w14:textId="77777777" w:rsidR="00083A9E" w:rsidRPr="001D3940" w:rsidRDefault="008605B7" w:rsidP="00083A9E">
      <w:pPr>
        <w:tabs>
          <w:tab w:val="center" w:pos="4680"/>
        </w:tabs>
        <w:jc w:val="center"/>
        <w:rPr>
          <w:color w:val="auto"/>
        </w:rPr>
      </w:pPr>
      <w:r>
        <w:rPr>
          <w:b/>
        </w:rPr>
        <w:t>CH</w:t>
      </w:r>
      <w:r>
        <w:rPr>
          <w:b/>
          <w:vertAlign w:val="subscript"/>
        </w:rPr>
        <w:t>3</w:t>
      </w:r>
      <w:r>
        <w:rPr>
          <w:b/>
        </w:rPr>
        <w:t>CHOO (</w:t>
      </w:r>
      <w:r>
        <w:rPr>
          <w:b/>
          <w:i/>
        </w:rPr>
        <w:t>Z-</w:t>
      </w:r>
      <w:r w:rsidRPr="00064490">
        <w:rPr>
          <w:b/>
          <w:iCs/>
        </w:rPr>
        <w:t xml:space="preserve"> and </w:t>
      </w:r>
      <w:r>
        <w:rPr>
          <w:b/>
          <w:i/>
        </w:rPr>
        <w:t>E-</w:t>
      </w:r>
      <w:r>
        <w:rPr>
          <w:b/>
        </w:rPr>
        <w:t xml:space="preserve">) + </w:t>
      </w:r>
      <w:r w:rsidR="00D8305E">
        <w:rPr>
          <w:b/>
        </w:rPr>
        <w:t>N</w:t>
      </w:r>
      <w:r>
        <w:rPr>
          <w:b/>
        </w:rPr>
        <w:t>O</w:t>
      </w:r>
      <w:r>
        <w:rPr>
          <w:b/>
          <w:vertAlign w:val="subscript"/>
        </w:rPr>
        <w:t>2</w:t>
      </w:r>
      <w:r>
        <w:rPr>
          <w:b/>
        </w:rPr>
        <w:t xml:space="preserve"> </w:t>
      </w:r>
      <w:r>
        <w:rPr>
          <w:b/>
        </w:rPr>
        <w:sym w:font="Symbol" w:char="F0AE"/>
      </w:r>
      <w:r>
        <w:rPr>
          <w:b/>
        </w:rPr>
        <w:t xml:space="preserve"> </w:t>
      </w:r>
      <w:r w:rsidR="00D8305E">
        <w:rPr>
          <w:b/>
        </w:rPr>
        <w:t>products</w:t>
      </w:r>
    </w:p>
    <w:p w14:paraId="50998466" w14:textId="77777777" w:rsidR="00083A9E" w:rsidRPr="001D3940" w:rsidRDefault="00083A9E" w:rsidP="00083A9E">
      <w:pPr>
        <w:tabs>
          <w:tab w:val="left" w:pos="-1440"/>
          <w:tab w:val="left" w:pos="-720"/>
          <w:tab w:val="left" w:pos="288"/>
        </w:tabs>
        <w:jc w:val="both"/>
        <w:rPr>
          <w:color w:val="auto"/>
        </w:rPr>
      </w:pPr>
    </w:p>
    <w:p w14:paraId="2C790D87" w14:textId="77777777" w:rsidR="00083A9E" w:rsidRPr="001D3940" w:rsidRDefault="00083A9E" w:rsidP="00083A9E">
      <w:pPr>
        <w:pStyle w:val="Heading2"/>
        <w:rPr>
          <w:color w:val="auto"/>
        </w:rPr>
      </w:pPr>
      <w:r w:rsidRPr="001D3940">
        <w:rPr>
          <w:rFonts w:ascii="Times New Roman" w:hAnsi="Times New Roman" w:cs="Times New Roman"/>
          <w:color w:val="auto"/>
        </w:rPr>
        <w:t>Rate coefficient data</w:t>
      </w:r>
    </w:p>
    <w:p w14:paraId="3B08D108" w14:textId="77777777" w:rsidR="00083A9E" w:rsidRPr="001D3940" w:rsidRDefault="00083A9E" w:rsidP="00083A9E">
      <w:pPr>
        <w:tabs>
          <w:tab w:val="center" w:pos="4680"/>
        </w:tabs>
        <w:jc w:val="both"/>
        <w:rPr>
          <w:b/>
          <w:color w:val="auto"/>
        </w:rPr>
      </w:pPr>
    </w:p>
    <w:tbl>
      <w:tblPr>
        <w:tblW w:w="0" w:type="auto"/>
        <w:tblInd w:w="578" w:type="dxa"/>
        <w:tblLayout w:type="fixed"/>
        <w:tblLook w:val="0000" w:firstRow="0" w:lastRow="0" w:firstColumn="0" w:lastColumn="0" w:noHBand="0" w:noVBand="0"/>
      </w:tblPr>
      <w:tblGrid>
        <w:gridCol w:w="3074"/>
        <w:gridCol w:w="992"/>
        <w:gridCol w:w="142"/>
        <w:gridCol w:w="142"/>
        <w:gridCol w:w="2410"/>
        <w:gridCol w:w="141"/>
        <w:gridCol w:w="1985"/>
        <w:gridCol w:w="121"/>
      </w:tblGrid>
      <w:tr w:rsidR="00083A9E" w:rsidRPr="001D3940" w14:paraId="2E17814E" w14:textId="77777777" w:rsidTr="00D8581C">
        <w:trPr>
          <w:gridAfter w:val="1"/>
          <w:wAfter w:w="121" w:type="dxa"/>
        </w:trPr>
        <w:tc>
          <w:tcPr>
            <w:tcW w:w="3074" w:type="dxa"/>
            <w:tcBorders>
              <w:top w:val="double" w:sz="1" w:space="0" w:color="000000"/>
              <w:bottom w:val="single" w:sz="4" w:space="0" w:color="000000"/>
            </w:tcBorders>
            <w:shd w:val="clear" w:color="auto" w:fill="auto"/>
          </w:tcPr>
          <w:p w14:paraId="5C47E357" w14:textId="77777777" w:rsidR="00083A9E" w:rsidRPr="001D3940" w:rsidRDefault="00083A9E" w:rsidP="00722811">
            <w:pPr>
              <w:tabs>
                <w:tab w:val="center" w:pos="4680"/>
              </w:tabs>
              <w:snapToGrid w:val="0"/>
              <w:spacing w:before="120" w:after="120"/>
              <w:jc w:val="both"/>
              <w:rPr>
                <w:color w:val="auto"/>
                <w:sz w:val="20"/>
              </w:rPr>
            </w:pPr>
            <w:r w:rsidRPr="001D3940">
              <w:rPr>
                <w:i/>
                <w:color w:val="auto"/>
                <w:sz w:val="20"/>
              </w:rPr>
              <w:t>k</w:t>
            </w:r>
            <w:r w:rsidRPr="001D3940">
              <w:rPr>
                <w:color w:val="auto"/>
                <w:sz w:val="20"/>
              </w:rPr>
              <w:t>/cm</w:t>
            </w:r>
            <w:r w:rsidRPr="001D3940">
              <w:rPr>
                <w:color w:val="auto"/>
                <w:sz w:val="20"/>
                <w:vertAlign w:val="superscript"/>
              </w:rPr>
              <w:t>3</w:t>
            </w:r>
            <w:r w:rsidRPr="001D3940">
              <w:rPr>
                <w:color w:val="auto"/>
                <w:sz w:val="20"/>
              </w:rPr>
              <w:t xml:space="preserve"> molecule</w:t>
            </w:r>
            <w:r w:rsidRPr="001D3940">
              <w:rPr>
                <w:color w:val="auto"/>
                <w:sz w:val="20"/>
                <w:vertAlign w:val="superscript"/>
              </w:rPr>
              <w:t>-1</w:t>
            </w:r>
            <w:r w:rsidRPr="001D3940">
              <w:rPr>
                <w:color w:val="auto"/>
                <w:sz w:val="20"/>
              </w:rPr>
              <w:t xml:space="preserve"> s</w:t>
            </w:r>
            <w:r w:rsidRPr="001D3940">
              <w:rPr>
                <w:color w:val="auto"/>
                <w:sz w:val="20"/>
                <w:vertAlign w:val="superscript"/>
              </w:rPr>
              <w:t>-1</w:t>
            </w:r>
          </w:p>
        </w:tc>
        <w:tc>
          <w:tcPr>
            <w:tcW w:w="1276" w:type="dxa"/>
            <w:gridSpan w:val="3"/>
            <w:tcBorders>
              <w:top w:val="double" w:sz="1" w:space="0" w:color="000000"/>
              <w:bottom w:val="single" w:sz="4" w:space="0" w:color="000000"/>
            </w:tcBorders>
            <w:shd w:val="clear" w:color="auto" w:fill="auto"/>
          </w:tcPr>
          <w:p w14:paraId="4CE96CBA" w14:textId="77777777" w:rsidR="00083A9E" w:rsidRPr="001D3940" w:rsidRDefault="00083A9E" w:rsidP="00722811">
            <w:pPr>
              <w:tabs>
                <w:tab w:val="center" w:pos="4680"/>
              </w:tabs>
              <w:snapToGrid w:val="0"/>
              <w:spacing w:before="120" w:after="120"/>
              <w:jc w:val="both"/>
              <w:rPr>
                <w:color w:val="auto"/>
                <w:sz w:val="20"/>
              </w:rPr>
            </w:pPr>
            <w:r w:rsidRPr="001D3940">
              <w:rPr>
                <w:color w:val="auto"/>
                <w:sz w:val="20"/>
              </w:rPr>
              <w:t>Temp./K</w:t>
            </w:r>
          </w:p>
        </w:tc>
        <w:tc>
          <w:tcPr>
            <w:tcW w:w="2551" w:type="dxa"/>
            <w:gridSpan w:val="2"/>
            <w:tcBorders>
              <w:top w:val="double" w:sz="1" w:space="0" w:color="000000"/>
              <w:bottom w:val="single" w:sz="4" w:space="0" w:color="000000"/>
            </w:tcBorders>
            <w:shd w:val="clear" w:color="auto" w:fill="auto"/>
          </w:tcPr>
          <w:p w14:paraId="31FCF988" w14:textId="77777777" w:rsidR="00083A9E" w:rsidRPr="001D3940" w:rsidRDefault="00083A9E" w:rsidP="00722811">
            <w:pPr>
              <w:tabs>
                <w:tab w:val="center" w:pos="4680"/>
              </w:tabs>
              <w:snapToGrid w:val="0"/>
              <w:spacing w:before="120" w:after="120"/>
              <w:jc w:val="both"/>
              <w:rPr>
                <w:color w:val="auto"/>
                <w:sz w:val="20"/>
              </w:rPr>
            </w:pPr>
            <w:r w:rsidRPr="001D3940">
              <w:rPr>
                <w:color w:val="auto"/>
                <w:sz w:val="20"/>
              </w:rPr>
              <w:t>Reference</w:t>
            </w:r>
          </w:p>
        </w:tc>
        <w:tc>
          <w:tcPr>
            <w:tcW w:w="1985" w:type="dxa"/>
            <w:tcBorders>
              <w:top w:val="double" w:sz="1" w:space="0" w:color="000000"/>
              <w:bottom w:val="single" w:sz="4" w:space="0" w:color="000000"/>
            </w:tcBorders>
            <w:shd w:val="clear" w:color="auto" w:fill="auto"/>
          </w:tcPr>
          <w:p w14:paraId="50FDA7B4" w14:textId="77777777" w:rsidR="00083A9E" w:rsidRPr="001D3940" w:rsidRDefault="00083A9E" w:rsidP="00D8581C">
            <w:pPr>
              <w:tabs>
                <w:tab w:val="center" w:pos="4680"/>
              </w:tabs>
              <w:snapToGrid w:val="0"/>
              <w:spacing w:before="120" w:after="120"/>
              <w:ind w:left="-108"/>
              <w:jc w:val="both"/>
              <w:rPr>
                <w:color w:val="auto"/>
              </w:rPr>
            </w:pPr>
            <w:r w:rsidRPr="001D3940">
              <w:rPr>
                <w:color w:val="auto"/>
                <w:sz w:val="20"/>
              </w:rPr>
              <w:t>Technique/Comments</w:t>
            </w:r>
          </w:p>
        </w:tc>
      </w:tr>
      <w:tr w:rsidR="00083A9E" w:rsidRPr="00CA56DB" w14:paraId="2949DCCB" w14:textId="77777777" w:rsidTr="00D8581C">
        <w:trPr>
          <w:gridAfter w:val="1"/>
          <w:wAfter w:w="121" w:type="dxa"/>
        </w:trPr>
        <w:tc>
          <w:tcPr>
            <w:tcW w:w="3074" w:type="dxa"/>
            <w:tcBorders>
              <w:top w:val="single" w:sz="4" w:space="0" w:color="000000"/>
            </w:tcBorders>
            <w:shd w:val="clear" w:color="auto" w:fill="auto"/>
          </w:tcPr>
          <w:p w14:paraId="56C849CD" w14:textId="77777777" w:rsidR="00083A9E" w:rsidRPr="00713905" w:rsidRDefault="00083A9E" w:rsidP="00713905">
            <w:pPr>
              <w:spacing w:before="120"/>
              <w:rPr>
                <w:i/>
                <w:sz w:val="20"/>
              </w:rPr>
            </w:pPr>
            <w:r w:rsidRPr="00713905">
              <w:rPr>
                <w:i/>
                <w:sz w:val="20"/>
              </w:rPr>
              <w:t>Absolute Rate Coefficients</w:t>
            </w:r>
          </w:p>
        </w:tc>
        <w:tc>
          <w:tcPr>
            <w:tcW w:w="992" w:type="dxa"/>
            <w:tcBorders>
              <w:top w:val="single" w:sz="4" w:space="0" w:color="000000"/>
            </w:tcBorders>
            <w:shd w:val="clear" w:color="auto" w:fill="auto"/>
          </w:tcPr>
          <w:p w14:paraId="5CC42DB7" w14:textId="77777777" w:rsidR="00083A9E" w:rsidRPr="00CA56DB" w:rsidRDefault="00083A9E" w:rsidP="00722811">
            <w:pPr>
              <w:tabs>
                <w:tab w:val="center" w:pos="4680"/>
              </w:tabs>
              <w:snapToGrid w:val="0"/>
              <w:spacing w:before="120"/>
              <w:jc w:val="both"/>
              <w:rPr>
                <w:color w:val="auto"/>
                <w:sz w:val="20"/>
              </w:rPr>
            </w:pPr>
          </w:p>
        </w:tc>
        <w:tc>
          <w:tcPr>
            <w:tcW w:w="2835" w:type="dxa"/>
            <w:gridSpan w:val="4"/>
            <w:tcBorders>
              <w:top w:val="single" w:sz="4" w:space="0" w:color="000000"/>
            </w:tcBorders>
            <w:shd w:val="clear" w:color="auto" w:fill="auto"/>
          </w:tcPr>
          <w:p w14:paraId="6D1AA310" w14:textId="77777777" w:rsidR="00083A9E" w:rsidRPr="00CA56DB" w:rsidRDefault="00083A9E" w:rsidP="00722811">
            <w:pPr>
              <w:tabs>
                <w:tab w:val="center" w:pos="4680"/>
              </w:tabs>
              <w:snapToGrid w:val="0"/>
              <w:spacing w:before="120"/>
              <w:jc w:val="both"/>
              <w:rPr>
                <w:color w:val="auto"/>
                <w:sz w:val="20"/>
              </w:rPr>
            </w:pPr>
          </w:p>
        </w:tc>
        <w:tc>
          <w:tcPr>
            <w:tcW w:w="1985" w:type="dxa"/>
            <w:tcBorders>
              <w:top w:val="single" w:sz="4" w:space="0" w:color="000000"/>
            </w:tcBorders>
            <w:shd w:val="clear" w:color="auto" w:fill="auto"/>
          </w:tcPr>
          <w:p w14:paraId="31EE97FF" w14:textId="77777777" w:rsidR="00083A9E" w:rsidRPr="00CA56DB" w:rsidRDefault="00083A9E" w:rsidP="00722811">
            <w:pPr>
              <w:tabs>
                <w:tab w:val="center" w:pos="4680"/>
              </w:tabs>
              <w:snapToGrid w:val="0"/>
              <w:spacing w:before="120"/>
              <w:jc w:val="both"/>
              <w:rPr>
                <w:color w:val="auto"/>
                <w:sz w:val="20"/>
              </w:rPr>
            </w:pPr>
          </w:p>
        </w:tc>
      </w:tr>
      <w:tr w:rsidR="008B02B0" w:rsidRPr="001D3940" w14:paraId="78595349" w14:textId="77777777" w:rsidTr="00D8581C">
        <w:tc>
          <w:tcPr>
            <w:tcW w:w="3074" w:type="dxa"/>
            <w:shd w:val="clear" w:color="auto" w:fill="auto"/>
          </w:tcPr>
          <w:p w14:paraId="11A81258" w14:textId="77777777" w:rsidR="008B02B0" w:rsidRPr="008B02B0" w:rsidRDefault="008B02B0" w:rsidP="00166667">
            <w:pPr>
              <w:overflowPunct w:val="0"/>
              <w:autoSpaceDE w:val="0"/>
              <w:autoSpaceDN w:val="0"/>
              <w:adjustRightInd w:val="0"/>
              <w:jc w:val="both"/>
              <w:rPr>
                <w:iCs/>
                <w:sz w:val="20"/>
                <w:lang w:eastAsia="en-US"/>
              </w:rPr>
            </w:pPr>
            <w:r w:rsidRPr="00CA56DB">
              <w:rPr>
                <w:sz w:val="20"/>
              </w:rPr>
              <w:t>(</w:t>
            </w:r>
            <w:r>
              <w:rPr>
                <w:sz w:val="20"/>
              </w:rPr>
              <w:t>2</w:t>
            </w:r>
            <w:r w:rsidRPr="00CA56DB">
              <w:rPr>
                <w:sz w:val="20"/>
              </w:rPr>
              <w:t xml:space="preserve"> ± </w:t>
            </w:r>
            <w:r w:rsidR="00166667">
              <w:rPr>
                <w:sz w:val="20"/>
              </w:rPr>
              <w:t>1</w:t>
            </w:r>
            <w:r w:rsidRPr="00CA56DB">
              <w:rPr>
                <w:sz w:val="20"/>
              </w:rPr>
              <w:t xml:space="preserve">) </w:t>
            </w:r>
            <w:r w:rsidRPr="00CA56DB">
              <w:rPr>
                <w:rFonts w:ascii="Symbol" w:eastAsia="Symbol" w:hAnsi="Symbol" w:cs="Symbol"/>
                <w:sz w:val="20"/>
              </w:rPr>
              <w:t></w:t>
            </w:r>
            <w:r w:rsidRPr="00CA56DB">
              <w:rPr>
                <w:sz w:val="20"/>
              </w:rPr>
              <w:t xml:space="preserve"> 10</w:t>
            </w:r>
            <w:r w:rsidRPr="00CA56DB">
              <w:rPr>
                <w:sz w:val="20"/>
                <w:vertAlign w:val="superscript"/>
              </w:rPr>
              <w:t>-1</w:t>
            </w:r>
            <w:r w:rsidR="00C20F3E">
              <w:rPr>
                <w:sz w:val="20"/>
                <w:vertAlign w:val="superscript"/>
              </w:rPr>
              <w:t>2</w:t>
            </w:r>
          </w:p>
        </w:tc>
        <w:tc>
          <w:tcPr>
            <w:tcW w:w="1134" w:type="dxa"/>
            <w:gridSpan w:val="2"/>
            <w:shd w:val="clear" w:color="auto" w:fill="auto"/>
          </w:tcPr>
          <w:p w14:paraId="77D46F17" w14:textId="77777777" w:rsidR="008B02B0" w:rsidRPr="00CA56DB" w:rsidRDefault="008B02B0" w:rsidP="00AC70C1">
            <w:pPr>
              <w:overflowPunct w:val="0"/>
              <w:autoSpaceDE w:val="0"/>
              <w:autoSpaceDN w:val="0"/>
              <w:adjustRightInd w:val="0"/>
              <w:rPr>
                <w:sz w:val="20"/>
                <w:lang w:eastAsia="en-US"/>
              </w:rPr>
            </w:pPr>
            <w:r w:rsidRPr="00CA56DB">
              <w:rPr>
                <w:sz w:val="20"/>
              </w:rPr>
              <w:t>298</w:t>
            </w:r>
          </w:p>
        </w:tc>
        <w:tc>
          <w:tcPr>
            <w:tcW w:w="2552" w:type="dxa"/>
            <w:gridSpan w:val="2"/>
            <w:shd w:val="clear" w:color="auto" w:fill="auto"/>
          </w:tcPr>
          <w:p w14:paraId="2BB6BD3E" w14:textId="77777777" w:rsidR="008B02B0" w:rsidRDefault="008B02B0" w:rsidP="008B02B0">
            <w:pPr>
              <w:overflowPunct w:val="0"/>
              <w:autoSpaceDE w:val="0"/>
              <w:autoSpaceDN w:val="0"/>
              <w:adjustRightInd w:val="0"/>
              <w:ind w:right="-612"/>
              <w:rPr>
                <w:sz w:val="20"/>
                <w:szCs w:val="24"/>
                <w:lang w:eastAsia="en-US"/>
              </w:rPr>
            </w:pPr>
            <w:proofErr w:type="spellStart"/>
            <w:r>
              <w:rPr>
                <w:sz w:val="20"/>
              </w:rPr>
              <w:t>Taatjes</w:t>
            </w:r>
            <w:proofErr w:type="spellEnd"/>
            <w:r>
              <w:rPr>
                <w:sz w:val="20"/>
              </w:rPr>
              <w:t xml:space="preserve"> et al., 2013</w:t>
            </w:r>
          </w:p>
        </w:tc>
        <w:tc>
          <w:tcPr>
            <w:tcW w:w="2247" w:type="dxa"/>
            <w:gridSpan w:val="3"/>
            <w:shd w:val="clear" w:color="auto" w:fill="auto"/>
          </w:tcPr>
          <w:p w14:paraId="1C86BEFB" w14:textId="77777777" w:rsidR="008B02B0" w:rsidRDefault="008B02B0" w:rsidP="008B02B0">
            <w:pPr>
              <w:overflowPunct w:val="0"/>
              <w:autoSpaceDE w:val="0"/>
              <w:autoSpaceDN w:val="0"/>
              <w:adjustRightInd w:val="0"/>
              <w:ind w:right="-612"/>
              <w:jc w:val="both"/>
              <w:rPr>
                <w:sz w:val="20"/>
                <w:szCs w:val="24"/>
                <w:lang w:eastAsia="en-US"/>
              </w:rPr>
            </w:pPr>
            <w:r>
              <w:rPr>
                <w:sz w:val="20"/>
              </w:rPr>
              <w:t>PLP-PIMS (a)</w:t>
            </w:r>
          </w:p>
        </w:tc>
      </w:tr>
      <w:tr w:rsidR="00166667" w:rsidRPr="001D3940" w14:paraId="7CE5D8DF" w14:textId="77777777" w:rsidTr="00D8581C">
        <w:tc>
          <w:tcPr>
            <w:tcW w:w="3074" w:type="dxa"/>
            <w:shd w:val="clear" w:color="auto" w:fill="auto"/>
          </w:tcPr>
          <w:p w14:paraId="15DD08E4" w14:textId="77777777" w:rsidR="00166667" w:rsidRPr="008B02B0" w:rsidRDefault="00166667" w:rsidP="00137720">
            <w:pPr>
              <w:overflowPunct w:val="0"/>
              <w:autoSpaceDE w:val="0"/>
              <w:autoSpaceDN w:val="0"/>
              <w:adjustRightInd w:val="0"/>
              <w:jc w:val="both"/>
              <w:rPr>
                <w:iCs/>
                <w:sz w:val="20"/>
                <w:lang w:eastAsia="en-US"/>
              </w:rPr>
            </w:pPr>
            <w:r w:rsidRPr="00A23A24">
              <w:rPr>
                <w:i/>
                <w:sz w:val="20"/>
              </w:rPr>
              <w:t>k</w:t>
            </w:r>
            <w:r w:rsidRPr="00A23A24">
              <w:rPr>
                <w:sz w:val="20"/>
                <w:vertAlign w:val="subscript"/>
              </w:rPr>
              <w:t>(</w:t>
            </w:r>
            <w:r w:rsidRPr="00A23A24">
              <w:rPr>
                <w:i/>
                <w:sz w:val="20"/>
                <w:vertAlign w:val="subscript"/>
              </w:rPr>
              <w:t>Z</w:t>
            </w:r>
            <w:r w:rsidRPr="00A23A24">
              <w:rPr>
                <w:sz w:val="20"/>
                <w:vertAlign w:val="subscript"/>
              </w:rPr>
              <w:t>-)</w:t>
            </w:r>
            <w:r>
              <w:rPr>
                <w:sz w:val="20"/>
              </w:rPr>
              <w:t xml:space="preserve"> = </w:t>
            </w:r>
            <w:r w:rsidRPr="00CA56DB">
              <w:rPr>
                <w:sz w:val="20"/>
              </w:rPr>
              <w:t>(</w:t>
            </w:r>
            <w:r>
              <w:rPr>
                <w:sz w:val="20"/>
              </w:rPr>
              <w:t>2.0</w:t>
            </w:r>
            <w:r w:rsidRPr="00CA56DB">
              <w:rPr>
                <w:sz w:val="20"/>
              </w:rPr>
              <w:t xml:space="preserve"> ± 0.</w:t>
            </w:r>
            <w:r>
              <w:rPr>
                <w:sz w:val="20"/>
              </w:rPr>
              <w:t>3</w:t>
            </w:r>
            <w:r w:rsidRPr="00CA56DB">
              <w:rPr>
                <w:sz w:val="20"/>
              </w:rPr>
              <w:t xml:space="preserve">) </w:t>
            </w:r>
            <w:r w:rsidRPr="00CA56DB">
              <w:rPr>
                <w:rFonts w:ascii="Symbol" w:eastAsia="Symbol" w:hAnsi="Symbol" w:cs="Symbol"/>
                <w:sz w:val="20"/>
              </w:rPr>
              <w:t></w:t>
            </w:r>
            <w:r w:rsidRPr="00CA56DB">
              <w:rPr>
                <w:sz w:val="20"/>
              </w:rPr>
              <w:t xml:space="preserve"> 10</w:t>
            </w:r>
            <w:r w:rsidRPr="00CA56DB">
              <w:rPr>
                <w:sz w:val="20"/>
                <w:vertAlign w:val="superscript"/>
              </w:rPr>
              <w:t>-1</w:t>
            </w:r>
            <w:r w:rsidR="00C20F3E">
              <w:rPr>
                <w:sz w:val="20"/>
                <w:vertAlign w:val="superscript"/>
              </w:rPr>
              <w:t>2</w:t>
            </w:r>
          </w:p>
        </w:tc>
        <w:tc>
          <w:tcPr>
            <w:tcW w:w="1134" w:type="dxa"/>
            <w:gridSpan w:val="2"/>
            <w:shd w:val="clear" w:color="auto" w:fill="auto"/>
          </w:tcPr>
          <w:p w14:paraId="5BAABF8F" w14:textId="77777777" w:rsidR="00166667" w:rsidRPr="00CA56DB" w:rsidRDefault="00166667" w:rsidP="00AC70C1">
            <w:pPr>
              <w:overflowPunct w:val="0"/>
              <w:autoSpaceDE w:val="0"/>
              <w:autoSpaceDN w:val="0"/>
              <w:adjustRightInd w:val="0"/>
              <w:rPr>
                <w:sz w:val="20"/>
              </w:rPr>
            </w:pPr>
            <w:r>
              <w:rPr>
                <w:sz w:val="20"/>
              </w:rPr>
              <w:t>298</w:t>
            </w:r>
          </w:p>
        </w:tc>
        <w:tc>
          <w:tcPr>
            <w:tcW w:w="2552" w:type="dxa"/>
            <w:gridSpan w:val="2"/>
            <w:shd w:val="clear" w:color="auto" w:fill="auto"/>
          </w:tcPr>
          <w:p w14:paraId="4083BBA6" w14:textId="77777777" w:rsidR="00166667" w:rsidRPr="00CA56DB" w:rsidRDefault="00166667" w:rsidP="00AC70C1">
            <w:pPr>
              <w:overflowPunct w:val="0"/>
              <w:autoSpaceDE w:val="0"/>
              <w:autoSpaceDN w:val="0"/>
              <w:adjustRightInd w:val="0"/>
              <w:rPr>
                <w:sz w:val="20"/>
              </w:rPr>
            </w:pPr>
          </w:p>
        </w:tc>
        <w:tc>
          <w:tcPr>
            <w:tcW w:w="2247" w:type="dxa"/>
            <w:gridSpan w:val="3"/>
            <w:shd w:val="clear" w:color="auto" w:fill="auto"/>
          </w:tcPr>
          <w:p w14:paraId="18C29BF6" w14:textId="77777777" w:rsidR="00166667" w:rsidRPr="00CA56DB" w:rsidRDefault="00166667" w:rsidP="00AC70C1">
            <w:pPr>
              <w:overflowPunct w:val="0"/>
              <w:autoSpaceDE w:val="0"/>
              <w:autoSpaceDN w:val="0"/>
              <w:adjustRightInd w:val="0"/>
              <w:jc w:val="both"/>
              <w:rPr>
                <w:sz w:val="20"/>
              </w:rPr>
            </w:pPr>
          </w:p>
        </w:tc>
      </w:tr>
      <w:tr w:rsidR="00166667" w:rsidRPr="001D3940" w14:paraId="0184D1E2" w14:textId="77777777" w:rsidTr="00D8581C">
        <w:tc>
          <w:tcPr>
            <w:tcW w:w="3074" w:type="dxa"/>
            <w:shd w:val="clear" w:color="auto" w:fill="auto"/>
          </w:tcPr>
          <w:p w14:paraId="18BDDF2C" w14:textId="77777777" w:rsidR="00166667" w:rsidRPr="008B02B0" w:rsidRDefault="00166667" w:rsidP="00137720">
            <w:pPr>
              <w:overflowPunct w:val="0"/>
              <w:autoSpaceDE w:val="0"/>
              <w:autoSpaceDN w:val="0"/>
              <w:adjustRightInd w:val="0"/>
              <w:jc w:val="both"/>
              <w:rPr>
                <w:sz w:val="20"/>
              </w:rPr>
            </w:pPr>
            <w:r w:rsidRPr="00A23A24">
              <w:rPr>
                <w:i/>
                <w:sz w:val="20"/>
              </w:rPr>
              <w:t>k</w:t>
            </w:r>
            <w:r w:rsidRPr="00A23A24">
              <w:rPr>
                <w:sz w:val="20"/>
                <w:vertAlign w:val="subscript"/>
              </w:rPr>
              <w:t>(</w:t>
            </w:r>
            <w:r w:rsidRPr="00A23A24">
              <w:rPr>
                <w:i/>
                <w:sz w:val="20"/>
                <w:vertAlign w:val="subscript"/>
              </w:rPr>
              <w:t>E</w:t>
            </w:r>
            <w:r w:rsidRPr="00A23A24">
              <w:rPr>
                <w:sz w:val="20"/>
                <w:vertAlign w:val="subscript"/>
              </w:rPr>
              <w:t>-)</w:t>
            </w:r>
            <w:r>
              <w:rPr>
                <w:sz w:val="20"/>
              </w:rPr>
              <w:t xml:space="preserve"> = </w:t>
            </w:r>
            <w:r w:rsidRPr="00CA56DB">
              <w:rPr>
                <w:sz w:val="20"/>
              </w:rPr>
              <w:t>(</w:t>
            </w:r>
            <w:r>
              <w:rPr>
                <w:sz w:val="20"/>
              </w:rPr>
              <w:t>3.1</w:t>
            </w:r>
            <w:r w:rsidRPr="00CA56DB">
              <w:rPr>
                <w:sz w:val="20"/>
              </w:rPr>
              <w:t xml:space="preserve"> ± </w:t>
            </w:r>
            <w:r>
              <w:rPr>
                <w:sz w:val="20"/>
              </w:rPr>
              <w:t>1.1</w:t>
            </w:r>
            <w:r w:rsidRPr="00CA56DB">
              <w:rPr>
                <w:sz w:val="20"/>
              </w:rPr>
              <w:t xml:space="preserve">) </w:t>
            </w:r>
            <w:r w:rsidRPr="00CA56DB">
              <w:rPr>
                <w:rFonts w:ascii="Symbol" w:eastAsia="Symbol" w:hAnsi="Symbol" w:cs="Symbol"/>
                <w:sz w:val="20"/>
              </w:rPr>
              <w:t></w:t>
            </w:r>
            <w:r w:rsidRPr="00CA56DB">
              <w:rPr>
                <w:sz w:val="20"/>
              </w:rPr>
              <w:t xml:space="preserve"> 10</w:t>
            </w:r>
            <w:r w:rsidRPr="00CA56DB">
              <w:rPr>
                <w:sz w:val="20"/>
                <w:vertAlign w:val="superscript"/>
              </w:rPr>
              <w:t>-1</w:t>
            </w:r>
            <w:r w:rsidR="00C20F3E">
              <w:rPr>
                <w:sz w:val="20"/>
                <w:vertAlign w:val="superscript"/>
              </w:rPr>
              <w:t>2</w:t>
            </w:r>
          </w:p>
        </w:tc>
        <w:tc>
          <w:tcPr>
            <w:tcW w:w="1134" w:type="dxa"/>
            <w:gridSpan w:val="2"/>
            <w:shd w:val="clear" w:color="auto" w:fill="auto"/>
          </w:tcPr>
          <w:p w14:paraId="47274DB6" w14:textId="77777777" w:rsidR="00166667" w:rsidRDefault="00166667" w:rsidP="00AC70C1">
            <w:pPr>
              <w:overflowPunct w:val="0"/>
              <w:autoSpaceDE w:val="0"/>
              <w:autoSpaceDN w:val="0"/>
              <w:adjustRightInd w:val="0"/>
              <w:rPr>
                <w:sz w:val="20"/>
              </w:rPr>
            </w:pPr>
            <w:r>
              <w:rPr>
                <w:sz w:val="20"/>
              </w:rPr>
              <w:t>298</w:t>
            </w:r>
          </w:p>
        </w:tc>
        <w:tc>
          <w:tcPr>
            <w:tcW w:w="2552" w:type="dxa"/>
            <w:gridSpan w:val="2"/>
            <w:shd w:val="clear" w:color="auto" w:fill="auto"/>
          </w:tcPr>
          <w:p w14:paraId="49DD17D5" w14:textId="77777777" w:rsidR="00166667" w:rsidRPr="00CA56DB" w:rsidRDefault="00166667" w:rsidP="00AC70C1">
            <w:pPr>
              <w:overflowPunct w:val="0"/>
              <w:autoSpaceDE w:val="0"/>
              <w:autoSpaceDN w:val="0"/>
              <w:adjustRightInd w:val="0"/>
              <w:rPr>
                <w:sz w:val="20"/>
              </w:rPr>
            </w:pPr>
          </w:p>
        </w:tc>
        <w:tc>
          <w:tcPr>
            <w:tcW w:w="2247" w:type="dxa"/>
            <w:gridSpan w:val="3"/>
            <w:shd w:val="clear" w:color="auto" w:fill="auto"/>
          </w:tcPr>
          <w:p w14:paraId="41E8229E" w14:textId="77777777" w:rsidR="00166667" w:rsidRPr="00CA56DB" w:rsidRDefault="00166667" w:rsidP="00AC70C1">
            <w:pPr>
              <w:overflowPunct w:val="0"/>
              <w:autoSpaceDE w:val="0"/>
              <w:autoSpaceDN w:val="0"/>
              <w:adjustRightInd w:val="0"/>
              <w:jc w:val="both"/>
              <w:rPr>
                <w:sz w:val="20"/>
              </w:rPr>
            </w:pPr>
          </w:p>
        </w:tc>
      </w:tr>
      <w:tr w:rsidR="00D8305E" w:rsidRPr="001D3940" w14:paraId="5D70FBED" w14:textId="77777777" w:rsidTr="007B5080">
        <w:tc>
          <w:tcPr>
            <w:tcW w:w="3074" w:type="dxa"/>
            <w:shd w:val="clear" w:color="auto" w:fill="auto"/>
          </w:tcPr>
          <w:p w14:paraId="5F746D58" w14:textId="77777777" w:rsidR="00D8305E" w:rsidRPr="00D8305E" w:rsidRDefault="00D8305E" w:rsidP="00D8305E">
            <w:pPr>
              <w:overflowPunct w:val="0"/>
              <w:autoSpaceDE w:val="0"/>
              <w:autoSpaceDN w:val="0"/>
              <w:adjustRightInd w:val="0"/>
              <w:jc w:val="both"/>
              <w:rPr>
                <w:sz w:val="20"/>
                <w:lang w:eastAsia="en-US"/>
              </w:rPr>
            </w:pPr>
            <w:r w:rsidRPr="00A23A24">
              <w:rPr>
                <w:i/>
                <w:sz w:val="20"/>
              </w:rPr>
              <w:t>k</w:t>
            </w:r>
            <w:r w:rsidRPr="00A23A24">
              <w:rPr>
                <w:sz w:val="20"/>
                <w:vertAlign w:val="subscript"/>
              </w:rPr>
              <w:t>(</w:t>
            </w:r>
            <w:r w:rsidRPr="00A23A24">
              <w:rPr>
                <w:i/>
                <w:sz w:val="20"/>
                <w:vertAlign w:val="subscript"/>
              </w:rPr>
              <w:t>Z</w:t>
            </w:r>
            <w:r w:rsidRPr="00A23A24">
              <w:rPr>
                <w:sz w:val="20"/>
                <w:vertAlign w:val="subscript"/>
              </w:rPr>
              <w:t>-)</w:t>
            </w:r>
            <w:r>
              <w:rPr>
                <w:sz w:val="20"/>
              </w:rPr>
              <w:t xml:space="preserve"> = </w:t>
            </w:r>
            <w:r w:rsidRPr="00CA56DB">
              <w:rPr>
                <w:sz w:val="20"/>
              </w:rPr>
              <w:t>(</w:t>
            </w:r>
            <w:r>
              <w:rPr>
                <w:sz w:val="20"/>
              </w:rPr>
              <w:t>1.7</w:t>
            </w:r>
            <w:r w:rsidRPr="00CA56DB">
              <w:rPr>
                <w:sz w:val="20"/>
              </w:rPr>
              <w:t xml:space="preserve"> ± 0.</w:t>
            </w:r>
            <w:r>
              <w:rPr>
                <w:sz w:val="20"/>
              </w:rPr>
              <w:t>3</w:t>
            </w:r>
            <w:r w:rsidRPr="00CA56DB">
              <w:rPr>
                <w:sz w:val="20"/>
              </w:rPr>
              <w:t xml:space="preserve">) </w:t>
            </w:r>
            <w:r w:rsidRPr="00CA56DB">
              <w:rPr>
                <w:rFonts w:ascii="Symbol" w:eastAsia="Symbol" w:hAnsi="Symbol" w:cs="Symbol"/>
                <w:sz w:val="20"/>
              </w:rPr>
              <w:t></w:t>
            </w:r>
            <w:r w:rsidRPr="00CA56DB">
              <w:rPr>
                <w:sz w:val="20"/>
              </w:rPr>
              <w:t xml:space="preserve"> 10</w:t>
            </w:r>
            <w:r w:rsidRPr="00CA56DB">
              <w:rPr>
                <w:sz w:val="20"/>
                <w:vertAlign w:val="superscript"/>
              </w:rPr>
              <w:t>-1</w:t>
            </w:r>
            <w:r w:rsidR="00C20F3E">
              <w:rPr>
                <w:sz w:val="20"/>
                <w:vertAlign w:val="superscript"/>
              </w:rPr>
              <w:t>2</w:t>
            </w:r>
            <w:r>
              <w:rPr>
                <w:sz w:val="20"/>
              </w:rPr>
              <w:t xml:space="preserve"> (20 Torr)</w:t>
            </w:r>
          </w:p>
        </w:tc>
        <w:tc>
          <w:tcPr>
            <w:tcW w:w="1134" w:type="dxa"/>
            <w:gridSpan w:val="2"/>
            <w:shd w:val="clear" w:color="auto" w:fill="auto"/>
          </w:tcPr>
          <w:p w14:paraId="1093A330" w14:textId="77777777" w:rsidR="00D8305E" w:rsidRPr="00CA56DB" w:rsidRDefault="00D8305E" w:rsidP="00544596">
            <w:pPr>
              <w:overflowPunct w:val="0"/>
              <w:autoSpaceDE w:val="0"/>
              <w:autoSpaceDN w:val="0"/>
              <w:adjustRightInd w:val="0"/>
              <w:rPr>
                <w:sz w:val="20"/>
                <w:lang w:eastAsia="en-US"/>
              </w:rPr>
            </w:pPr>
            <w:r>
              <w:rPr>
                <w:sz w:val="20"/>
              </w:rPr>
              <w:t>300</w:t>
            </w:r>
          </w:p>
        </w:tc>
        <w:tc>
          <w:tcPr>
            <w:tcW w:w="2552" w:type="dxa"/>
            <w:gridSpan w:val="2"/>
            <w:shd w:val="clear" w:color="auto" w:fill="auto"/>
          </w:tcPr>
          <w:p w14:paraId="0AE81BB1" w14:textId="77777777" w:rsidR="00D8305E" w:rsidRPr="00CA56DB" w:rsidRDefault="00D8305E" w:rsidP="00137720">
            <w:pPr>
              <w:overflowPunct w:val="0"/>
              <w:autoSpaceDE w:val="0"/>
              <w:autoSpaceDN w:val="0"/>
              <w:adjustRightInd w:val="0"/>
              <w:rPr>
                <w:color w:val="auto"/>
                <w:sz w:val="20"/>
                <w:lang w:eastAsia="en-US"/>
              </w:rPr>
            </w:pPr>
            <w:r>
              <w:rPr>
                <w:color w:val="auto"/>
                <w:sz w:val="20"/>
                <w:lang w:eastAsia="en-US"/>
              </w:rPr>
              <w:t>Caravan et al., 2017</w:t>
            </w:r>
          </w:p>
        </w:tc>
        <w:tc>
          <w:tcPr>
            <w:tcW w:w="2247" w:type="dxa"/>
            <w:gridSpan w:val="3"/>
            <w:shd w:val="clear" w:color="auto" w:fill="auto"/>
          </w:tcPr>
          <w:p w14:paraId="057B1212" w14:textId="77777777" w:rsidR="00D8305E" w:rsidRPr="00CA56DB" w:rsidRDefault="00D8305E" w:rsidP="00137720">
            <w:pPr>
              <w:overflowPunct w:val="0"/>
              <w:autoSpaceDE w:val="0"/>
              <w:autoSpaceDN w:val="0"/>
              <w:adjustRightInd w:val="0"/>
              <w:jc w:val="both"/>
              <w:rPr>
                <w:color w:val="auto"/>
                <w:sz w:val="20"/>
                <w:lang w:eastAsia="en-US"/>
              </w:rPr>
            </w:pPr>
            <w:r>
              <w:rPr>
                <w:sz w:val="20"/>
              </w:rPr>
              <w:t>PLP-PIMS</w:t>
            </w:r>
            <w:r w:rsidRPr="00CA56DB">
              <w:rPr>
                <w:sz w:val="20"/>
              </w:rPr>
              <w:t xml:space="preserve"> (</w:t>
            </w:r>
            <w:r>
              <w:rPr>
                <w:sz w:val="20"/>
              </w:rPr>
              <w:t>b</w:t>
            </w:r>
            <w:r w:rsidRPr="00CA56DB">
              <w:rPr>
                <w:sz w:val="20"/>
              </w:rPr>
              <w:t>)</w:t>
            </w:r>
          </w:p>
        </w:tc>
      </w:tr>
      <w:tr w:rsidR="008B02B0" w:rsidRPr="001D3940" w14:paraId="6D68A6FB" w14:textId="77777777" w:rsidTr="00A914B7">
        <w:tc>
          <w:tcPr>
            <w:tcW w:w="3074" w:type="dxa"/>
            <w:tcBorders>
              <w:bottom w:val="single" w:sz="4" w:space="0" w:color="auto"/>
            </w:tcBorders>
            <w:shd w:val="clear" w:color="auto" w:fill="auto"/>
          </w:tcPr>
          <w:p w14:paraId="527DA690" w14:textId="77777777" w:rsidR="008B02B0" w:rsidRPr="00D8305E" w:rsidRDefault="00D8305E" w:rsidP="00D8305E">
            <w:pPr>
              <w:overflowPunct w:val="0"/>
              <w:autoSpaceDE w:val="0"/>
              <w:autoSpaceDN w:val="0"/>
              <w:adjustRightInd w:val="0"/>
              <w:spacing w:after="120"/>
              <w:jc w:val="both"/>
              <w:rPr>
                <w:rFonts w:cs="e364b11"/>
                <w:color w:val="auto"/>
                <w:sz w:val="20"/>
              </w:rPr>
            </w:pPr>
            <w:r w:rsidRPr="00A23A24">
              <w:rPr>
                <w:i/>
                <w:sz w:val="20"/>
              </w:rPr>
              <w:t>k</w:t>
            </w:r>
            <w:r w:rsidRPr="00A23A24">
              <w:rPr>
                <w:sz w:val="20"/>
                <w:vertAlign w:val="subscript"/>
              </w:rPr>
              <w:t>(</w:t>
            </w:r>
            <w:r w:rsidRPr="00A23A24">
              <w:rPr>
                <w:i/>
                <w:sz w:val="20"/>
                <w:vertAlign w:val="subscript"/>
              </w:rPr>
              <w:t>Z</w:t>
            </w:r>
            <w:r w:rsidRPr="00A23A24">
              <w:rPr>
                <w:sz w:val="20"/>
                <w:vertAlign w:val="subscript"/>
              </w:rPr>
              <w:t>-)</w:t>
            </w:r>
            <w:r>
              <w:rPr>
                <w:sz w:val="20"/>
              </w:rPr>
              <w:t xml:space="preserve"> = </w:t>
            </w:r>
            <w:r w:rsidR="008B02B0" w:rsidRPr="00CA56DB">
              <w:rPr>
                <w:sz w:val="20"/>
              </w:rPr>
              <w:t>(</w:t>
            </w:r>
            <w:r>
              <w:rPr>
                <w:sz w:val="20"/>
              </w:rPr>
              <w:t>2.0</w:t>
            </w:r>
            <w:r w:rsidR="008B02B0" w:rsidRPr="00CA56DB">
              <w:rPr>
                <w:sz w:val="20"/>
              </w:rPr>
              <w:t xml:space="preserve"> ± 0.</w:t>
            </w:r>
            <w:r w:rsidR="008B02B0">
              <w:rPr>
                <w:sz w:val="20"/>
              </w:rPr>
              <w:t>3</w:t>
            </w:r>
            <w:r w:rsidR="008B02B0" w:rsidRPr="00CA56DB">
              <w:rPr>
                <w:sz w:val="20"/>
              </w:rPr>
              <w:t xml:space="preserve">) </w:t>
            </w:r>
            <w:r w:rsidR="008B02B0" w:rsidRPr="00CA56DB">
              <w:rPr>
                <w:rFonts w:ascii="Symbol" w:eastAsia="Symbol" w:hAnsi="Symbol" w:cs="Symbol"/>
                <w:sz w:val="20"/>
              </w:rPr>
              <w:t></w:t>
            </w:r>
            <w:r w:rsidR="008B02B0" w:rsidRPr="00CA56DB">
              <w:rPr>
                <w:sz w:val="20"/>
              </w:rPr>
              <w:t xml:space="preserve"> 10</w:t>
            </w:r>
            <w:r w:rsidR="008B02B0" w:rsidRPr="00CA56DB">
              <w:rPr>
                <w:sz w:val="20"/>
                <w:vertAlign w:val="superscript"/>
              </w:rPr>
              <w:t>-1</w:t>
            </w:r>
            <w:r w:rsidR="00C20F3E">
              <w:rPr>
                <w:sz w:val="20"/>
                <w:vertAlign w:val="superscript"/>
              </w:rPr>
              <w:t>2</w:t>
            </w:r>
            <w:r>
              <w:rPr>
                <w:sz w:val="20"/>
              </w:rPr>
              <w:t xml:space="preserve"> (40 Torr)</w:t>
            </w:r>
          </w:p>
        </w:tc>
        <w:tc>
          <w:tcPr>
            <w:tcW w:w="1134" w:type="dxa"/>
            <w:gridSpan w:val="2"/>
            <w:tcBorders>
              <w:bottom w:val="single" w:sz="4" w:space="0" w:color="auto"/>
            </w:tcBorders>
            <w:shd w:val="clear" w:color="auto" w:fill="auto"/>
          </w:tcPr>
          <w:p w14:paraId="396BB8A1" w14:textId="77777777" w:rsidR="008B02B0" w:rsidRPr="00CA56DB" w:rsidRDefault="00D8305E" w:rsidP="00AC70C1">
            <w:pPr>
              <w:overflowPunct w:val="0"/>
              <w:autoSpaceDE w:val="0"/>
              <w:autoSpaceDN w:val="0"/>
              <w:adjustRightInd w:val="0"/>
              <w:rPr>
                <w:color w:val="auto"/>
                <w:sz w:val="20"/>
                <w:lang w:eastAsia="en-US"/>
              </w:rPr>
            </w:pPr>
            <w:r>
              <w:rPr>
                <w:color w:val="auto"/>
                <w:sz w:val="20"/>
                <w:lang w:eastAsia="en-US"/>
              </w:rPr>
              <w:t>300</w:t>
            </w:r>
          </w:p>
        </w:tc>
        <w:tc>
          <w:tcPr>
            <w:tcW w:w="2552" w:type="dxa"/>
            <w:gridSpan w:val="2"/>
            <w:tcBorders>
              <w:bottom w:val="single" w:sz="4" w:space="0" w:color="auto"/>
            </w:tcBorders>
            <w:shd w:val="clear" w:color="auto" w:fill="auto"/>
          </w:tcPr>
          <w:p w14:paraId="7496DBEA" w14:textId="77777777" w:rsidR="008B02B0" w:rsidRPr="00CA56DB" w:rsidRDefault="008B02B0" w:rsidP="00D8305E">
            <w:pPr>
              <w:overflowPunct w:val="0"/>
              <w:autoSpaceDE w:val="0"/>
              <w:autoSpaceDN w:val="0"/>
              <w:adjustRightInd w:val="0"/>
              <w:rPr>
                <w:color w:val="auto"/>
                <w:sz w:val="20"/>
                <w:lang w:eastAsia="en-US"/>
              </w:rPr>
            </w:pPr>
          </w:p>
        </w:tc>
        <w:tc>
          <w:tcPr>
            <w:tcW w:w="2247" w:type="dxa"/>
            <w:gridSpan w:val="3"/>
            <w:tcBorders>
              <w:bottom w:val="single" w:sz="4" w:space="0" w:color="auto"/>
            </w:tcBorders>
            <w:shd w:val="clear" w:color="auto" w:fill="auto"/>
          </w:tcPr>
          <w:p w14:paraId="5A7FA1A2" w14:textId="77777777" w:rsidR="008B02B0" w:rsidRPr="00CA56DB" w:rsidRDefault="008B02B0" w:rsidP="00D8305E">
            <w:pPr>
              <w:overflowPunct w:val="0"/>
              <w:autoSpaceDE w:val="0"/>
              <w:autoSpaceDN w:val="0"/>
              <w:adjustRightInd w:val="0"/>
              <w:jc w:val="both"/>
              <w:rPr>
                <w:color w:val="auto"/>
                <w:sz w:val="20"/>
                <w:lang w:eastAsia="en-US"/>
              </w:rPr>
            </w:pPr>
          </w:p>
        </w:tc>
      </w:tr>
    </w:tbl>
    <w:p w14:paraId="62DAD0EF" w14:textId="77777777" w:rsidR="00F340B1" w:rsidRPr="001D3940" w:rsidRDefault="00F340B1" w:rsidP="00F340B1">
      <w:pPr>
        <w:tabs>
          <w:tab w:val="center" w:pos="4680"/>
        </w:tabs>
        <w:jc w:val="both"/>
        <w:rPr>
          <w:color w:val="auto"/>
        </w:rPr>
      </w:pPr>
    </w:p>
    <w:p w14:paraId="7F8E546F" w14:textId="77777777" w:rsidR="00F340B1" w:rsidRPr="001D3940" w:rsidRDefault="00F340B1" w:rsidP="00F340B1">
      <w:pPr>
        <w:pStyle w:val="Heading5"/>
        <w:rPr>
          <w:color w:val="auto"/>
        </w:rPr>
      </w:pPr>
      <w:r w:rsidRPr="001D3940">
        <w:rPr>
          <w:color w:val="auto"/>
        </w:rPr>
        <w:t>Comments</w:t>
      </w:r>
    </w:p>
    <w:p w14:paraId="124A30F2" w14:textId="77777777" w:rsidR="00F340B1" w:rsidRPr="001D3940" w:rsidRDefault="00F340B1" w:rsidP="00F340B1">
      <w:pPr>
        <w:tabs>
          <w:tab w:val="left" w:pos="-1440"/>
          <w:tab w:val="left" w:pos="-720"/>
          <w:tab w:val="left" w:pos="444"/>
        </w:tabs>
        <w:jc w:val="both"/>
        <w:rPr>
          <w:color w:val="auto"/>
        </w:rPr>
      </w:pPr>
    </w:p>
    <w:p w14:paraId="4E7121F5" w14:textId="77777777" w:rsidR="00064490" w:rsidRPr="001D3940" w:rsidRDefault="00064490" w:rsidP="00064490">
      <w:pPr>
        <w:numPr>
          <w:ilvl w:val="0"/>
          <w:numId w:val="3"/>
        </w:numPr>
        <w:tabs>
          <w:tab w:val="left" w:pos="-1440"/>
          <w:tab w:val="left" w:pos="-720"/>
          <w:tab w:val="left" w:pos="426"/>
        </w:tabs>
        <w:jc w:val="both"/>
        <w:rPr>
          <w:spacing w:val="-3"/>
        </w:rPr>
      </w:pPr>
      <w:r w:rsidRPr="0034676A">
        <w:t>CH</w:t>
      </w:r>
      <w:r w:rsidRPr="0034676A">
        <w:rPr>
          <w:vertAlign w:val="subscript"/>
        </w:rPr>
        <w:t>3</w:t>
      </w:r>
      <w:r w:rsidRPr="0034676A">
        <w:t>CHOO was produced by the reaction of CH</w:t>
      </w:r>
      <w:r w:rsidRPr="0034676A">
        <w:rPr>
          <w:vertAlign w:val="subscript"/>
        </w:rPr>
        <w:t>3</w:t>
      </w:r>
      <w:r w:rsidRPr="0034676A">
        <w:t>CHI + O</w:t>
      </w:r>
      <w:r w:rsidRPr="0034676A">
        <w:rPr>
          <w:vertAlign w:val="subscript"/>
        </w:rPr>
        <w:t>2</w:t>
      </w:r>
      <w:r w:rsidRPr="0034676A">
        <w:t>. CH</w:t>
      </w:r>
      <w:r w:rsidRPr="0034676A">
        <w:rPr>
          <w:vertAlign w:val="subscript"/>
        </w:rPr>
        <w:t>3</w:t>
      </w:r>
      <w:r w:rsidRPr="0034676A">
        <w:t>CHI was generated by 248</w:t>
      </w:r>
      <w:r>
        <w:t xml:space="preserve"> </w:t>
      </w:r>
      <w:r w:rsidRPr="0034676A">
        <w:t>nm laser photolysis of 1,1-diiodoethane, CH</w:t>
      </w:r>
      <w:r w:rsidRPr="0034676A">
        <w:rPr>
          <w:vertAlign w:val="subscript"/>
        </w:rPr>
        <w:t>3</w:t>
      </w:r>
      <w:r w:rsidRPr="0034676A">
        <w:t>CH</w:t>
      </w:r>
      <w:r w:rsidRPr="0034676A">
        <w:rPr>
          <w:vertAlign w:val="subscript"/>
        </w:rPr>
        <w:t>2</w:t>
      </w:r>
      <w:r w:rsidRPr="0034676A">
        <w:t>I</w:t>
      </w:r>
      <w:r w:rsidRPr="0034676A">
        <w:rPr>
          <w:vertAlign w:val="subscript"/>
        </w:rPr>
        <w:t>2</w:t>
      </w:r>
      <w:r w:rsidRPr="0034676A">
        <w:t>, at 29</w:t>
      </w:r>
      <w:r>
        <w:t>8</w:t>
      </w:r>
      <w:r w:rsidRPr="0034676A">
        <w:t xml:space="preserve"> K and 4 </w:t>
      </w:r>
      <w:r>
        <w:t>T</w:t>
      </w:r>
      <w:r w:rsidRPr="0034676A">
        <w:t>orr, in a large excess of O</w:t>
      </w:r>
      <w:r w:rsidRPr="0034676A">
        <w:rPr>
          <w:vertAlign w:val="subscript"/>
        </w:rPr>
        <w:t>2</w:t>
      </w:r>
      <w:r w:rsidRPr="0034676A">
        <w:t xml:space="preserve">. The reacting mixture was monitored by tunable synchrotron photoionization mass spectrometry, which allowed </w:t>
      </w:r>
      <w:proofErr w:type="spellStart"/>
      <w:r w:rsidRPr="0034676A">
        <w:t>characterisation</w:t>
      </w:r>
      <w:proofErr w:type="spellEnd"/>
      <w:r w:rsidRPr="0034676A">
        <w:t xml:space="preserve"> of the PIMS. Both </w:t>
      </w:r>
      <w:r>
        <w:rPr>
          <w:i/>
        </w:rPr>
        <w:t>Z</w:t>
      </w:r>
      <w:r w:rsidRPr="0034676A">
        <w:rPr>
          <w:i/>
        </w:rPr>
        <w:t>-</w:t>
      </w:r>
      <w:r w:rsidRPr="0034676A">
        <w:t xml:space="preserve"> and </w:t>
      </w:r>
      <w:r>
        <w:rPr>
          <w:i/>
        </w:rPr>
        <w:t>E</w:t>
      </w:r>
      <w:r w:rsidRPr="0034676A">
        <w:rPr>
          <w:i/>
        </w:rPr>
        <w:t>-</w:t>
      </w:r>
      <w:r w:rsidRPr="0034676A">
        <w:t>CH</w:t>
      </w:r>
      <w:r w:rsidRPr="0034676A">
        <w:rPr>
          <w:vertAlign w:val="subscript"/>
        </w:rPr>
        <w:t>3</w:t>
      </w:r>
      <w:r w:rsidRPr="0034676A">
        <w:t>CHOO are produced, which could be distinguished by the difference in</w:t>
      </w:r>
      <w:r>
        <w:t xml:space="preserve"> the</w:t>
      </w:r>
      <w:r w:rsidRPr="0034676A">
        <w:t xml:space="preserve"> </w:t>
      </w:r>
      <w:proofErr w:type="spellStart"/>
      <w:r w:rsidRPr="0034676A">
        <w:t>ionisation</w:t>
      </w:r>
      <w:proofErr w:type="spellEnd"/>
      <w:r w:rsidRPr="0034676A">
        <w:t xml:space="preserve"> energy of the two conformers.  The first order decay plots of </w:t>
      </w:r>
      <w:r>
        <w:rPr>
          <w:i/>
        </w:rPr>
        <w:t>Z</w:t>
      </w:r>
      <w:r w:rsidRPr="0034676A">
        <w:rPr>
          <w:i/>
        </w:rPr>
        <w:t>-</w:t>
      </w:r>
      <w:r w:rsidRPr="0034676A">
        <w:t xml:space="preserve"> and </w:t>
      </w:r>
      <w:r>
        <w:rPr>
          <w:i/>
        </w:rPr>
        <w:t>E</w:t>
      </w:r>
      <w:r w:rsidRPr="0034676A">
        <w:rPr>
          <w:i/>
        </w:rPr>
        <w:t>-</w:t>
      </w:r>
      <w:r w:rsidRPr="0034676A">
        <w:t>CH</w:t>
      </w:r>
      <w:r w:rsidRPr="0034676A">
        <w:rPr>
          <w:vertAlign w:val="subscript"/>
        </w:rPr>
        <w:t>3</w:t>
      </w:r>
      <w:r w:rsidRPr="0034676A">
        <w:t>CHOO in the presence of excess known concentrations of NO</w:t>
      </w:r>
      <w:r w:rsidRPr="0034676A">
        <w:rPr>
          <w:vertAlign w:val="subscript"/>
        </w:rPr>
        <w:t>2</w:t>
      </w:r>
      <w:r w:rsidRPr="0034676A">
        <w:t xml:space="preserve"> </w:t>
      </w:r>
      <w:r>
        <w:t>were</w:t>
      </w:r>
      <w:r w:rsidRPr="0034676A">
        <w:t xml:space="preserve"> used to determine the rate constants. The cited values were given by unweighted fits of the data, with uncertainty limits of 95%; returns from weighted fits gave </w:t>
      </w:r>
      <w:r w:rsidRPr="0034676A">
        <w:rPr>
          <w:i/>
        </w:rPr>
        <w:t>k</w:t>
      </w:r>
      <w:r w:rsidRPr="0034676A">
        <w:t xml:space="preserve"> values lower by 30% but also indicated a slightly larger value for </w:t>
      </w:r>
      <w:r>
        <w:rPr>
          <w:i/>
        </w:rPr>
        <w:t>E</w:t>
      </w:r>
      <w:r w:rsidRPr="0034676A">
        <w:rPr>
          <w:i/>
        </w:rPr>
        <w:t>-</w:t>
      </w:r>
      <w:r w:rsidRPr="00D8305E">
        <w:t xml:space="preserve"> </w:t>
      </w:r>
      <w:r w:rsidRPr="0034676A">
        <w:t>conformer. Although a small (statistically significant at 1</w:t>
      </w:r>
      <w:r w:rsidRPr="0034676A">
        <w:rPr>
          <w:rFonts w:ascii="Symbol" w:hAnsi="Symbol"/>
        </w:rPr>
        <w:t></w:t>
      </w:r>
      <w:r w:rsidRPr="0034676A">
        <w:t xml:space="preserve"> level) conformer dependence was reported, the</w:t>
      </w:r>
      <w:r>
        <w:t>ir</w:t>
      </w:r>
      <w:r w:rsidRPr="0034676A">
        <w:t xml:space="preserve"> preferred recommendation is </w:t>
      </w:r>
      <w:r w:rsidRPr="0034676A">
        <w:rPr>
          <w:i/>
        </w:rPr>
        <w:t>k</w:t>
      </w:r>
      <w:r w:rsidRPr="0034676A">
        <w:t xml:space="preserve"> = </w:t>
      </w:r>
      <w:r>
        <w:t>(</w:t>
      </w:r>
      <w:r w:rsidRPr="0034676A">
        <w:t>2</w:t>
      </w:r>
      <w:r>
        <w:t xml:space="preserve"> </w:t>
      </w:r>
      <w:r w:rsidRPr="0034676A">
        <w:t>±</w:t>
      </w:r>
      <w:r>
        <w:t xml:space="preserve"> </w:t>
      </w:r>
      <w:r w:rsidRPr="0034676A">
        <w:t>1</w:t>
      </w:r>
      <w:r>
        <w:t>)</w:t>
      </w:r>
      <w:r w:rsidRPr="0034676A">
        <w:t xml:space="preserve"> × 10</w:t>
      </w:r>
      <w:r w:rsidRPr="0034676A">
        <w:rPr>
          <w:vertAlign w:val="superscript"/>
        </w:rPr>
        <w:t>-12</w:t>
      </w:r>
      <w:r w:rsidRPr="0034676A">
        <w:t xml:space="preserve"> cm</w:t>
      </w:r>
      <w:r w:rsidRPr="0034676A">
        <w:rPr>
          <w:vertAlign w:val="superscript"/>
        </w:rPr>
        <w:t>3</w:t>
      </w:r>
      <w:r w:rsidRPr="0034676A">
        <w:t xml:space="preserve"> molecule</w:t>
      </w:r>
      <w:r w:rsidRPr="0034676A">
        <w:rPr>
          <w:vertAlign w:val="superscript"/>
        </w:rPr>
        <w:t>-1</w:t>
      </w:r>
      <w:r w:rsidRPr="0034676A">
        <w:t xml:space="preserve"> s</w:t>
      </w:r>
      <w:r w:rsidRPr="0034676A">
        <w:rPr>
          <w:vertAlign w:val="superscript"/>
        </w:rPr>
        <w:t>-1</w:t>
      </w:r>
      <w:r w:rsidRPr="0034676A">
        <w:t>, for both conformers.</w:t>
      </w:r>
    </w:p>
    <w:p w14:paraId="3278B66A" w14:textId="61BB0A88" w:rsidR="00ED24D0" w:rsidRPr="00263004" w:rsidRDefault="00064490" w:rsidP="00064490">
      <w:pPr>
        <w:numPr>
          <w:ilvl w:val="0"/>
          <w:numId w:val="3"/>
        </w:numPr>
        <w:tabs>
          <w:tab w:val="left" w:pos="-1440"/>
          <w:tab w:val="left" w:pos="-720"/>
        </w:tabs>
        <w:jc w:val="both"/>
        <w:rPr>
          <w:color w:val="auto"/>
        </w:rPr>
      </w:pPr>
      <w:r w:rsidRPr="0034676A">
        <w:t>CH</w:t>
      </w:r>
      <w:r w:rsidRPr="0034676A">
        <w:rPr>
          <w:vertAlign w:val="subscript"/>
        </w:rPr>
        <w:t>3</w:t>
      </w:r>
      <w:r w:rsidRPr="0034676A">
        <w:t>CHOO was produced by the reaction of</w:t>
      </w:r>
      <w:r>
        <w:t xml:space="preserve"> </w:t>
      </w:r>
      <w:r w:rsidRPr="0034676A">
        <w:t>CH</w:t>
      </w:r>
      <w:r w:rsidRPr="0034676A">
        <w:rPr>
          <w:vertAlign w:val="subscript"/>
        </w:rPr>
        <w:t>3</w:t>
      </w:r>
      <w:r w:rsidRPr="0034676A">
        <w:t>CHI + O</w:t>
      </w:r>
      <w:r w:rsidRPr="0034676A">
        <w:rPr>
          <w:vertAlign w:val="subscript"/>
        </w:rPr>
        <w:t>2</w:t>
      </w:r>
      <w:r w:rsidRPr="0034676A">
        <w:t>. CH</w:t>
      </w:r>
      <w:r w:rsidRPr="0034676A">
        <w:rPr>
          <w:vertAlign w:val="subscript"/>
        </w:rPr>
        <w:t>3</w:t>
      </w:r>
      <w:r w:rsidRPr="0034676A">
        <w:t>CHI was</w:t>
      </w:r>
      <w:r>
        <w:t xml:space="preserve"> g</w:t>
      </w:r>
      <w:r w:rsidRPr="0034676A">
        <w:t>enerated by 248-nm pulsed laser photolysis of 1,1-diiodoethane, CH</w:t>
      </w:r>
      <w:r w:rsidRPr="0034676A">
        <w:rPr>
          <w:vertAlign w:val="subscript"/>
        </w:rPr>
        <w:t>3</w:t>
      </w:r>
      <w:r w:rsidRPr="0034676A">
        <w:t>CH</w:t>
      </w:r>
      <w:r w:rsidRPr="0034676A">
        <w:rPr>
          <w:vertAlign w:val="subscript"/>
        </w:rPr>
        <w:t>2</w:t>
      </w:r>
      <w:r w:rsidRPr="0034676A">
        <w:t>I</w:t>
      </w:r>
      <w:r w:rsidRPr="0034676A">
        <w:rPr>
          <w:vertAlign w:val="subscript"/>
        </w:rPr>
        <w:t>2</w:t>
      </w:r>
      <w:r w:rsidRPr="0034676A">
        <w:t xml:space="preserve">, at </w:t>
      </w:r>
      <w:r>
        <w:t>300</w:t>
      </w:r>
      <w:r w:rsidRPr="0034676A">
        <w:t xml:space="preserve"> K </w:t>
      </w:r>
      <w:r>
        <w:t>and</w:t>
      </w:r>
      <w:r w:rsidRPr="0034676A">
        <w:t xml:space="preserve"> pressures of 20 and 40 Torr, in a large excess of O</w:t>
      </w:r>
      <w:r w:rsidRPr="0034676A">
        <w:rPr>
          <w:vertAlign w:val="subscript"/>
        </w:rPr>
        <w:t>2</w:t>
      </w:r>
      <w:r w:rsidRPr="0034676A">
        <w:t xml:space="preserve">. The reacting mixture was monitored by PIMS at 10.5 eV, which allowed kinetic decay attributed to the </w:t>
      </w:r>
      <w:r>
        <w:rPr>
          <w:i/>
        </w:rPr>
        <w:t>Z-</w:t>
      </w:r>
      <w:r w:rsidRPr="0034676A">
        <w:t xml:space="preserve"> conformer of CH</w:t>
      </w:r>
      <w:r w:rsidRPr="0034676A">
        <w:rPr>
          <w:vertAlign w:val="subscript"/>
        </w:rPr>
        <w:t>3</w:t>
      </w:r>
      <w:r w:rsidRPr="0034676A">
        <w:t>CHOO to be monitored. The first order decay plots in the presence of excess NO</w:t>
      </w:r>
      <w:r w:rsidRPr="0034676A">
        <w:rPr>
          <w:vertAlign w:val="subscript"/>
        </w:rPr>
        <w:t xml:space="preserve">2 </w:t>
      </w:r>
      <w:r w:rsidRPr="0034676A">
        <w:t>(0 – 6.5 molecule</w:t>
      </w:r>
      <w:r w:rsidRPr="0034676A">
        <w:rPr>
          <w:vertAlign w:val="superscript"/>
        </w:rPr>
        <w:t xml:space="preserve"> </w:t>
      </w:r>
      <w:r w:rsidRPr="0034676A">
        <w:t>cm</w:t>
      </w:r>
      <w:r w:rsidRPr="0034676A">
        <w:rPr>
          <w:vertAlign w:val="superscript"/>
        </w:rPr>
        <w:t>-3</w:t>
      </w:r>
      <w:r>
        <w:t>)</w:t>
      </w:r>
      <w:r w:rsidRPr="0034676A">
        <w:t xml:space="preserve"> w</w:t>
      </w:r>
      <w:r>
        <w:t>ere</w:t>
      </w:r>
      <w:r w:rsidRPr="0034676A">
        <w:t xml:space="preserve"> used to determine the rate constants. Products were investigated using </w:t>
      </w:r>
      <w:r>
        <w:t>m</w:t>
      </w:r>
      <w:r w:rsidRPr="0034676A">
        <w:t xml:space="preserve">ultiplexed </w:t>
      </w:r>
      <w:r>
        <w:t>p</w:t>
      </w:r>
      <w:r w:rsidRPr="0034676A">
        <w:t xml:space="preserve">hotoionization </w:t>
      </w:r>
      <w:r>
        <w:t>m</w:t>
      </w:r>
      <w:r w:rsidRPr="0034676A">
        <w:t xml:space="preserve">ass </w:t>
      </w:r>
      <w:r>
        <w:t>s</w:t>
      </w:r>
      <w:r w:rsidRPr="0034676A">
        <w:t>pectrometry.</w:t>
      </w:r>
    </w:p>
    <w:p w14:paraId="5BFAD434" w14:textId="77777777" w:rsidR="00166667" w:rsidRPr="001D3940" w:rsidRDefault="00166667" w:rsidP="00166667">
      <w:pPr>
        <w:pStyle w:val="Heading5"/>
        <w:tabs>
          <w:tab w:val="clear" w:pos="4867"/>
          <w:tab w:val="clear" w:pos="7982"/>
          <w:tab w:val="clear" w:pos="8395"/>
          <w:tab w:val="clear" w:pos="8812"/>
        </w:tabs>
        <w:rPr>
          <w:color w:val="auto"/>
        </w:rPr>
      </w:pPr>
      <w:r>
        <w:rPr>
          <w:color w:val="auto"/>
        </w:rPr>
        <w:br w:type="page"/>
      </w:r>
      <w:r w:rsidRPr="001D3940">
        <w:rPr>
          <w:color w:val="auto"/>
        </w:rPr>
        <w:lastRenderedPageBreak/>
        <w:t>Preferred Values</w:t>
      </w:r>
    </w:p>
    <w:p w14:paraId="40ABA49C" w14:textId="77777777" w:rsidR="00ED24D0" w:rsidRPr="001D3940" w:rsidRDefault="00ED24D0" w:rsidP="00166667">
      <w:pPr>
        <w:tabs>
          <w:tab w:val="left" w:pos="-1440"/>
          <w:tab w:val="left" w:pos="-720"/>
        </w:tabs>
        <w:jc w:val="both"/>
        <w:rPr>
          <w:color w:val="auto"/>
        </w:rPr>
      </w:pPr>
    </w:p>
    <w:tbl>
      <w:tblPr>
        <w:tblW w:w="0" w:type="auto"/>
        <w:tblInd w:w="454" w:type="dxa"/>
        <w:tblLayout w:type="fixed"/>
        <w:tblLook w:val="0000" w:firstRow="0" w:lastRow="0" w:firstColumn="0" w:lastColumn="0" w:noHBand="0" w:noVBand="0"/>
      </w:tblPr>
      <w:tblGrid>
        <w:gridCol w:w="3100"/>
        <w:gridCol w:w="3430"/>
        <w:gridCol w:w="1992"/>
      </w:tblGrid>
      <w:tr w:rsidR="00ED24D0" w:rsidRPr="001D3940" w14:paraId="0DAE0713" w14:textId="77777777" w:rsidTr="003964D0">
        <w:tc>
          <w:tcPr>
            <w:tcW w:w="3100" w:type="dxa"/>
            <w:tcBorders>
              <w:top w:val="single" w:sz="4" w:space="0" w:color="000000"/>
              <w:bottom w:val="single" w:sz="4" w:space="0" w:color="000000"/>
            </w:tcBorders>
            <w:shd w:val="clear" w:color="auto" w:fill="auto"/>
          </w:tcPr>
          <w:p w14:paraId="13D6C6B9" w14:textId="77777777" w:rsidR="00ED24D0" w:rsidRPr="001D3940" w:rsidRDefault="00ED24D0" w:rsidP="003964D0">
            <w:pPr>
              <w:tabs>
                <w:tab w:val="left" w:pos="0"/>
                <w:tab w:val="left" w:pos="444"/>
                <w:tab w:val="left" w:pos="720"/>
              </w:tabs>
              <w:spacing w:line="240" w:lineRule="atLeast"/>
              <w:jc w:val="center"/>
              <w:rPr>
                <w:b/>
                <w:color w:val="auto"/>
                <w:spacing w:val="-3"/>
                <w:szCs w:val="24"/>
              </w:rPr>
            </w:pPr>
            <w:r w:rsidRPr="001D3940">
              <w:rPr>
                <w:b/>
                <w:color w:val="auto"/>
                <w:spacing w:val="-3"/>
                <w:szCs w:val="24"/>
              </w:rPr>
              <w:t>Parameter</w:t>
            </w:r>
          </w:p>
        </w:tc>
        <w:tc>
          <w:tcPr>
            <w:tcW w:w="3430" w:type="dxa"/>
            <w:tcBorders>
              <w:top w:val="single" w:sz="4" w:space="0" w:color="000000"/>
              <w:bottom w:val="single" w:sz="4" w:space="0" w:color="000000"/>
            </w:tcBorders>
            <w:shd w:val="clear" w:color="auto" w:fill="auto"/>
          </w:tcPr>
          <w:p w14:paraId="319256B6" w14:textId="77777777" w:rsidR="00ED24D0" w:rsidRPr="001D3940" w:rsidRDefault="00ED24D0" w:rsidP="003964D0">
            <w:pPr>
              <w:tabs>
                <w:tab w:val="left" w:pos="0"/>
                <w:tab w:val="left" w:pos="444"/>
                <w:tab w:val="left" w:pos="720"/>
              </w:tabs>
              <w:spacing w:line="240" w:lineRule="atLeast"/>
              <w:jc w:val="center"/>
              <w:rPr>
                <w:b/>
                <w:color w:val="auto"/>
                <w:spacing w:val="-3"/>
                <w:szCs w:val="24"/>
              </w:rPr>
            </w:pPr>
            <w:r w:rsidRPr="001D3940">
              <w:rPr>
                <w:b/>
                <w:color w:val="auto"/>
                <w:spacing w:val="-3"/>
                <w:szCs w:val="24"/>
              </w:rPr>
              <w:t>Value</w:t>
            </w:r>
          </w:p>
        </w:tc>
        <w:tc>
          <w:tcPr>
            <w:tcW w:w="1992" w:type="dxa"/>
            <w:tcBorders>
              <w:top w:val="single" w:sz="4" w:space="0" w:color="000000"/>
              <w:bottom w:val="single" w:sz="4" w:space="0" w:color="000000"/>
            </w:tcBorders>
            <w:shd w:val="clear" w:color="auto" w:fill="auto"/>
          </w:tcPr>
          <w:p w14:paraId="56156419" w14:textId="77777777" w:rsidR="00ED24D0" w:rsidRPr="001D3940" w:rsidRDefault="00ED24D0" w:rsidP="003964D0">
            <w:pPr>
              <w:tabs>
                <w:tab w:val="left" w:pos="0"/>
                <w:tab w:val="left" w:pos="444"/>
                <w:tab w:val="left" w:pos="720"/>
              </w:tabs>
              <w:spacing w:line="240" w:lineRule="atLeast"/>
              <w:jc w:val="center"/>
              <w:rPr>
                <w:color w:val="auto"/>
              </w:rPr>
            </w:pPr>
            <w:r w:rsidRPr="001D3940">
              <w:rPr>
                <w:b/>
                <w:color w:val="auto"/>
                <w:spacing w:val="-3"/>
                <w:szCs w:val="24"/>
              </w:rPr>
              <w:t>T/K</w:t>
            </w:r>
          </w:p>
        </w:tc>
      </w:tr>
      <w:tr w:rsidR="00ED24D0" w:rsidRPr="001D3940" w14:paraId="026B4B27" w14:textId="77777777" w:rsidTr="003964D0">
        <w:tc>
          <w:tcPr>
            <w:tcW w:w="3100" w:type="dxa"/>
            <w:tcBorders>
              <w:top w:val="single" w:sz="4" w:space="0" w:color="000000"/>
            </w:tcBorders>
            <w:shd w:val="clear" w:color="auto" w:fill="auto"/>
          </w:tcPr>
          <w:p w14:paraId="68521E45" w14:textId="77777777" w:rsidR="00ED24D0" w:rsidRPr="001D3940" w:rsidRDefault="00ED24D0" w:rsidP="003964D0">
            <w:pPr>
              <w:tabs>
                <w:tab w:val="left" w:pos="0"/>
                <w:tab w:val="left" w:pos="444"/>
                <w:tab w:val="left" w:pos="720"/>
              </w:tabs>
              <w:snapToGrid w:val="0"/>
              <w:spacing w:line="240" w:lineRule="atLeast"/>
              <w:jc w:val="center"/>
              <w:rPr>
                <w:i/>
                <w:color w:val="auto"/>
                <w:spacing w:val="-3"/>
                <w:szCs w:val="24"/>
              </w:rPr>
            </w:pPr>
          </w:p>
        </w:tc>
        <w:tc>
          <w:tcPr>
            <w:tcW w:w="3430" w:type="dxa"/>
            <w:tcBorders>
              <w:top w:val="single" w:sz="4" w:space="0" w:color="000000"/>
            </w:tcBorders>
            <w:shd w:val="clear" w:color="auto" w:fill="auto"/>
          </w:tcPr>
          <w:p w14:paraId="31602A03" w14:textId="77777777" w:rsidR="00ED24D0" w:rsidRPr="001D3940" w:rsidRDefault="00ED24D0" w:rsidP="003964D0">
            <w:pPr>
              <w:tabs>
                <w:tab w:val="left" w:pos="0"/>
                <w:tab w:val="left" w:pos="444"/>
                <w:tab w:val="left" w:pos="720"/>
              </w:tabs>
              <w:snapToGrid w:val="0"/>
              <w:spacing w:line="240" w:lineRule="atLeast"/>
              <w:rPr>
                <w:color w:val="auto"/>
                <w:spacing w:val="-3"/>
                <w:szCs w:val="24"/>
              </w:rPr>
            </w:pPr>
          </w:p>
        </w:tc>
        <w:tc>
          <w:tcPr>
            <w:tcW w:w="1992" w:type="dxa"/>
            <w:tcBorders>
              <w:top w:val="single" w:sz="4" w:space="0" w:color="000000"/>
            </w:tcBorders>
            <w:shd w:val="clear" w:color="auto" w:fill="auto"/>
          </w:tcPr>
          <w:p w14:paraId="513892F9" w14:textId="77777777" w:rsidR="00ED24D0" w:rsidRPr="001D3940" w:rsidRDefault="00ED24D0" w:rsidP="003964D0">
            <w:pPr>
              <w:tabs>
                <w:tab w:val="left" w:pos="0"/>
                <w:tab w:val="left" w:pos="444"/>
                <w:tab w:val="left" w:pos="720"/>
              </w:tabs>
              <w:snapToGrid w:val="0"/>
              <w:spacing w:line="240" w:lineRule="atLeast"/>
              <w:jc w:val="center"/>
              <w:rPr>
                <w:color w:val="auto"/>
                <w:spacing w:val="-3"/>
                <w:szCs w:val="24"/>
              </w:rPr>
            </w:pPr>
          </w:p>
        </w:tc>
      </w:tr>
      <w:tr w:rsidR="00ED24D0" w:rsidRPr="001D3940" w14:paraId="7477A495" w14:textId="77777777" w:rsidTr="003964D0">
        <w:tc>
          <w:tcPr>
            <w:tcW w:w="3100" w:type="dxa"/>
            <w:shd w:val="clear" w:color="auto" w:fill="auto"/>
          </w:tcPr>
          <w:p w14:paraId="692ED1D6" w14:textId="77777777" w:rsidR="00ED24D0" w:rsidRPr="001D3940" w:rsidRDefault="00ED24D0" w:rsidP="00B11AA9">
            <w:pPr>
              <w:tabs>
                <w:tab w:val="left" w:pos="0"/>
                <w:tab w:val="left" w:pos="444"/>
                <w:tab w:val="left" w:pos="720"/>
              </w:tabs>
              <w:spacing w:line="240" w:lineRule="atLeast"/>
              <w:jc w:val="center"/>
              <w:rPr>
                <w:color w:val="auto"/>
                <w:spacing w:val="-3"/>
              </w:rPr>
            </w:pPr>
            <w:r w:rsidRPr="001D3940">
              <w:rPr>
                <w:i/>
                <w:color w:val="auto"/>
                <w:spacing w:val="-3"/>
                <w:szCs w:val="24"/>
              </w:rPr>
              <w:t>k</w:t>
            </w:r>
            <w:r w:rsidR="00A5312B" w:rsidRPr="00B11AA9">
              <w:rPr>
                <w:color w:val="auto"/>
                <w:spacing w:val="-3"/>
                <w:szCs w:val="24"/>
                <w:vertAlign w:val="subscript"/>
              </w:rPr>
              <w:t>(</w:t>
            </w:r>
            <w:r w:rsidR="00A5312B" w:rsidRPr="00B11AA9">
              <w:rPr>
                <w:i/>
                <w:color w:val="auto"/>
                <w:spacing w:val="-3"/>
                <w:szCs w:val="24"/>
                <w:vertAlign w:val="subscript"/>
              </w:rPr>
              <w:t>Z</w:t>
            </w:r>
            <w:r w:rsidR="00A5312B" w:rsidRPr="00B11AA9">
              <w:rPr>
                <w:color w:val="auto"/>
                <w:spacing w:val="-3"/>
                <w:szCs w:val="24"/>
                <w:vertAlign w:val="subscript"/>
              </w:rPr>
              <w:t>-)</w:t>
            </w:r>
            <w:r w:rsidRPr="001D3940">
              <w:rPr>
                <w:color w:val="auto"/>
                <w:spacing w:val="-3"/>
                <w:szCs w:val="24"/>
              </w:rPr>
              <w:t>/cm</w:t>
            </w:r>
            <w:r w:rsidRPr="001D3940">
              <w:rPr>
                <w:color w:val="auto"/>
                <w:spacing w:val="-3"/>
                <w:szCs w:val="24"/>
                <w:vertAlign w:val="superscript"/>
              </w:rPr>
              <w:t>3</w:t>
            </w:r>
            <w:r w:rsidRPr="001D3940">
              <w:rPr>
                <w:color w:val="auto"/>
                <w:spacing w:val="-3"/>
                <w:szCs w:val="24"/>
              </w:rPr>
              <w:t xml:space="preserve"> molecule</w:t>
            </w:r>
            <w:r w:rsidRPr="001D3940">
              <w:rPr>
                <w:color w:val="auto"/>
                <w:spacing w:val="-3"/>
                <w:szCs w:val="24"/>
                <w:vertAlign w:val="superscript"/>
              </w:rPr>
              <w:t>-1</w:t>
            </w:r>
            <w:r w:rsidRPr="001D3940">
              <w:rPr>
                <w:color w:val="auto"/>
                <w:spacing w:val="-3"/>
                <w:szCs w:val="24"/>
              </w:rPr>
              <w:t xml:space="preserve"> s</w:t>
            </w:r>
            <w:r w:rsidRPr="001D3940">
              <w:rPr>
                <w:color w:val="auto"/>
                <w:spacing w:val="-3"/>
                <w:szCs w:val="24"/>
                <w:vertAlign w:val="superscript"/>
              </w:rPr>
              <w:t>-1</w:t>
            </w:r>
          </w:p>
        </w:tc>
        <w:tc>
          <w:tcPr>
            <w:tcW w:w="3430" w:type="dxa"/>
            <w:shd w:val="clear" w:color="auto" w:fill="auto"/>
          </w:tcPr>
          <w:p w14:paraId="4434E133" w14:textId="77777777" w:rsidR="00ED24D0" w:rsidRPr="00A5312B" w:rsidRDefault="00166667" w:rsidP="00A5312B">
            <w:pPr>
              <w:tabs>
                <w:tab w:val="left" w:pos="0"/>
                <w:tab w:val="left" w:pos="444"/>
                <w:tab w:val="left" w:pos="720"/>
              </w:tabs>
              <w:spacing w:line="240" w:lineRule="atLeast"/>
              <w:jc w:val="center"/>
              <w:rPr>
                <w:color w:val="auto"/>
                <w:spacing w:val="-3"/>
                <w:szCs w:val="24"/>
              </w:rPr>
            </w:pPr>
            <w:r>
              <w:t>2</w:t>
            </w:r>
            <w:r w:rsidR="00901240">
              <w:t>.0</w:t>
            </w:r>
            <w:r w:rsidR="0085481F">
              <w:t xml:space="preserve"> </w:t>
            </w:r>
            <w:r w:rsidR="0085481F" w:rsidRPr="001D3940">
              <w:rPr>
                <w:rFonts w:ascii="Symbol" w:hAnsi="Symbol" w:cs="Symbol"/>
                <w:color w:val="auto"/>
              </w:rPr>
              <w:t></w:t>
            </w:r>
            <w:r w:rsidR="0085481F">
              <w:t xml:space="preserve"> 10</w:t>
            </w:r>
            <w:r w:rsidR="0085481F">
              <w:rPr>
                <w:vertAlign w:val="superscript"/>
              </w:rPr>
              <w:t>-1</w:t>
            </w:r>
            <w:r w:rsidR="00C20F3E">
              <w:rPr>
                <w:vertAlign w:val="superscript"/>
              </w:rPr>
              <w:t>2</w:t>
            </w:r>
          </w:p>
        </w:tc>
        <w:tc>
          <w:tcPr>
            <w:tcW w:w="1992" w:type="dxa"/>
            <w:shd w:val="clear" w:color="auto" w:fill="auto"/>
          </w:tcPr>
          <w:p w14:paraId="3BB045EF" w14:textId="77777777" w:rsidR="00ED24D0" w:rsidRPr="001D3940" w:rsidRDefault="00ED24D0" w:rsidP="003964D0">
            <w:pPr>
              <w:tabs>
                <w:tab w:val="left" w:pos="0"/>
                <w:tab w:val="left" w:pos="444"/>
                <w:tab w:val="left" w:pos="720"/>
              </w:tabs>
              <w:spacing w:line="240" w:lineRule="atLeast"/>
              <w:jc w:val="center"/>
              <w:rPr>
                <w:color w:val="auto"/>
              </w:rPr>
            </w:pPr>
            <w:r w:rsidRPr="001D3940">
              <w:rPr>
                <w:color w:val="auto"/>
                <w:spacing w:val="-3"/>
                <w:szCs w:val="24"/>
              </w:rPr>
              <w:t>298</w:t>
            </w:r>
          </w:p>
        </w:tc>
      </w:tr>
      <w:tr w:rsidR="00A5312B" w:rsidRPr="001D3940" w14:paraId="7FDFA09D" w14:textId="77777777" w:rsidTr="003964D0">
        <w:tc>
          <w:tcPr>
            <w:tcW w:w="3100" w:type="dxa"/>
            <w:shd w:val="clear" w:color="auto" w:fill="auto"/>
          </w:tcPr>
          <w:p w14:paraId="2CF1E243" w14:textId="77777777" w:rsidR="00A5312B" w:rsidRPr="001D3940" w:rsidRDefault="00A5312B" w:rsidP="00B11AA9">
            <w:pPr>
              <w:tabs>
                <w:tab w:val="left" w:pos="0"/>
                <w:tab w:val="left" w:pos="444"/>
                <w:tab w:val="left" w:pos="720"/>
              </w:tabs>
              <w:spacing w:line="240" w:lineRule="atLeast"/>
              <w:jc w:val="center"/>
              <w:rPr>
                <w:color w:val="auto"/>
                <w:spacing w:val="-3"/>
              </w:rPr>
            </w:pPr>
            <w:r w:rsidRPr="001D3940">
              <w:rPr>
                <w:i/>
                <w:color w:val="auto"/>
                <w:spacing w:val="-3"/>
                <w:szCs w:val="24"/>
              </w:rPr>
              <w:t>k</w:t>
            </w:r>
            <w:r w:rsidRPr="00B11AA9">
              <w:rPr>
                <w:color w:val="auto"/>
                <w:spacing w:val="-3"/>
                <w:szCs w:val="24"/>
                <w:vertAlign w:val="subscript"/>
              </w:rPr>
              <w:t>(</w:t>
            </w:r>
            <w:r w:rsidRPr="00B11AA9">
              <w:rPr>
                <w:i/>
                <w:color w:val="auto"/>
                <w:spacing w:val="-3"/>
                <w:szCs w:val="24"/>
                <w:vertAlign w:val="subscript"/>
              </w:rPr>
              <w:t>E</w:t>
            </w:r>
            <w:r w:rsidRPr="00B11AA9">
              <w:rPr>
                <w:color w:val="auto"/>
                <w:spacing w:val="-3"/>
                <w:szCs w:val="24"/>
                <w:vertAlign w:val="subscript"/>
              </w:rPr>
              <w:t>-)</w:t>
            </w:r>
            <w:r w:rsidRPr="001D3940">
              <w:rPr>
                <w:color w:val="auto"/>
                <w:spacing w:val="-3"/>
                <w:szCs w:val="24"/>
              </w:rPr>
              <w:t>/cm</w:t>
            </w:r>
            <w:r w:rsidRPr="001D3940">
              <w:rPr>
                <w:color w:val="auto"/>
                <w:spacing w:val="-3"/>
                <w:szCs w:val="24"/>
                <w:vertAlign w:val="superscript"/>
              </w:rPr>
              <w:t>3</w:t>
            </w:r>
            <w:r w:rsidRPr="001D3940">
              <w:rPr>
                <w:color w:val="auto"/>
                <w:spacing w:val="-3"/>
                <w:szCs w:val="24"/>
              </w:rPr>
              <w:t xml:space="preserve"> molecule</w:t>
            </w:r>
            <w:r w:rsidRPr="001D3940">
              <w:rPr>
                <w:color w:val="auto"/>
                <w:spacing w:val="-3"/>
                <w:szCs w:val="24"/>
                <w:vertAlign w:val="superscript"/>
              </w:rPr>
              <w:t>-1</w:t>
            </w:r>
            <w:r w:rsidRPr="001D3940">
              <w:rPr>
                <w:color w:val="auto"/>
                <w:spacing w:val="-3"/>
                <w:szCs w:val="24"/>
              </w:rPr>
              <w:t xml:space="preserve"> s</w:t>
            </w:r>
            <w:r w:rsidRPr="001D3940">
              <w:rPr>
                <w:color w:val="auto"/>
                <w:spacing w:val="-3"/>
                <w:szCs w:val="24"/>
                <w:vertAlign w:val="superscript"/>
              </w:rPr>
              <w:t>-1</w:t>
            </w:r>
          </w:p>
        </w:tc>
        <w:tc>
          <w:tcPr>
            <w:tcW w:w="3430" w:type="dxa"/>
            <w:shd w:val="clear" w:color="auto" w:fill="auto"/>
          </w:tcPr>
          <w:p w14:paraId="5682012D" w14:textId="77777777" w:rsidR="00A5312B" w:rsidRPr="00A5312B" w:rsidRDefault="00166667" w:rsidP="00166667">
            <w:pPr>
              <w:tabs>
                <w:tab w:val="left" w:pos="0"/>
                <w:tab w:val="left" w:pos="444"/>
                <w:tab w:val="left" w:pos="720"/>
              </w:tabs>
              <w:spacing w:line="240" w:lineRule="atLeast"/>
              <w:jc w:val="center"/>
              <w:rPr>
                <w:color w:val="auto"/>
                <w:spacing w:val="-3"/>
                <w:szCs w:val="24"/>
              </w:rPr>
            </w:pPr>
            <w:r>
              <w:t>2</w:t>
            </w:r>
            <w:r w:rsidR="00901240">
              <w:t>.0</w:t>
            </w:r>
            <w:r w:rsidR="00A5312B">
              <w:t xml:space="preserve"> </w:t>
            </w:r>
            <w:r w:rsidR="00A5312B" w:rsidRPr="001D3940">
              <w:rPr>
                <w:rFonts w:ascii="Symbol" w:hAnsi="Symbol" w:cs="Symbol"/>
                <w:color w:val="auto"/>
              </w:rPr>
              <w:t></w:t>
            </w:r>
            <w:r w:rsidR="00A5312B">
              <w:t xml:space="preserve"> 10</w:t>
            </w:r>
            <w:r w:rsidR="00A5312B">
              <w:rPr>
                <w:vertAlign w:val="superscript"/>
              </w:rPr>
              <w:t>-1</w:t>
            </w:r>
            <w:r w:rsidR="00C20F3E">
              <w:rPr>
                <w:vertAlign w:val="superscript"/>
              </w:rPr>
              <w:t>2</w:t>
            </w:r>
          </w:p>
        </w:tc>
        <w:tc>
          <w:tcPr>
            <w:tcW w:w="1992" w:type="dxa"/>
            <w:shd w:val="clear" w:color="auto" w:fill="auto"/>
          </w:tcPr>
          <w:p w14:paraId="5473F735" w14:textId="77777777" w:rsidR="00A5312B" w:rsidRPr="001D3940" w:rsidRDefault="00A5312B" w:rsidP="00C77266">
            <w:pPr>
              <w:tabs>
                <w:tab w:val="left" w:pos="0"/>
                <w:tab w:val="left" w:pos="444"/>
                <w:tab w:val="left" w:pos="720"/>
              </w:tabs>
              <w:spacing w:line="240" w:lineRule="atLeast"/>
              <w:jc w:val="center"/>
              <w:rPr>
                <w:color w:val="auto"/>
              </w:rPr>
            </w:pPr>
            <w:r w:rsidRPr="001D3940">
              <w:rPr>
                <w:color w:val="auto"/>
                <w:spacing w:val="-3"/>
                <w:szCs w:val="24"/>
              </w:rPr>
              <w:t>298</w:t>
            </w:r>
          </w:p>
        </w:tc>
      </w:tr>
    </w:tbl>
    <w:p w14:paraId="4121AA9C" w14:textId="77777777" w:rsidR="00ED24D0" w:rsidRPr="001D3940" w:rsidRDefault="00ED24D0" w:rsidP="00ED24D0">
      <w:pPr>
        <w:tabs>
          <w:tab w:val="left" w:pos="0"/>
          <w:tab w:val="left" w:pos="444"/>
          <w:tab w:val="left" w:pos="720"/>
        </w:tabs>
        <w:spacing w:line="240" w:lineRule="atLeast"/>
        <w:jc w:val="both"/>
        <w:rPr>
          <w:color w:val="auto"/>
        </w:rPr>
      </w:pPr>
    </w:p>
    <w:p w14:paraId="439AFB03" w14:textId="77777777" w:rsidR="00ED24D0" w:rsidRPr="001D3940" w:rsidRDefault="00ED24D0" w:rsidP="00ED24D0">
      <w:pPr>
        <w:tabs>
          <w:tab w:val="left" w:pos="0"/>
          <w:tab w:val="left" w:pos="444"/>
          <w:tab w:val="left" w:pos="720"/>
        </w:tabs>
        <w:spacing w:line="240" w:lineRule="atLeast"/>
        <w:jc w:val="both"/>
        <w:rPr>
          <w:rFonts w:ascii="Symbol" w:hAnsi="Symbol"/>
          <w:color w:val="auto"/>
          <w:spacing w:val="-3"/>
          <w:szCs w:val="24"/>
        </w:rPr>
      </w:pPr>
      <w:r w:rsidRPr="001D3940">
        <w:rPr>
          <w:i/>
          <w:color w:val="auto"/>
          <w:spacing w:val="-3"/>
          <w:szCs w:val="24"/>
        </w:rPr>
        <w:t>Reliability</w:t>
      </w:r>
    </w:p>
    <w:tbl>
      <w:tblPr>
        <w:tblW w:w="0" w:type="auto"/>
        <w:tblInd w:w="454" w:type="dxa"/>
        <w:tblLayout w:type="fixed"/>
        <w:tblLook w:val="0000" w:firstRow="0" w:lastRow="0" w:firstColumn="0" w:lastColumn="0" w:noHBand="0" w:noVBand="0"/>
      </w:tblPr>
      <w:tblGrid>
        <w:gridCol w:w="3056"/>
        <w:gridCol w:w="3455"/>
        <w:gridCol w:w="2011"/>
      </w:tblGrid>
      <w:tr w:rsidR="0085481F" w:rsidRPr="001D3940" w14:paraId="42C45744" w14:textId="77777777" w:rsidTr="00A5312B">
        <w:tc>
          <w:tcPr>
            <w:tcW w:w="3056" w:type="dxa"/>
            <w:shd w:val="clear" w:color="auto" w:fill="auto"/>
          </w:tcPr>
          <w:p w14:paraId="2B9C81DA" w14:textId="77777777" w:rsidR="0085481F" w:rsidRPr="001D3940" w:rsidRDefault="0085481F" w:rsidP="00B11AA9">
            <w:pPr>
              <w:tabs>
                <w:tab w:val="left" w:pos="0"/>
                <w:tab w:val="left" w:pos="444"/>
                <w:tab w:val="left" w:pos="720"/>
              </w:tabs>
              <w:jc w:val="center"/>
              <w:rPr>
                <w:color w:val="auto"/>
                <w:spacing w:val="-3"/>
                <w:szCs w:val="24"/>
              </w:rPr>
            </w:pPr>
            <w:r w:rsidRPr="001D3940">
              <w:rPr>
                <w:rFonts w:ascii="Symbol" w:hAnsi="Symbol"/>
                <w:color w:val="auto"/>
                <w:spacing w:val="-3"/>
                <w:szCs w:val="24"/>
              </w:rPr>
              <w:t></w:t>
            </w:r>
            <w:r w:rsidRPr="001D3940">
              <w:rPr>
                <w:color w:val="auto"/>
                <w:spacing w:val="-3"/>
                <w:szCs w:val="24"/>
              </w:rPr>
              <w:t xml:space="preserve"> log</w:t>
            </w:r>
            <w:r w:rsidRPr="001D3940">
              <w:rPr>
                <w:i/>
                <w:color w:val="auto"/>
                <w:spacing w:val="-3"/>
                <w:szCs w:val="24"/>
              </w:rPr>
              <w:t xml:space="preserve"> </w:t>
            </w:r>
            <w:r w:rsidR="00A5312B" w:rsidRPr="001D3940">
              <w:rPr>
                <w:i/>
                <w:color w:val="auto"/>
                <w:spacing w:val="-3"/>
                <w:szCs w:val="24"/>
              </w:rPr>
              <w:t>k</w:t>
            </w:r>
            <w:r w:rsidR="00A5312B" w:rsidRPr="00B11AA9">
              <w:rPr>
                <w:color w:val="auto"/>
                <w:spacing w:val="-3"/>
                <w:szCs w:val="24"/>
                <w:vertAlign w:val="subscript"/>
              </w:rPr>
              <w:t>(</w:t>
            </w:r>
            <w:r w:rsidR="00A5312B" w:rsidRPr="00B11AA9">
              <w:rPr>
                <w:i/>
                <w:color w:val="auto"/>
                <w:spacing w:val="-3"/>
                <w:szCs w:val="24"/>
                <w:vertAlign w:val="subscript"/>
              </w:rPr>
              <w:t>Z</w:t>
            </w:r>
            <w:r w:rsidR="00A5312B" w:rsidRPr="00B11AA9">
              <w:rPr>
                <w:color w:val="auto"/>
                <w:spacing w:val="-3"/>
                <w:szCs w:val="24"/>
                <w:vertAlign w:val="subscript"/>
              </w:rPr>
              <w:t>-)</w:t>
            </w:r>
          </w:p>
        </w:tc>
        <w:tc>
          <w:tcPr>
            <w:tcW w:w="3455" w:type="dxa"/>
            <w:shd w:val="clear" w:color="auto" w:fill="auto"/>
          </w:tcPr>
          <w:p w14:paraId="2E2E40EB" w14:textId="77777777" w:rsidR="0085481F" w:rsidRPr="001D3940" w:rsidRDefault="0085481F" w:rsidP="00A5312B">
            <w:pPr>
              <w:tabs>
                <w:tab w:val="left" w:pos="0"/>
                <w:tab w:val="left" w:pos="444"/>
                <w:tab w:val="left" w:pos="720"/>
              </w:tabs>
              <w:jc w:val="center"/>
              <w:rPr>
                <w:color w:val="auto"/>
                <w:spacing w:val="-3"/>
                <w:szCs w:val="24"/>
              </w:rPr>
            </w:pPr>
            <w:r w:rsidRPr="001D3940">
              <w:rPr>
                <w:color w:val="auto"/>
                <w:spacing w:val="-3"/>
                <w:szCs w:val="24"/>
              </w:rPr>
              <w:t>± 0.</w:t>
            </w:r>
            <w:r w:rsidR="00A5312B">
              <w:rPr>
                <w:color w:val="auto"/>
                <w:spacing w:val="-3"/>
                <w:szCs w:val="24"/>
              </w:rPr>
              <w:t>1</w:t>
            </w:r>
            <w:r w:rsidR="00166667">
              <w:rPr>
                <w:color w:val="auto"/>
                <w:spacing w:val="-3"/>
                <w:szCs w:val="24"/>
              </w:rPr>
              <w:t>5</w:t>
            </w:r>
          </w:p>
        </w:tc>
        <w:tc>
          <w:tcPr>
            <w:tcW w:w="2011" w:type="dxa"/>
            <w:shd w:val="clear" w:color="auto" w:fill="auto"/>
          </w:tcPr>
          <w:p w14:paraId="3F7D3E1B" w14:textId="77777777" w:rsidR="0085481F" w:rsidRPr="001D3940" w:rsidRDefault="0085481F" w:rsidP="00A5312B">
            <w:pPr>
              <w:tabs>
                <w:tab w:val="left" w:pos="0"/>
                <w:tab w:val="left" w:pos="444"/>
                <w:tab w:val="left" w:pos="720"/>
              </w:tabs>
              <w:jc w:val="center"/>
              <w:rPr>
                <w:color w:val="auto"/>
              </w:rPr>
            </w:pPr>
            <w:r w:rsidRPr="001D3940">
              <w:rPr>
                <w:color w:val="auto"/>
                <w:spacing w:val="-3"/>
                <w:szCs w:val="24"/>
              </w:rPr>
              <w:t>298</w:t>
            </w:r>
          </w:p>
        </w:tc>
      </w:tr>
      <w:tr w:rsidR="00A5312B" w:rsidRPr="001D3940" w14:paraId="76DB325A" w14:textId="77777777" w:rsidTr="003964D0">
        <w:tc>
          <w:tcPr>
            <w:tcW w:w="3056" w:type="dxa"/>
            <w:tcBorders>
              <w:bottom w:val="single" w:sz="4" w:space="0" w:color="auto"/>
            </w:tcBorders>
            <w:shd w:val="clear" w:color="auto" w:fill="auto"/>
          </w:tcPr>
          <w:p w14:paraId="0154B428" w14:textId="77777777" w:rsidR="00A5312B" w:rsidRPr="001D3940" w:rsidRDefault="00A5312B" w:rsidP="00B11AA9">
            <w:pPr>
              <w:tabs>
                <w:tab w:val="left" w:pos="0"/>
                <w:tab w:val="left" w:pos="444"/>
                <w:tab w:val="left" w:pos="720"/>
              </w:tabs>
              <w:spacing w:after="120"/>
              <w:jc w:val="center"/>
              <w:rPr>
                <w:color w:val="auto"/>
                <w:spacing w:val="-3"/>
                <w:szCs w:val="24"/>
              </w:rPr>
            </w:pPr>
            <w:r w:rsidRPr="001D3940">
              <w:rPr>
                <w:rFonts w:ascii="Symbol" w:hAnsi="Symbol"/>
                <w:color w:val="auto"/>
                <w:spacing w:val="-3"/>
                <w:szCs w:val="24"/>
              </w:rPr>
              <w:t></w:t>
            </w:r>
            <w:r w:rsidRPr="001D3940">
              <w:rPr>
                <w:color w:val="auto"/>
                <w:spacing w:val="-3"/>
                <w:szCs w:val="24"/>
              </w:rPr>
              <w:t xml:space="preserve"> log</w:t>
            </w:r>
            <w:r w:rsidRPr="001D3940">
              <w:rPr>
                <w:i/>
                <w:color w:val="auto"/>
                <w:spacing w:val="-3"/>
                <w:szCs w:val="24"/>
              </w:rPr>
              <w:t xml:space="preserve"> k</w:t>
            </w:r>
            <w:r w:rsidRPr="00B11AA9">
              <w:rPr>
                <w:color w:val="auto"/>
                <w:spacing w:val="-3"/>
                <w:szCs w:val="24"/>
                <w:vertAlign w:val="subscript"/>
              </w:rPr>
              <w:t>(</w:t>
            </w:r>
            <w:r w:rsidRPr="00B11AA9">
              <w:rPr>
                <w:i/>
                <w:color w:val="auto"/>
                <w:spacing w:val="-3"/>
                <w:szCs w:val="24"/>
                <w:vertAlign w:val="subscript"/>
              </w:rPr>
              <w:t>E</w:t>
            </w:r>
            <w:r w:rsidRPr="00B11AA9">
              <w:rPr>
                <w:color w:val="auto"/>
                <w:spacing w:val="-3"/>
                <w:szCs w:val="24"/>
                <w:vertAlign w:val="subscript"/>
              </w:rPr>
              <w:t>-)</w:t>
            </w:r>
          </w:p>
        </w:tc>
        <w:tc>
          <w:tcPr>
            <w:tcW w:w="3455" w:type="dxa"/>
            <w:tcBorders>
              <w:bottom w:val="single" w:sz="4" w:space="0" w:color="auto"/>
            </w:tcBorders>
            <w:shd w:val="clear" w:color="auto" w:fill="auto"/>
          </w:tcPr>
          <w:p w14:paraId="29901DF3" w14:textId="77777777" w:rsidR="00A5312B" w:rsidRPr="001D3940" w:rsidRDefault="00A5312B" w:rsidP="00A5312B">
            <w:pPr>
              <w:tabs>
                <w:tab w:val="left" w:pos="0"/>
                <w:tab w:val="left" w:pos="444"/>
                <w:tab w:val="left" w:pos="720"/>
              </w:tabs>
              <w:jc w:val="center"/>
              <w:rPr>
                <w:color w:val="auto"/>
                <w:spacing w:val="-3"/>
                <w:szCs w:val="24"/>
              </w:rPr>
            </w:pPr>
            <w:r w:rsidRPr="001D3940">
              <w:rPr>
                <w:color w:val="auto"/>
                <w:spacing w:val="-3"/>
                <w:szCs w:val="24"/>
              </w:rPr>
              <w:t>± 0.</w:t>
            </w:r>
            <w:r>
              <w:rPr>
                <w:color w:val="auto"/>
                <w:spacing w:val="-3"/>
                <w:szCs w:val="24"/>
              </w:rPr>
              <w:t>3</w:t>
            </w:r>
          </w:p>
        </w:tc>
        <w:tc>
          <w:tcPr>
            <w:tcW w:w="2011" w:type="dxa"/>
            <w:tcBorders>
              <w:bottom w:val="single" w:sz="4" w:space="0" w:color="auto"/>
            </w:tcBorders>
            <w:shd w:val="clear" w:color="auto" w:fill="auto"/>
          </w:tcPr>
          <w:p w14:paraId="18D9CEB2" w14:textId="77777777" w:rsidR="00A5312B" w:rsidRPr="001D3940" w:rsidRDefault="00A5312B" w:rsidP="00C77266">
            <w:pPr>
              <w:tabs>
                <w:tab w:val="left" w:pos="0"/>
                <w:tab w:val="left" w:pos="444"/>
                <w:tab w:val="left" w:pos="720"/>
              </w:tabs>
              <w:jc w:val="center"/>
              <w:rPr>
                <w:color w:val="auto"/>
              </w:rPr>
            </w:pPr>
            <w:r w:rsidRPr="001D3940">
              <w:rPr>
                <w:color w:val="auto"/>
                <w:spacing w:val="-3"/>
                <w:szCs w:val="24"/>
              </w:rPr>
              <w:t>298</w:t>
            </w:r>
          </w:p>
        </w:tc>
      </w:tr>
    </w:tbl>
    <w:p w14:paraId="5227AB48" w14:textId="77777777" w:rsidR="0085481F" w:rsidRPr="0085481F" w:rsidRDefault="0085481F" w:rsidP="00ED24D0">
      <w:pPr>
        <w:numPr>
          <w:ilvl w:val="0"/>
          <w:numId w:val="2"/>
        </w:numPr>
        <w:tabs>
          <w:tab w:val="left" w:pos="-1440"/>
          <w:tab w:val="left" w:pos="-720"/>
          <w:tab w:val="left" w:pos="444"/>
        </w:tabs>
        <w:jc w:val="both"/>
        <w:rPr>
          <w:color w:val="auto"/>
        </w:rPr>
      </w:pPr>
    </w:p>
    <w:p w14:paraId="56E2BFB3" w14:textId="77777777" w:rsidR="00CA56DB" w:rsidRPr="00CA56DB" w:rsidRDefault="00CA56DB" w:rsidP="00ED24D0">
      <w:pPr>
        <w:numPr>
          <w:ilvl w:val="0"/>
          <w:numId w:val="2"/>
        </w:numPr>
        <w:tabs>
          <w:tab w:val="left" w:pos="-1440"/>
          <w:tab w:val="left" w:pos="-720"/>
          <w:tab w:val="left" w:pos="444"/>
        </w:tabs>
        <w:jc w:val="both"/>
        <w:rPr>
          <w:color w:val="auto"/>
        </w:rPr>
      </w:pPr>
    </w:p>
    <w:p w14:paraId="53E107FF" w14:textId="77777777" w:rsidR="00ED24D0" w:rsidRPr="001D3940" w:rsidRDefault="00ED24D0" w:rsidP="00ED24D0">
      <w:pPr>
        <w:numPr>
          <w:ilvl w:val="0"/>
          <w:numId w:val="2"/>
        </w:numPr>
        <w:tabs>
          <w:tab w:val="left" w:pos="-1440"/>
          <w:tab w:val="left" w:pos="-720"/>
          <w:tab w:val="left" w:pos="444"/>
        </w:tabs>
        <w:jc w:val="both"/>
        <w:rPr>
          <w:color w:val="auto"/>
        </w:rPr>
      </w:pPr>
      <w:r w:rsidRPr="001D3940">
        <w:rPr>
          <w:i/>
          <w:color w:val="auto"/>
        </w:rPr>
        <w:t>Comments on Preferred Values</w:t>
      </w:r>
    </w:p>
    <w:p w14:paraId="20595C75" w14:textId="77777777" w:rsidR="00064490" w:rsidRDefault="00064490" w:rsidP="00064490">
      <w:pPr>
        <w:numPr>
          <w:ilvl w:val="0"/>
          <w:numId w:val="2"/>
        </w:numPr>
        <w:tabs>
          <w:tab w:val="left" w:pos="-1440"/>
          <w:tab w:val="left" w:pos="-720"/>
          <w:tab w:val="left" w:pos="444"/>
        </w:tabs>
        <w:ind w:left="0" w:firstLine="442"/>
        <w:jc w:val="both"/>
      </w:pPr>
      <w:r w:rsidRPr="00CC6928">
        <w:t>The reported measurements on the overall rate coefficient for</w:t>
      </w:r>
      <w:r>
        <w:t xml:space="preserve"> the reaction of</w:t>
      </w:r>
      <w:r w:rsidRPr="00CC6928">
        <w:t xml:space="preserve"> </w:t>
      </w:r>
      <w:r>
        <w:rPr>
          <w:i/>
        </w:rPr>
        <w:t>Z</w:t>
      </w:r>
      <w:r w:rsidRPr="0034676A">
        <w:rPr>
          <w:i/>
        </w:rPr>
        <w:t>-</w:t>
      </w:r>
      <w:r w:rsidRPr="0034676A">
        <w:t xml:space="preserve"> and </w:t>
      </w:r>
      <w:r>
        <w:rPr>
          <w:i/>
        </w:rPr>
        <w:t>E</w:t>
      </w:r>
      <w:r w:rsidRPr="0034676A">
        <w:rPr>
          <w:i/>
        </w:rPr>
        <w:t>-</w:t>
      </w:r>
      <w:r w:rsidRPr="0034676A">
        <w:t>CH</w:t>
      </w:r>
      <w:r w:rsidRPr="0034676A">
        <w:rPr>
          <w:vertAlign w:val="subscript"/>
        </w:rPr>
        <w:t>3</w:t>
      </w:r>
      <w:r w:rsidRPr="0034676A">
        <w:t>CHOO</w:t>
      </w:r>
      <w:r w:rsidRPr="00CC6928">
        <w:t xml:space="preserve"> with NO</w:t>
      </w:r>
      <w:r w:rsidRPr="00CC6928">
        <w:rPr>
          <w:vertAlign w:val="subscript"/>
        </w:rPr>
        <w:t>2</w:t>
      </w:r>
      <w:r w:rsidRPr="00CC6928">
        <w:t xml:space="preserve"> from the two studies show good agreement. In the study of </w:t>
      </w:r>
      <w:proofErr w:type="spellStart"/>
      <w:r w:rsidRPr="00CC6928">
        <w:t>Taatjes</w:t>
      </w:r>
      <w:proofErr w:type="spellEnd"/>
      <w:r w:rsidRPr="00CC6928">
        <w:t xml:space="preserve"> et al</w:t>
      </w:r>
      <w:r>
        <w:t>.</w:t>
      </w:r>
      <w:r w:rsidRPr="00CC6928">
        <w:t xml:space="preserve"> (2013) a slightly faster reaction with the </w:t>
      </w:r>
      <w:r w:rsidRPr="00CC6928">
        <w:rPr>
          <w:i/>
        </w:rPr>
        <w:t>E</w:t>
      </w:r>
      <w:r w:rsidRPr="00CC6928">
        <w:t>-</w:t>
      </w:r>
      <w:r>
        <w:t xml:space="preserve"> </w:t>
      </w:r>
      <w:r w:rsidRPr="00CC6928">
        <w:t>conformer (statistically significant at 1</w:t>
      </w:r>
      <w:r w:rsidRPr="00CC6928">
        <w:rPr>
          <w:rFonts w:ascii="Symbol" w:hAnsi="Symbol"/>
        </w:rPr>
        <w:t></w:t>
      </w:r>
      <w:r w:rsidRPr="00CC6928">
        <w:t xml:space="preserve"> confidence interval) was reported. However</w:t>
      </w:r>
      <w:r>
        <w:t>,</w:t>
      </w:r>
      <w:r w:rsidRPr="00CC6928">
        <w:t xml:space="preserve"> </w:t>
      </w:r>
      <w:r>
        <w:t>the experiments</w:t>
      </w:r>
      <w:r w:rsidRPr="00CC6928">
        <w:t xml:space="preserve"> suffered from low signal quality, and the conformer dependence was not well defined. </w:t>
      </w:r>
      <w:r>
        <w:t xml:space="preserve">The </w:t>
      </w:r>
      <w:r w:rsidRPr="00CC6928">
        <w:t>Caravan et al</w:t>
      </w:r>
      <w:r>
        <w:t>.</w:t>
      </w:r>
      <w:r w:rsidRPr="00CC6928">
        <w:t xml:space="preserve"> (2017)</w:t>
      </w:r>
      <w:r>
        <w:t xml:space="preserve"> </w:t>
      </w:r>
      <w:r w:rsidRPr="00CC6928">
        <w:t>kinetic measurements were confined predominantly</w:t>
      </w:r>
      <w:r>
        <w:t xml:space="preserve"> to the</w:t>
      </w:r>
      <w:r w:rsidRPr="00CC6928">
        <w:t xml:space="preserve"> </w:t>
      </w:r>
      <w:r w:rsidRPr="00CC6928">
        <w:rPr>
          <w:i/>
        </w:rPr>
        <w:t>Z</w:t>
      </w:r>
      <w:r w:rsidRPr="00CC6928">
        <w:t>- conformer of CH</w:t>
      </w:r>
      <w:r w:rsidRPr="00CC6928">
        <w:rPr>
          <w:vertAlign w:val="subscript"/>
        </w:rPr>
        <w:t>3</w:t>
      </w:r>
      <w:r w:rsidRPr="00CC6928">
        <w:t>CHOO</w:t>
      </w:r>
      <w:r>
        <w:t>, and</w:t>
      </w:r>
      <w:r w:rsidRPr="00CC6928">
        <w:t xml:space="preserve"> reported a barely significant</w:t>
      </w:r>
      <w:r>
        <w:t xml:space="preserve"> pressure dependence over the range 20</w:t>
      </w:r>
      <w:r w:rsidRPr="00CC6928">
        <w:rPr>
          <w:rFonts w:ascii="Symbol" w:hAnsi="Symbol"/>
        </w:rPr>
        <w:t></w:t>
      </w:r>
      <w:r>
        <w:t>40 Torr</w:t>
      </w:r>
      <w:r w:rsidRPr="00CC6928">
        <w:t>.</w:t>
      </w:r>
    </w:p>
    <w:p w14:paraId="4C0179A9" w14:textId="11F14316" w:rsidR="00FD2AD1" w:rsidRDefault="00064490" w:rsidP="00064490">
      <w:pPr>
        <w:numPr>
          <w:ilvl w:val="0"/>
          <w:numId w:val="2"/>
        </w:numPr>
        <w:tabs>
          <w:tab w:val="left" w:pos="-1440"/>
          <w:tab w:val="left" w:pos="-720"/>
          <w:tab w:val="left" w:pos="444"/>
        </w:tabs>
        <w:ind w:left="0" w:firstLine="442"/>
        <w:jc w:val="both"/>
      </w:pPr>
      <w:r w:rsidRPr="0034676A">
        <w:t>Earlier efforts to characterize the yield of NO</w:t>
      </w:r>
      <w:r w:rsidRPr="0034676A">
        <w:rPr>
          <w:vertAlign w:val="subscript"/>
        </w:rPr>
        <w:t xml:space="preserve">3 </w:t>
      </w:r>
      <w:r w:rsidRPr="0034676A">
        <w:t>from th</w:t>
      </w:r>
      <w:r>
        <w:t xml:space="preserve">is and other </w:t>
      </w:r>
      <w:proofErr w:type="spellStart"/>
      <w:r>
        <w:t>sCI</w:t>
      </w:r>
      <w:proofErr w:type="spellEnd"/>
      <w:r>
        <w:t xml:space="preserve"> + NO</w:t>
      </w:r>
      <w:r w:rsidRPr="00CE1040">
        <w:rPr>
          <w:vertAlign w:val="subscript"/>
        </w:rPr>
        <w:t>2</w:t>
      </w:r>
      <w:r>
        <w:t xml:space="preserve"> </w:t>
      </w:r>
      <w:r w:rsidRPr="0034676A">
        <w:t>reactions have been inconclusive</w:t>
      </w:r>
      <w:r>
        <w:t>. M</w:t>
      </w:r>
      <w:r w:rsidRPr="0034676A">
        <w:t xml:space="preserve">any studies </w:t>
      </w:r>
      <w:r>
        <w:t>have failed</w:t>
      </w:r>
      <w:r w:rsidRPr="0034676A">
        <w:t xml:space="preserve"> to detect NO</w:t>
      </w:r>
      <w:r w:rsidRPr="0034676A">
        <w:rPr>
          <w:vertAlign w:val="subscript"/>
        </w:rPr>
        <w:t>3</w:t>
      </w:r>
      <w:r>
        <w:t xml:space="preserve">, including </w:t>
      </w:r>
      <w:r w:rsidRPr="0034676A">
        <w:t>Caravan et al</w:t>
      </w:r>
      <w:r>
        <w:t>.</w:t>
      </w:r>
      <w:r w:rsidRPr="0034676A">
        <w:t xml:space="preserve"> (2017) over a pressure range of 4</w:t>
      </w:r>
      <w:r w:rsidRPr="00CC6928">
        <w:rPr>
          <w:rFonts w:ascii="Symbol" w:hAnsi="Symbol"/>
        </w:rPr>
        <w:t></w:t>
      </w:r>
      <w:r w:rsidRPr="0034676A">
        <w:t>40 Torr.</w:t>
      </w:r>
      <w:r>
        <w:t xml:space="preserve"> H</w:t>
      </w:r>
      <w:r w:rsidRPr="0034676A">
        <w:t>owever, a temporally resolved and [NO</w:t>
      </w:r>
      <w:r w:rsidRPr="0034676A">
        <w:rPr>
          <w:vertAlign w:val="subscript"/>
        </w:rPr>
        <w:t>2</w:t>
      </w:r>
      <w:r w:rsidRPr="0034676A">
        <w:t xml:space="preserve">]-dependent signal </w:t>
      </w:r>
      <w:r>
        <w:t>was</w:t>
      </w:r>
      <w:r w:rsidRPr="0034676A">
        <w:t xml:space="preserve"> observed at the mass of the Criegee-NO</w:t>
      </w:r>
      <w:r w:rsidRPr="0034676A">
        <w:rPr>
          <w:vertAlign w:val="subscript"/>
        </w:rPr>
        <w:t xml:space="preserve">2 </w:t>
      </w:r>
      <w:r w:rsidRPr="0034676A">
        <w:t xml:space="preserve">adduct for both </w:t>
      </w:r>
      <w:r>
        <w:t>the CH</w:t>
      </w:r>
      <w:r w:rsidRPr="00CC6928">
        <w:rPr>
          <w:vertAlign w:val="subscript"/>
        </w:rPr>
        <w:t>2</w:t>
      </w:r>
      <w:r>
        <w:t>OO</w:t>
      </w:r>
      <w:r w:rsidRPr="0034676A">
        <w:t xml:space="preserve"> and CH</w:t>
      </w:r>
      <w:r w:rsidRPr="0034676A">
        <w:rPr>
          <w:vertAlign w:val="subscript"/>
        </w:rPr>
        <w:t>3</w:t>
      </w:r>
      <w:r w:rsidRPr="0034676A">
        <w:t xml:space="preserve">CHOO systems, and the structure of this adduct </w:t>
      </w:r>
      <w:r>
        <w:t>wa</w:t>
      </w:r>
      <w:r w:rsidRPr="0034676A">
        <w:t xml:space="preserve">s explored through </w:t>
      </w:r>
      <w:r w:rsidRPr="00CC6928">
        <w:rPr>
          <w:i/>
        </w:rPr>
        <w:t>ab initio</w:t>
      </w:r>
      <w:r w:rsidRPr="0034676A">
        <w:t xml:space="preserve"> calc</w:t>
      </w:r>
      <w:r>
        <w:t>ulations</w:t>
      </w:r>
      <w:r w:rsidRPr="0034676A">
        <w:t>. Its origin from a direct CI reaction was demonstrated by observation of its efficient scavenging by SO</w:t>
      </w:r>
      <w:r w:rsidRPr="0034676A">
        <w:rPr>
          <w:vertAlign w:val="subscript"/>
        </w:rPr>
        <w:t>2</w:t>
      </w:r>
      <w:r w:rsidRPr="0034676A">
        <w:t>. It is postulated that this adduct is the major reaction product and, based on the acetaldehyde signal, an upper limit of &lt;</w:t>
      </w:r>
      <w:r>
        <w:t xml:space="preserve"> </w:t>
      </w:r>
      <w:r w:rsidRPr="0034676A">
        <w:t>30</w:t>
      </w:r>
      <w:r>
        <w:t xml:space="preserve"> </w:t>
      </w:r>
      <w:r w:rsidRPr="0034676A">
        <w:t>% is placed on the NO</w:t>
      </w:r>
      <w:r w:rsidRPr="0034676A">
        <w:rPr>
          <w:vertAlign w:val="subscript"/>
        </w:rPr>
        <w:t xml:space="preserve">3 </w:t>
      </w:r>
      <w:r w:rsidRPr="0034676A">
        <w:t>+ acetaldehyde yield. The fate of these Criegee</w:t>
      </w:r>
      <w:r>
        <w:t>-</w:t>
      </w:r>
      <w:r w:rsidRPr="0034676A">
        <w:t>NO</w:t>
      </w:r>
      <w:r w:rsidRPr="0034676A">
        <w:rPr>
          <w:vertAlign w:val="subscript"/>
        </w:rPr>
        <w:t>2</w:t>
      </w:r>
      <w:r w:rsidRPr="0034676A">
        <w:t xml:space="preserve"> adducts requires further investigation to fully understand the impact of this reaction on tropospheric NO</w:t>
      </w:r>
      <w:r w:rsidRPr="00901240">
        <w:rPr>
          <w:vertAlign w:val="subscript"/>
        </w:rPr>
        <w:t>x</w:t>
      </w:r>
      <w:r w:rsidRPr="0034676A">
        <w:t>.</w:t>
      </w:r>
    </w:p>
    <w:p w14:paraId="6FA515A5" w14:textId="77777777" w:rsidR="00EB3BD8" w:rsidRDefault="00EB3BD8" w:rsidP="002D26FD">
      <w:pPr>
        <w:tabs>
          <w:tab w:val="left" w:pos="-1440"/>
          <w:tab w:val="left" w:pos="-720"/>
          <w:tab w:val="left" w:pos="444"/>
        </w:tabs>
        <w:ind w:firstLine="444"/>
        <w:jc w:val="both"/>
      </w:pPr>
    </w:p>
    <w:p w14:paraId="2B3C3F32" w14:textId="77777777" w:rsidR="00945495" w:rsidRDefault="00945495" w:rsidP="00945495">
      <w:pPr>
        <w:tabs>
          <w:tab w:val="left" w:pos="-1440"/>
          <w:tab w:val="left" w:pos="-720"/>
          <w:tab w:val="left" w:pos="444"/>
        </w:tabs>
        <w:ind w:firstLine="444"/>
        <w:jc w:val="both"/>
      </w:pPr>
    </w:p>
    <w:p w14:paraId="41513C80" w14:textId="77777777" w:rsidR="00945495" w:rsidRDefault="00945495" w:rsidP="00945495">
      <w:pPr>
        <w:jc w:val="center"/>
      </w:pPr>
      <w:r>
        <w:rPr>
          <w:b/>
          <w:bCs/>
        </w:rPr>
        <w:t>References</w:t>
      </w:r>
    </w:p>
    <w:p w14:paraId="648AE472" w14:textId="77777777" w:rsidR="007A2AFA" w:rsidRDefault="007A2AFA" w:rsidP="007A2AFA">
      <w:pPr>
        <w:jc w:val="both"/>
        <w:rPr>
          <w:lang w:val="de-DE"/>
        </w:rPr>
      </w:pPr>
    </w:p>
    <w:p w14:paraId="3F6AE379" w14:textId="77777777" w:rsidR="00A23A24" w:rsidRDefault="00901240" w:rsidP="0030723D">
      <w:pPr>
        <w:tabs>
          <w:tab w:val="center" w:pos="4680"/>
        </w:tabs>
        <w:ind w:left="289" w:hanging="289"/>
        <w:jc w:val="both"/>
        <w:rPr>
          <w:color w:val="auto"/>
          <w:szCs w:val="24"/>
        </w:rPr>
      </w:pPr>
      <w:r w:rsidRPr="00901240">
        <w:rPr>
          <w:color w:val="auto"/>
          <w:szCs w:val="24"/>
        </w:rPr>
        <w:t xml:space="preserve">Caravan, R. L., Khan, M. A. H., </w:t>
      </w:r>
      <w:proofErr w:type="spellStart"/>
      <w:r w:rsidRPr="00901240">
        <w:rPr>
          <w:color w:val="auto"/>
          <w:szCs w:val="24"/>
        </w:rPr>
        <w:t>Rotavera</w:t>
      </w:r>
      <w:proofErr w:type="spellEnd"/>
      <w:r w:rsidRPr="00901240">
        <w:rPr>
          <w:color w:val="auto"/>
          <w:szCs w:val="24"/>
        </w:rPr>
        <w:t xml:space="preserve">, B., </w:t>
      </w:r>
      <w:proofErr w:type="spellStart"/>
      <w:r w:rsidRPr="00901240">
        <w:rPr>
          <w:color w:val="auto"/>
          <w:szCs w:val="24"/>
        </w:rPr>
        <w:t>Papajak</w:t>
      </w:r>
      <w:proofErr w:type="spellEnd"/>
      <w:r w:rsidRPr="00901240">
        <w:rPr>
          <w:color w:val="auto"/>
          <w:szCs w:val="24"/>
        </w:rPr>
        <w:t>, E., Antonov, I. O., Chen, M.-W., Au, K., Chao, W., Osborn, D. L., Lin, J. J.-M., Percival, C. J., Shallcross, D. E.</w:t>
      </w:r>
      <w:r>
        <w:rPr>
          <w:color w:val="auto"/>
          <w:szCs w:val="24"/>
        </w:rPr>
        <w:t>,</w:t>
      </w:r>
      <w:r w:rsidRPr="00901240">
        <w:rPr>
          <w:color w:val="auto"/>
          <w:szCs w:val="24"/>
        </w:rPr>
        <w:t xml:space="preserve"> and C. A. </w:t>
      </w:r>
      <w:proofErr w:type="spellStart"/>
      <w:r w:rsidRPr="00901240">
        <w:rPr>
          <w:color w:val="auto"/>
          <w:szCs w:val="24"/>
        </w:rPr>
        <w:t>Taatjes</w:t>
      </w:r>
      <w:proofErr w:type="spellEnd"/>
      <w:r>
        <w:rPr>
          <w:color w:val="auto"/>
          <w:szCs w:val="24"/>
        </w:rPr>
        <w:t>:</w:t>
      </w:r>
      <w:r w:rsidRPr="00901240">
        <w:rPr>
          <w:color w:val="auto"/>
          <w:szCs w:val="24"/>
        </w:rPr>
        <w:t xml:space="preserve"> Faraday Discuss., 200, 313, 2017.</w:t>
      </w:r>
    </w:p>
    <w:p w14:paraId="02A56EAE" w14:textId="28BD09A8" w:rsidR="00A23A24" w:rsidRPr="00A23A24" w:rsidRDefault="00A23A24" w:rsidP="0030723D">
      <w:pPr>
        <w:tabs>
          <w:tab w:val="center" w:pos="4680"/>
        </w:tabs>
        <w:ind w:left="289" w:hanging="289"/>
        <w:jc w:val="both"/>
        <w:rPr>
          <w:color w:val="auto"/>
          <w:szCs w:val="24"/>
        </w:rPr>
      </w:pPr>
      <w:proofErr w:type="spellStart"/>
      <w:r w:rsidRPr="00A23A24">
        <w:rPr>
          <w:color w:val="auto"/>
          <w:szCs w:val="24"/>
        </w:rPr>
        <w:t>Taatjes</w:t>
      </w:r>
      <w:proofErr w:type="spellEnd"/>
      <w:r w:rsidRPr="00A23A24">
        <w:rPr>
          <w:color w:val="auto"/>
          <w:szCs w:val="24"/>
        </w:rPr>
        <w:t xml:space="preserve">, C. A., </w:t>
      </w:r>
      <w:proofErr w:type="spellStart"/>
      <w:r w:rsidRPr="00A23A24">
        <w:rPr>
          <w:color w:val="auto"/>
          <w:szCs w:val="24"/>
        </w:rPr>
        <w:t>Welz</w:t>
      </w:r>
      <w:proofErr w:type="spellEnd"/>
      <w:r w:rsidRPr="00A23A24">
        <w:rPr>
          <w:color w:val="auto"/>
          <w:szCs w:val="24"/>
        </w:rPr>
        <w:t xml:space="preserve">, </w:t>
      </w:r>
      <w:r w:rsidR="00952F2D">
        <w:rPr>
          <w:color w:val="auto"/>
          <w:szCs w:val="24"/>
        </w:rPr>
        <w:t>O</w:t>
      </w:r>
      <w:r w:rsidRPr="00A23A24">
        <w:rPr>
          <w:color w:val="auto"/>
          <w:szCs w:val="24"/>
        </w:rPr>
        <w:t xml:space="preserve">.; </w:t>
      </w:r>
      <w:proofErr w:type="spellStart"/>
      <w:r w:rsidRPr="00A23A24">
        <w:rPr>
          <w:color w:val="auto"/>
          <w:szCs w:val="24"/>
        </w:rPr>
        <w:t>Eskola</w:t>
      </w:r>
      <w:proofErr w:type="spellEnd"/>
      <w:r w:rsidRPr="00A23A24">
        <w:rPr>
          <w:color w:val="auto"/>
          <w:szCs w:val="24"/>
        </w:rPr>
        <w:t xml:space="preserve">, A. J., </w:t>
      </w:r>
      <w:proofErr w:type="spellStart"/>
      <w:r w:rsidRPr="00A23A24">
        <w:rPr>
          <w:color w:val="auto"/>
          <w:szCs w:val="24"/>
        </w:rPr>
        <w:t>Savee</w:t>
      </w:r>
      <w:proofErr w:type="spellEnd"/>
      <w:r w:rsidRPr="00A23A24">
        <w:rPr>
          <w:color w:val="auto"/>
          <w:szCs w:val="24"/>
        </w:rPr>
        <w:t xml:space="preserve">, J. D., Scheer, A. M., Shallcross, D. E., </w:t>
      </w:r>
      <w:proofErr w:type="spellStart"/>
      <w:r w:rsidRPr="00A23A24">
        <w:rPr>
          <w:color w:val="auto"/>
          <w:szCs w:val="24"/>
        </w:rPr>
        <w:t>Rotavera</w:t>
      </w:r>
      <w:proofErr w:type="spellEnd"/>
      <w:r w:rsidRPr="00A23A24">
        <w:rPr>
          <w:color w:val="auto"/>
          <w:szCs w:val="24"/>
        </w:rPr>
        <w:t xml:space="preserve">, B., Lee, E. P. F., Dyke, J. M., </w:t>
      </w:r>
      <w:proofErr w:type="spellStart"/>
      <w:r w:rsidRPr="00A23A24">
        <w:rPr>
          <w:color w:val="auto"/>
          <w:szCs w:val="24"/>
        </w:rPr>
        <w:t>Mok</w:t>
      </w:r>
      <w:proofErr w:type="spellEnd"/>
      <w:r w:rsidRPr="00A23A24">
        <w:rPr>
          <w:color w:val="auto"/>
          <w:szCs w:val="24"/>
        </w:rPr>
        <w:t>, D. K. W., Osborn, D. L., and Percival, C. J.: Science, 340, 171, 2013.</w:t>
      </w:r>
    </w:p>
    <w:sectPr w:rsidR="00A23A24" w:rsidRPr="00A23A24">
      <w:footerReference w:type="default" r:id="rId9"/>
      <w:footerReference w:type="first" r:id="rId10"/>
      <w:pgSz w:w="11906" w:h="16838"/>
      <w:pgMar w:top="1440" w:right="842" w:bottom="1440" w:left="10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8FCEC" w14:textId="77777777" w:rsidR="00A2505D" w:rsidRDefault="00A2505D">
      <w:r>
        <w:separator/>
      </w:r>
    </w:p>
  </w:endnote>
  <w:endnote w:type="continuationSeparator" w:id="0">
    <w:p w14:paraId="49239A67" w14:textId="77777777" w:rsidR="00A2505D" w:rsidRDefault="00A2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Liberation Sans">
    <w:altName w:val="Yu Gothic"/>
    <w:charset w:val="8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ohit Devanagari">
    <w:altName w:val="MS Gothic"/>
    <w:charset w:val="80"/>
    <w:family w:val="auto"/>
    <w:pitch w:val="variable"/>
  </w:font>
  <w:font w:name="DejaVu Sans">
    <w:charset w:val="80"/>
    <w:family w:val="auto"/>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e364b11">
    <w:altName w:val="Times New Roman"/>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BF704" w14:textId="77777777" w:rsidR="00667891" w:rsidRDefault="00667891">
    <w:pPr>
      <w:pStyle w:val="Footer"/>
    </w:pPr>
    <w:r>
      <w:pict w14:anchorId="50B3DD2A">
        <v:shapetype id="_x0000_t202" coordsize="21600,21600" o:spt="202" path="m,l,21600r21600,l21600,xe">
          <v:stroke joinstyle="miter"/>
          <v:path gradientshapeok="t" o:connecttype="rect"/>
        </v:shapetype>
        <v:shape id="_x0000_s2049" type="#_x0000_t202" style="position:absolute;margin-left:0;margin-top:.05pt;width:5.8pt;height:13.55pt;z-index:1;mso-wrap-distance-left:0;mso-wrap-distance-right:0;mso-position-horizontal:center;mso-position-horizontal-relative:margin" stroked="f">
          <v:fill opacity="0" color2="black"/>
          <v:textbox inset="0,0,0,0">
            <w:txbxContent>
              <w:p w14:paraId="1F3880FB" w14:textId="77777777" w:rsidR="00667891" w:rsidRDefault="00667891">
                <w:pPr>
                  <w:pStyle w:val="Footer"/>
                </w:pPr>
                <w:r>
                  <w:rPr>
                    <w:rStyle w:val="PageNumber"/>
                  </w:rPr>
                  <w:fldChar w:fldCharType="begin"/>
                </w:r>
                <w:r>
                  <w:rPr>
                    <w:rStyle w:val="PageNumber"/>
                  </w:rPr>
                  <w:instrText xml:space="preserve"> PAGE </w:instrText>
                </w:r>
                <w:r>
                  <w:rPr>
                    <w:rStyle w:val="PageNumber"/>
                  </w:rPr>
                  <w:fldChar w:fldCharType="separate"/>
                </w:r>
                <w:r w:rsidR="008517B5">
                  <w:rPr>
                    <w:rStyle w:val="PageNumber"/>
                    <w:noProof/>
                  </w:rPr>
                  <w:t>1</w:t>
                </w:r>
                <w:r>
                  <w:rPr>
                    <w:rStyle w:val="PageNumber"/>
                  </w:rPr>
                  <w:fldChar w:fldCharType="end"/>
                </w:r>
              </w:p>
            </w:txbxContent>
          </v:textbox>
          <w10:wrap type="square" side="largest"/>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A256F" w14:textId="77777777" w:rsidR="00667891" w:rsidRDefault="006678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0450E" w14:textId="77777777" w:rsidR="00A2505D" w:rsidRDefault="00A2505D">
      <w:r>
        <w:separator/>
      </w:r>
    </w:p>
  </w:footnote>
  <w:footnote w:type="continuationSeparator" w:id="0">
    <w:p w14:paraId="7B84FEEE" w14:textId="77777777" w:rsidR="00A2505D" w:rsidRDefault="00A25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lowerLetter"/>
      <w:lvlText w:val="(%1)"/>
      <w:lvlJc w:val="left"/>
      <w:pPr>
        <w:tabs>
          <w:tab w:val="num" w:pos="360"/>
        </w:tabs>
        <w:ind w:left="360" w:hanging="360"/>
      </w:pPr>
    </w:lvl>
  </w:abstractNum>
  <w:abstractNum w:abstractNumId="3" w15:restartNumberingAfterBreak="0">
    <w:nsid w:val="55BC4BFB"/>
    <w:multiLevelType w:val="multilevel"/>
    <w:tmpl w:val="8716C782"/>
    <w:lvl w:ilvl="0">
      <w:start w:val="1"/>
      <w:numFmt w:val="decimal"/>
      <w:lvlText w:val="B%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2CF52A1"/>
    <w:multiLevelType w:val="hybridMultilevel"/>
    <w:tmpl w:val="65305B30"/>
    <w:name w:val="WW8Num221"/>
    <w:lvl w:ilvl="0" w:tplc="FF32D5DC">
      <w:start w:val="1"/>
      <w:numFmt w:val="lowerLetter"/>
      <w:lvlText w:val="(%1)"/>
      <w:lvlJc w:val="left"/>
      <w:pPr>
        <w:tabs>
          <w:tab w:val="num" w:pos="360"/>
        </w:tabs>
        <w:ind w:left="36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4307"/>
    <w:rsid w:val="00025707"/>
    <w:rsid w:val="00026185"/>
    <w:rsid w:val="00051639"/>
    <w:rsid w:val="00060F84"/>
    <w:rsid w:val="00064490"/>
    <w:rsid w:val="00073E26"/>
    <w:rsid w:val="00082371"/>
    <w:rsid w:val="00083A9E"/>
    <w:rsid w:val="00087559"/>
    <w:rsid w:val="000917D3"/>
    <w:rsid w:val="000A5DB0"/>
    <w:rsid w:val="000B1E91"/>
    <w:rsid w:val="000B4DB6"/>
    <w:rsid w:val="000C6109"/>
    <w:rsid w:val="000D5266"/>
    <w:rsid w:val="00103BFE"/>
    <w:rsid w:val="00110DA2"/>
    <w:rsid w:val="00127FA2"/>
    <w:rsid w:val="00137720"/>
    <w:rsid w:val="00165737"/>
    <w:rsid w:val="00166667"/>
    <w:rsid w:val="00187FB3"/>
    <w:rsid w:val="001932A4"/>
    <w:rsid w:val="00196AE4"/>
    <w:rsid w:val="00230481"/>
    <w:rsid w:val="00230EA1"/>
    <w:rsid w:val="00257C1E"/>
    <w:rsid w:val="00263004"/>
    <w:rsid w:val="0027752A"/>
    <w:rsid w:val="00286AEC"/>
    <w:rsid w:val="00296D05"/>
    <w:rsid w:val="002B748A"/>
    <w:rsid w:val="002B76A5"/>
    <w:rsid w:val="002D26FD"/>
    <w:rsid w:val="0030723D"/>
    <w:rsid w:val="003738B3"/>
    <w:rsid w:val="00374307"/>
    <w:rsid w:val="003964D0"/>
    <w:rsid w:val="003A5B6D"/>
    <w:rsid w:val="003B2E4A"/>
    <w:rsid w:val="003B61AE"/>
    <w:rsid w:val="003C25D8"/>
    <w:rsid w:val="003E0DEE"/>
    <w:rsid w:val="003F4552"/>
    <w:rsid w:val="00400E22"/>
    <w:rsid w:val="0044732A"/>
    <w:rsid w:val="0044764F"/>
    <w:rsid w:val="004478AE"/>
    <w:rsid w:val="004B43B1"/>
    <w:rsid w:val="004E7933"/>
    <w:rsid w:val="004F00DE"/>
    <w:rsid w:val="00506C23"/>
    <w:rsid w:val="00510981"/>
    <w:rsid w:val="00525C80"/>
    <w:rsid w:val="0052659C"/>
    <w:rsid w:val="00543848"/>
    <w:rsid w:val="00544596"/>
    <w:rsid w:val="005532D9"/>
    <w:rsid w:val="00581FF4"/>
    <w:rsid w:val="0058473E"/>
    <w:rsid w:val="00597285"/>
    <w:rsid w:val="005C5BC3"/>
    <w:rsid w:val="005D0E90"/>
    <w:rsid w:val="005F30D4"/>
    <w:rsid w:val="005F7772"/>
    <w:rsid w:val="00605352"/>
    <w:rsid w:val="00637C26"/>
    <w:rsid w:val="00643BD9"/>
    <w:rsid w:val="006622D2"/>
    <w:rsid w:val="00667891"/>
    <w:rsid w:val="006C308C"/>
    <w:rsid w:val="006F09CD"/>
    <w:rsid w:val="006F79CA"/>
    <w:rsid w:val="00705785"/>
    <w:rsid w:val="00713905"/>
    <w:rsid w:val="00722811"/>
    <w:rsid w:val="00743D70"/>
    <w:rsid w:val="00744DCF"/>
    <w:rsid w:val="007565E5"/>
    <w:rsid w:val="00773C03"/>
    <w:rsid w:val="00773E84"/>
    <w:rsid w:val="00777B41"/>
    <w:rsid w:val="007A2AFA"/>
    <w:rsid w:val="007B5080"/>
    <w:rsid w:val="007D12BB"/>
    <w:rsid w:val="007F4289"/>
    <w:rsid w:val="008401F1"/>
    <w:rsid w:val="008517B5"/>
    <w:rsid w:val="0085481F"/>
    <w:rsid w:val="008605B7"/>
    <w:rsid w:val="00880FE5"/>
    <w:rsid w:val="00894283"/>
    <w:rsid w:val="008A67F2"/>
    <w:rsid w:val="008B02B0"/>
    <w:rsid w:val="008B3D0F"/>
    <w:rsid w:val="008E0710"/>
    <w:rsid w:val="008E2AF2"/>
    <w:rsid w:val="008E4057"/>
    <w:rsid w:val="008E758B"/>
    <w:rsid w:val="00901240"/>
    <w:rsid w:val="00906C25"/>
    <w:rsid w:val="00937BE5"/>
    <w:rsid w:val="00945495"/>
    <w:rsid w:val="00952F2D"/>
    <w:rsid w:val="00953031"/>
    <w:rsid w:val="0095622F"/>
    <w:rsid w:val="0096098F"/>
    <w:rsid w:val="00963CC7"/>
    <w:rsid w:val="00976095"/>
    <w:rsid w:val="00994621"/>
    <w:rsid w:val="009B1A6B"/>
    <w:rsid w:val="009C4577"/>
    <w:rsid w:val="009C550E"/>
    <w:rsid w:val="009D2913"/>
    <w:rsid w:val="009E304E"/>
    <w:rsid w:val="00A05D44"/>
    <w:rsid w:val="00A11E5E"/>
    <w:rsid w:val="00A147A6"/>
    <w:rsid w:val="00A23A24"/>
    <w:rsid w:val="00A2505D"/>
    <w:rsid w:val="00A339FB"/>
    <w:rsid w:val="00A373FD"/>
    <w:rsid w:val="00A52A57"/>
    <w:rsid w:val="00A5312B"/>
    <w:rsid w:val="00A54391"/>
    <w:rsid w:val="00A606B7"/>
    <w:rsid w:val="00A74A04"/>
    <w:rsid w:val="00A914B7"/>
    <w:rsid w:val="00AB6337"/>
    <w:rsid w:val="00AC42C9"/>
    <w:rsid w:val="00AC70C1"/>
    <w:rsid w:val="00AD3393"/>
    <w:rsid w:val="00AE45BB"/>
    <w:rsid w:val="00AE657F"/>
    <w:rsid w:val="00AF66F9"/>
    <w:rsid w:val="00B11AA9"/>
    <w:rsid w:val="00B31BF6"/>
    <w:rsid w:val="00B4430F"/>
    <w:rsid w:val="00B50B73"/>
    <w:rsid w:val="00B614F5"/>
    <w:rsid w:val="00B615E9"/>
    <w:rsid w:val="00B84FD2"/>
    <w:rsid w:val="00B94850"/>
    <w:rsid w:val="00BF03C1"/>
    <w:rsid w:val="00BF04CF"/>
    <w:rsid w:val="00C000CE"/>
    <w:rsid w:val="00C20F3E"/>
    <w:rsid w:val="00C276C1"/>
    <w:rsid w:val="00C3155E"/>
    <w:rsid w:val="00C5353A"/>
    <w:rsid w:val="00C77266"/>
    <w:rsid w:val="00C90753"/>
    <w:rsid w:val="00C92608"/>
    <w:rsid w:val="00CA56DB"/>
    <w:rsid w:val="00CA6630"/>
    <w:rsid w:val="00CA69DA"/>
    <w:rsid w:val="00CC6928"/>
    <w:rsid w:val="00CF19DD"/>
    <w:rsid w:val="00D0777C"/>
    <w:rsid w:val="00D11DBF"/>
    <w:rsid w:val="00D309AC"/>
    <w:rsid w:val="00D60876"/>
    <w:rsid w:val="00D72280"/>
    <w:rsid w:val="00D753B9"/>
    <w:rsid w:val="00D76EA6"/>
    <w:rsid w:val="00D8305E"/>
    <w:rsid w:val="00D851E9"/>
    <w:rsid w:val="00D8581C"/>
    <w:rsid w:val="00D95E7D"/>
    <w:rsid w:val="00DA43A2"/>
    <w:rsid w:val="00DA5A6E"/>
    <w:rsid w:val="00DC174E"/>
    <w:rsid w:val="00DC219A"/>
    <w:rsid w:val="00DC5A70"/>
    <w:rsid w:val="00DC740F"/>
    <w:rsid w:val="00DF0DBB"/>
    <w:rsid w:val="00E3651F"/>
    <w:rsid w:val="00E4656A"/>
    <w:rsid w:val="00E748C0"/>
    <w:rsid w:val="00E81FFB"/>
    <w:rsid w:val="00E82CEC"/>
    <w:rsid w:val="00EA5447"/>
    <w:rsid w:val="00EB3BD8"/>
    <w:rsid w:val="00EC3729"/>
    <w:rsid w:val="00ED24D0"/>
    <w:rsid w:val="00ED36D6"/>
    <w:rsid w:val="00ED5945"/>
    <w:rsid w:val="00F16E4A"/>
    <w:rsid w:val="00F340B1"/>
    <w:rsid w:val="00F649C4"/>
    <w:rsid w:val="00F81A6C"/>
    <w:rsid w:val="00FB2707"/>
    <w:rsid w:val="00FB54ED"/>
    <w:rsid w:val="00FD2AD1"/>
    <w:rsid w:val="00FE162E"/>
    <w:rsid w:val="00FE5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FA64117"/>
  <w15:chartTrackingRefBased/>
  <w15:docId w15:val="{EC0AB811-1F51-4AC0-A502-27B4EF34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color w:val="000000"/>
      <w:sz w:val="24"/>
      <w:lang w:val="en-US" w:eastAsia="zh-CN"/>
    </w:rPr>
  </w:style>
  <w:style w:type="paragraph" w:styleId="Heading1">
    <w:name w:val="heading 1"/>
    <w:basedOn w:val="Normal"/>
    <w:next w:val="Normal"/>
    <w:qFormat/>
    <w:pPr>
      <w:keepNext/>
      <w:numPr>
        <w:numId w:val="2"/>
      </w:numPr>
      <w:tabs>
        <w:tab w:val="center" w:pos="4680"/>
      </w:tabs>
      <w:jc w:val="both"/>
      <w:outlineLvl w:val="0"/>
    </w:pPr>
    <w:rPr>
      <w:rFonts w:ascii="CG Times" w:hAnsi="CG Times" w:cs="CG Times"/>
      <w:i/>
      <w:color w:val="0000FF"/>
      <w:sz w:val="20"/>
    </w:rPr>
  </w:style>
  <w:style w:type="paragraph" w:styleId="Heading2">
    <w:name w:val="heading 2"/>
    <w:basedOn w:val="Normal"/>
    <w:next w:val="Normal"/>
    <w:qFormat/>
    <w:pPr>
      <w:keepNext/>
      <w:numPr>
        <w:ilvl w:val="1"/>
        <w:numId w:val="2"/>
      </w:numPr>
      <w:tabs>
        <w:tab w:val="center" w:pos="4680"/>
      </w:tabs>
      <w:jc w:val="center"/>
      <w:outlineLvl w:val="1"/>
    </w:pPr>
    <w:rPr>
      <w:rFonts w:ascii="CG Times" w:hAnsi="CG Times" w:cs="CG Times"/>
      <w:b/>
      <w:color w:val="0000FF"/>
    </w:rPr>
  </w:style>
  <w:style w:type="paragraph" w:styleId="Heading3">
    <w:name w:val="heading 3"/>
    <w:basedOn w:val="Normal"/>
    <w:next w:val="Normal"/>
    <w:qFormat/>
    <w:pPr>
      <w:keepNext/>
      <w:numPr>
        <w:ilvl w:val="2"/>
        <w:numId w:val="2"/>
      </w:numPr>
      <w:tabs>
        <w:tab w:val="center" w:pos="4680"/>
      </w:tabs>
      <w:jc w:val="both"/>
      <w:outlineLvl w:val="2"/>
    </w:pPr>
    <w:rPr>
      <w:i/>
      <w:sz w:val="20"/>
    </w:rPr>
  </w:style>
  <w:style w:type="paragraph" w:styleId="Heading4">
    <w:name w:val="heading 4"/>
    <w:basedOn w:val="Normal"/>
    <w:next w:val="Normal"/>
    <w:qFormat/>
    <w:pPr>
      <w:keepNext/>
      <w:numPr>
        <w:ilvl w:val="3"/>
        <w:numId w:val="2"/>
      </w:numPr>
      <w:tabs>
        <w:tab w:val="left" w:pos="-1440"/>
        <w:tab w:val="left" w:pos="-720"/>
        <w:tab w:val="left" w:pos="444"/>
      </w:tabs>
      <w:jc w:val="both"/>
      <w:outlineLvl w:val="3"/>
    </w:pPr>
    <w:rPr>
      <w:i/>
    </w:rPr>
  </w:style>
  <w:style w:type="paragraph" w:styleId="Heading5">
    <w:name w:val="heading 5"/>
    <w:basedOn w:val="Normal"/>
    <w:next w:val="Normal"/>
    <w:qFormat/>
    <w:pPr>
      <w:keepNext/>
      <w:numPr>
        <w:ilvl w:val="4"/>
        <w:numId w:val="2"/>
      </w:numPr>
      <w:tabs>
        <w:tab w:val="center" w:pos="4680"/>
        <w:tab w:val="left" w:pos="4867"/>
        <w:tab w:val="left" w:pos="7982"/>
        <w:tab w:val="left" w:pos="8395"/>
        <w:tab w:val="left" w:pos="8812"/>
      </w:tabs>
      <w:jc w:val="center"/>
      <w:outlineLvl w:val="4"/>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3z0">
    <w:name w:val="WW8Num3z0"/>
    <w:rPr>
      <w:strike w:val="0"/>
      <w:dstrike w:val="0"/>
      <w:vertAlign w:val="superscript"/>
    </w:rPr>
  </w:style>
  <w:style w:type="character" w:customStyle="1" w:styleId="WW8Num7z0">
    <w:name w:val="WW8Num7z0"/>
    <w:rPr>
      <w:strike w:val="0"/>
      <w:dstrike w:val="0"/>
      <w:vertAlign w:val="superscript"/>
    </w:rPr>
  </w:style>
  <w:style w:type="character" w:styleId="DefaultParagraphFont0">
    <w:name w:val="Default Paragraph Font"/>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0"/>
  </w:style>
  <w:style w:type="paragraph" w:customStyle="1" w:styleId="Titre">
    <w:name w:val="Titre"/>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cs="Lohit Devanagari"/>
    </w:rPr>
  </w:style>
  <w:style w:type="paragraph" w:styleId="Caption">
    <w:name w:val="caption"/>
    <w:basedOn w:val="Normal"/>
    <w:pPr>
      <w:suppressLineNumbers/>
      <w:spacing w:before="120" w:after="120"/>
    </w:pPr>
    <w:rPr>
      <w:rFonts w:cs="Mangal"/>
      <w:i/>
      <w:iCs/>
      <w:szCs w:val="24"/>
    </w:rPr>
  </w:style>
  <w:style w:type="paragraph" w:customStyle="1" w:styleId="Index">
    <w:name w:val="Index"/>
    <w:basedOn w:val="Normal"/>
    <w:pPr>
      <w:suppressLineNumbers/>
    </w:pPr>
    <w:rPr>
      <w:rFonts w:cs="Lohit Devanagari"/>
    </w:rPr>
  </w:style>
  <w:style w:type="paragraph" w:customStyle="1" w:styleId="Heading">
    <w:name w:val="Heading"/>
    <w:basedOn w:val="Normal"/>
    <w:next w:val="BodyText"/>
    <w:pPr>
      <w:keepNext/>
      <w:spacing w:before="240" w:after="120"/>
    </w:pPr>
    <w:rPr>
      <w:rFonts w:ascii="Liberation Sans" w:eastAsia="DejaVu Sans" w:hAnsi="Liberation Sans" w:cs="Lohit Devanagari"/>
      <w:sz w:val="28"/>
      <w:szCs w:val="28"/>
    </w:rPr>
  </w:style>
  <w:style w:type="paragraph" w:styleId="Caption0">
    <w:name w:val="caption"/>
    <w:basedOn w:val="Normal"/>
    <w:qFormat/>
    <w:pPr>
      <w:suppressLineNumbers/>
      <w:spacing w:before="120" w:after="120"/>
    </w:pPr>
    <w:rPr>
      <w:rFonts w:cs="Lohit Devanagari"/>
      <w:i/>
      <w:iCs/>
      <w:szCs w:val="24"/>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styleId="BodyTextIndent">
    <w:name w:val="Body Text Indent"/>
    <w:basedOn w:val="BodyText"/>
    <w:pPr>
      <w:ind w:left="283"/>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styleId="CommentReference">
    <w:name w:val="annotation reference"/>
    <w:uiPriority w:val="99"/>
    <w:semiHidden/>
    <w:unhideWhenUsed/>
    <w:rsid w:val="00AB6337"/>
    <w:rPr>
      <w:sz w:val="16"/>
      <w:szCs w:val="16"/>
    </w:rPr>
  </w:style>
  <w:style w:type="paragraph" w:styleId="CommentText">
    <w:name w:val="annotation text"/>
    <w:basedOn w:val="Normal"/>
    <w:link w:val="CommentTextChar"/>
    <w:uiPriority w:val="99"/>
    <w:semiHidden/>
    <w:unhideWhenUsed/>
    <w:rsid w:val="00AB6337"/>
    <w:rPr>
      <w:color w:val="auto"/>
      <w:sz w:val="20"/>
      <w:lang w:val="en-GB"/>
    </w:rPr>
  </w:style>
  <w:style w:type="character" w:customStyle="1" w:styleId="CommentTextChar">
    <w:name w:val="Comment Text Char"/>
    <w:link w:val="CommentText"/>
    <w:uiPriority w:val="99"/>
    <w:semiHidden/>
    <w:rsid w:val="00AB6337"/>
    <w:rPr>
      <w:lang w:eastAsia="zh-CN"/>
    </w:rPr>
  </w:style>
  <w:style w:type="paragraph" w:styleId="BalloonText">
    <w:name w:val="Balloon Text"/>
    <w:basedOn w:val="Normal"/>
    <w:link w:val="BalloonTextChar"/>
    <w:uiPriority w:val="99"/>
    <w:semiHidden/>
    <w:unhideWhenUsed/>
    <w:rsid w:val="00AB6337"/>
    <w:rPr>
      <w:rFonts w:ascii="Tahoma" w:hAnsi="Tahoma" w:cs="Tahoma"/>
      <w:sz w:val="16"/>
      <w:szCs w:val="16"/>
    </w:rPr>
  </w:style>
  <w:style w:type="character" w:customStyle="1" w:styleId="BalloonTextChar">
    <w:name w:val="Balloon Text Char"/>
    <w:link w:val="BalloonText"/>
    <w:uiPriority w:val="99"/>
    <w:semiHidden/>
    <w:rsid w:val="00AB6337"/>
    <w:rPr>
      <w:rFonts w:ascii="Tahoma" w:hAnsi="Tahoma" w:cs="Tahoma"/>
      <w:color w:val="000000"/>
      <w:sz w:val="16"/>
      <w:szCs w:val="16"/>
      <w:lang w:val="en-US" w:eastAsia="zh-CN"/>
    </w:rPr>
  </w:style>
  <w:style w:type="paragraph" w:styleId="CommentSubject">
    <w:name w:val="annotation subject"/>
    <w:basedOn w:val="CommentText"/>
    <w:next w:val="CommentText"/>
    <w:link w:val="CommentSubjectChar"/>
    <w:uiPriority w:val="99"/>
    <w:semiHidden/>
    <w:unhideWhenUsed/>
    <w:rsid w:val="00DC5A70"/>
    <w:rPr>
      <w:b/>
      <w:bCs/>
      <w:color w:val="000000"/>
      <w:lang w:val="en-US"/>
    </w:rPr>
  </w:style>
  <w:style w:type="character" w:customStyle="1" w:styleId="CommentSubjectChar">
    <w:name w:val="Comment Subject Char"/>
    <w:link w:val="CommentSubject"/>
    <w:uiPriority w:val="99"/>
    <w:semiHidden/>
    <w:rsid w:val="00DC5A70"/>
    <w:rPr>
      <w:b/>
      <w:bCs/>
      <w:color w:val="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71640">
      <w:bodyDiv w:val="1"/>
      <w:marLeft w:val="0"/>
      <w:marRight w:val="0"/>
      <w:marTop w:val="0"/>
      <w:marBottom w:val="0"/>
      <w:divBdr>
        <w:top w:val="none" w:sz="0" w:space="0" w:color="auto"/>
        <w:left w:val="none" w:sz="0" w:space="0" w:color="auto"/>
        <w:bottom w:val="none" w:sz="0" w:space="0" w:color="auto"/>
        <w:right w:val="none" w:sz="0" w:space="0" w:color="auto"/>
      </w:divBdr>
    </w:div>
    <w:div w:id="1577128323">
      <w:bodyDiv w:val="1"/>
      <w:marLeft w:val="0"/>
      <w:marRight w:val="0"/>
      <w:marTop w:val="0"/>
      <w:marBottom w:val="0"/>
      <w:divBdr>
        <w:top w:val="none" w:sz="0" w:space="0" w:color="auto"/>
        <w:left w:val="none" w:sz="0" w:space="0" w:color="auto"/>
        <w:bottom w:val="none" w:sz="0" w:space="0" w:color="auto"/>
        <w:right w:val="none" w:sz="0" w:space="0" w:color="auto"/>
      </w:divBdr>
    </w:div>
    <w:div w:id="1821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upac.pole-ether.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BAE38-1F5A-48B8-8A78-D4A0CACF1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IUPAC Task Group on Atmospheric Chemical Kinetic Data Evaluation – Data Sheet CGI_17</vt:lpstr>
    </vt:vector>
  </TitlesOfParts>
  <Company/>
  <LinksUpToDate>false</LinksUpToDate>
  <CharactersWithSpaces>4595</CharactersWithSpaces>
  <SharedDoc>false</SharedDoc>
  <HLinks>
    <vt:vector size="6" baseType="variant">
      <vt:variant>
        <vt:i4>2949152</vt:i4>
      </vt:variant>
      <vt:variant>
        <vt:i4>0</vt:i4>
      </vt:variant>
      <vt:variant>
        <vt:i4>0</vt:i4>
      </vt:variant>
      <vt:variant>
        <vt:i4>5</vt:i4>
      </vt:variant>
      <vt:variant>
        <vt:lpwstr>http://iupac.pole-ether.fr/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IUPAC Task Group on Atmospheric Chemical Kinetic Data Evaluation – Data Sheet CGI_17</dc:title>
  <dc:subject/>
  <dc:creator>Janet Arey</dc:creator>
  <cp:keywords/>
  <cp:lastModifiedBy>Mike</cp:lastModifiedBy>
  <cp:revision>2</cp:revision>
  <cp:lastPrinted>2020-05-11T08:16:00Z</cp:lastPrinted>
  <dcterms:created xsi:type="dcterms:W3CDTF">2020-05-11T08:16:00Z</dcterms:created>
  <dcterms:modified xsi:type="dcterms:W3CDTF">2020-05-11T08:16:00Z</dcterms:modified>
</cp:coreProperties>
</file>