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7321D"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A914B7" w:rsidRPr="00643BD9">
        <w:rPr>
          <w:b/>
          <w:szCs w:val="24"/>
        </w:rPr>
        <w:t>1</w:t>
      </w:r>
      <w:r w:rsidR="00C501D5">
        <w:rPr>
          <w:b/>
          <w:szCs w:val="24"/>
        </w:rPr>
        <w:t>4</w:t>
      </w:r>
    </w:p>
    <w:p w14:paraId="0C7A4D3E"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4AF1FAAC" w14:textId="77777777" w:rsidR="00083A9E" w:rsidRDefault="00083A9E" w:rsidP="00083A9E">
      <w:pPr>
        <w:ind w:right="525"/>
        <w:jc w:val="both"/>
      </w:pPr>
      <w:r>
        <w:rPr>
          <w:szCs w:val="24"/>
        </w:rPr>
        <w:t xml:space="preserve">This datasheet last evaluated: </w:t>
      </w:r>
      <w:r w:rsidR="009C25C5">
        <w:rPr>
          <w:szCs w:val="24"/>
        </w:rPr>
        <w:t>February 2020</w:t>
      </w:r>
      <w:r>
        <w:rPr>
          <w:szCs w:val="24"/>
        </w:rPr>
        <w:t xml:space="preserve">; last change in preferred values: </w:t>
      </w:r>
      <w:r w:rsidR="009C25C5">
        <w:rPr>
          <w:szCs w:val="24"/>
        </w:rPr>
        <w:t>February 2020</w:t>
      </w:r>
    </w:p>
    <w:p w14:paraId="402A6656" w14:textId="77777777" w:rsidR="00667891" w:rsidRDefault="00667891">
      <w:pPr>
        <w:ind w:right="332"/>
      </w:pPr>
      <w:r>
        <w:pict w14:anchorId="684742F6">
          <v:line id="_x0000_s1026" style="position:absolute;z-index:1" from="-67.05pt,11.4pt" to="528.2pt,11.4pt" strokeweight=".26mm">
            <v:stroke joinstyle="miter" endcap="square"/>
          </v:line>
        </w:pict>
      </w:r>
    </w:p>
    <w:p w14:paraId="35A4C084" w14:textId="77777777" w:rsidR="00667891" w:rsidRDefault="00667891">
      <w:pPr>
        <w:tabs>
          <w:tab w:val="center" w:pos="4680"/>
        </w:tabs>
        <w:jc w:val="center"/>
      </w:pPr>
    </w:p>
    <w:p w14:paraId="0C7A688A" w14:textId="77777777" w:rsidR="00083A9E" w:rsidRPr="001D3940" w:rsidRDefault="00C501D5" w:rsidP="00083A9E">
      <w:pPr>
        <w:tabs>
          <w:tab w:val="center" w:pos="4680"/>
        </w:tabs>
        <w:jc w:val="center"/>
        <w:rPr>
          <w:color w:val="auto"/>
        </w:rPr>
      </w:pPr>
      <w:r>
        <w:rPr>
          <w:b/>
        </w:rPr>
        <w:t>(</w:t>
      </w:r>
      <w:r w:rsidR="008605B7">
        <w:rPr>
          <w:b/>
        </w:rPr>
        <w:t>CH</w:t>
      </w:r>
      <w:r w:rsidR="008605B7">
        <w:rPr>
          <w:b/>
          <w:vertAlign w:val="subscript"/>
        </w:rPr>
        <w:t>3</w:t>
      </w:r>
      <w:r>
        <w:rPr>
          <w:b/>
        </w:rPr>
        <w:t>)</w:t>
      </w:r>
      <w:r w:rsidRPr="00C501D5">
        <w:rPr>
          <w:b/>
          <w:vertAlign w:val="subscript"/>
        </w:rPr>
        <w:t>2</w:t>
      </w:r>
      <w:r>
        <w:rPr>
          <w:b/>
        </w:rPr>
        <w:t>C</w:t>
      </w:r>
      <w:r w:rsidR="008605B7">
        <w:rPr>
          <w:b/>
        </w:rPr>
        <w:t xml:space="preserve">OO + </w:t>
      </w:r>
      <w:r w:rsidR="00160DFA">
        <w:rPr>
          <w:b/>
        </w:rPr>
        <w:t>M</w:t>
      </w:r>
      <w:r w:rsidR="008605B7">
        <w:rPr>
          <w:b/>
        </w:rPr>
        <w:t xml:space="preserve"> </w:t>
      </w:r>
      <w:r w:rsidR="008605B7">
        <w:rPr>
          <w:b/>
        </w:rPr>
        <w:sym w:font="Symbol" w:char="F0AE"/>
      </w:r>
      <w:r w:rsidR="008605B7">
        <w:rPr>
          <w:b/>
        </w:rPr>
        <w:t xml:space="preserve"> </w:t>
      </w:r>
      <w:r w:rsidR="00160DFA">
        <w:rPr>
          <w:b/>
        </w:rPr>
        <w:t>products</w:t>
      </w:r>
    </w:p>
    <w:p w14:paraId="4F092EC7" w14:textId="77777777" w:rsidR="00083A9E" w:rsidRPr="001D3940" w:rsidRDefault="00083A9E" w:rsidP="00083A9E">
      <w:pPr>
        <w:tabs>
          <w:tab w:val="left" w:pos="-1440"/>
          <w:tab w:val="left" w:pos="-720"/>
          <w:tab w:val="left" w:pos="288"/>
        </w:tabs>
        <w:jc w:val="both"/>
        <w:rPr>
          <w:color w:val="auto"/>
        </w:rPr>
      </w:pPr>
    </w:p>
    <w:p w14:paraId="2E546E6C" w14:textId="77777777" w:rsidR="00083A9E" w:rsidRDefault="00083A9E" w:rsidP="00083A9E">
      <w:pPr>
        <w:pStyle w:val="Heading2"/>
        <w:rPr>
          <w:rFonts w:ascii="Times New Roman" w:hAnsi="Times New Roman" w:cs="Times New Roman"/>
          <w:color w:val="auto"/>
        </w:rPr>
      </w:pPr>
      <w:r w:rsidRPr="001D3940">
        <w:rPr>
          <w:rFonts w:ascii="Times New Roman" w:hAnsi="Times New Roman" w:cs="Times New Roman"/>
          <w:color w:val="auto"/>
        </w:rPr>
        <w:t>Rate coefficient data</w:t>
      </w:r>
    </w:p>
    <w:p w14:paraId="781CEED0" w14:textId="77777777" w:rsidR="00C501D5" w:rsidRPr="001D3940" w:rsidRDefault="00C501D5" w:rsidP="00083A9E">
      <w:pPr>
        <w:tabs>
          <w:tab w:val="center" w:pos="4680"/>
        </w:tabs>
        <w:jc w:val="both"/>
        <w:rPr>
          <w:b/>
          <w:color w:val="auto"/>
        </w:rPr>
      </w:pPr>
    </w:p>
    <w:tbl>
      <w:tblPr>
        <w:tblW w:w="9028" w:type="dxa"/>
        <w:tblInd w:w="578" w:type="dxa"/>
        <w:tblLayout w:type="fixed"/>
        <w:tblLook w:val="0000" w:firstRow="0" w:lastRow="0" w:firstColumn="0" w:lastColumn="0" w:noHBand="0" w:noVBand="0"/>
      </w:tblPr>
      <w:tblGrid>
        <w:gridCol w:w="2932"/>
        <w:gridCol w:w="1134"/>
        <w:gridCol w:w="426"/>
        <w:gridCol w:w="1984"/>
        <w:gridCol w:w="2552"/>
      </w:tblGrid>
      <w:tr w:rsidR="00C2431D" w:rsidRPr="001D3940" w14:paraId="320DA71A" w14:textId="77777777" w:rsidTr="00C2431D">
        <w:tc>
          <w:tcPr>
            <w:tcW w:w="2932" w:type="dxa"/>
            <w:tcBorders>
              <w:top w:val="double" w:sz="1" w:space="0" w:color="000000"/>
              <w:bottom w:val="single" w:sz="4" w:space="0" w:color="000000"/>
            </w:tcBorders>
            <w:shd w:val="clear" w:color="auto" w:fill="auto"/>
          </w:tcPr>
          <w:p w14:paraId="090289A4" w14:textId="77777777" w:rsidR="00C2431D" w:rsidRPr="001D3940" w:rsidRDefault="00C2431D"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 s</w:t>
            </w:r>
            <w:r w:rsidRPr="001D3940">
              <w:rPr>
                <w:color w:val="auto"/>
                <w:sz w:val="20"/>
                <w:vertAlign w:val="superscript"/>
              </w:rPr>
              <w:t>-1</w:t>
            </w:r>
          </w:p>
        </w:tc>
        <w:tc>
          <w:tcPr>
            <w:tcW w:w="1134" w:type="dxa"/>
            <w:tcBorders>
              <w:top w:val="double" w:sz="1" w:space="0" w:color="000000"/>
              <w:bottom w:val="single" w:sz="4" w:space="0" w:color="000000"/>
            </w:tcBorders>
            <w:shd w:val="clear" w:color="auto" w:fill="auto"/>
          </w:tcPr>
          <w:p w14:paraId="41671798" w14:textId="77777777" w:rsidR="00C2431D" w:rsidRPr="001D3940" w:rsidRDefault="00C2431D" w:rsidP="00722811">
            <w:pPr>
              <w:tabs>
                <w:tab w:val="center" w:pos="4680"/>
              </w:tabs>
              <w:snapToGrid w:val="0"/>
              <w:spacing w:before="120" w:after="120"/>
              <w:jc w:val="both"/>
              <w:rPr>
                <w:color w:val="auto"/>
                <w:sz w:val="20"/>
              </w:rPr>
            </w:pPr>
            <w:r w:rsidRPr="001D3940">
              <w:rPr>
                <w:color w:val="auto"/>
                <w:sz w:val="20"/>
              </w:rPr>
              <w:t>Temp./K</w:t>
            </w:r>
          </w:p>
        </w:tc>
        <w:tc>
          <w:tcPr>
            <w:tcW w:w="2410" w:type="dxa"/>
            <w:gridSpan w:val="2"/>
            <w:tcBorders>
              <w:top w:val="double" w:sz="1" w:space="0" w:color="000000"/>
              <w:bottom w:val="single" w:sz="4" w:space="0" w:color="000000"/>
            </w:tcBorders>
            <w:shd w:val="clear" w:color="auto" w:fill="auto"/>
          </w:tcPr>
          <w:p w14:paraId="2B00F2D8" w14:textId="77777777" w:rsidR="00C2431D" w:rsidRPr="001D3940" w:rsidRDefault="00C2431D" w:rsidP="00722811">
            <w:pPr>
              <w:tabs>
                <w:tab w:val="center" w:pos="4680"/>
              </w:tabs>
              <w:snapToGrid w:val="0"/>
              <w:spacing w:before="120" w:after="120"/>
              <w:jc w:val="both"/>
              <w:rPr>
                <w:color w:val="auto"/>
                <w:sz w:val="20"/>
              </w:rPr>
            </w:pPr>
            <w:r w:rsidRPr="001D3940">
              <w:rPr>
                <w:color w:val="auto"/>
                <w:sz w:val="20"/>
              </w:rPr>
              <w:t>Reference</w:t>
            </w:r>
          </w:p>
        </w:tc>
        <w:tc>
          <w:tcPr>
            <w:tcW w:w="2552" w:type="dxa"/>
            <w:tcBorders>
              <w:top w:val="double" w:sz="1" w:space="0" w:color="000000"/>
              <w:bottom w:val="single" w:sz="4" w:space="0" w:color="000000"/>
            </w:tcBorders>
            <w:shd w:val="clear" w:color="auto" w:fill="auto"/>
          </w:tcPr>
          <w:p w14:paraId="5E710D07" w14:textId="77777777" w:rsidR="00C2431D" w:rsidRPr="001D3940" w:rsidRDefault="00C2431D" w:rsidP="00D8581C">
            <w:pPr>
              <w:tabs>
                <w:tab w:val="center" w:pos="4680"/>
              </w:tabs>
              <w:snapToGrid w:val="0"/>
              <w:spacing w:before="120" w:after="120"/>
              <w:ind w:left="-108"/>
              <w:jc w:val="both"/>
              <w:rPr>
                <w:color w:val="auto"/>
              </w:rPr>
            </w:pPr>
            <w:r w:rsidRPr="001D3940">
              <w:rPr>
                <w:color w:val="auto"/>
                <w:sz w:val="20"/>
              </w:rPr>
              <w:t>Technique/Comments</w:t>
            </w:r>
          </w:p>
        </w:tc>
      </w:tr>
      <w:tr w:rsidR="00C2431D" w:rsidRPr="00CA56DB" w14:paraId="0CC56619" w14:textId="77777777" w:rsidTr="00C2431D">
        <w:tc>
          <w:tcPr>
            <w:tcW w:w="2932" w:type="dxa"/>
            <w:tcBorders>
              <w:top w:val="single" w:sz="4" w:space="0" w:color="000000"/>
            </w:tcBorders>
            <w:shd w:val="clear" w:color="auto" w:fill="auto"/>
          </w:tcPr>
          <w:p w14:paraId="50D056F4" w14:textId="77777777" w:rsidR="00C2431D" w:rsidRPr="00713905" w:rsidRDefault="00C2431D" w:rsidP="00713905">
            <w:pPr>
              <w:spacing w:before="120"/>
              <w:rPr>
                <w:i/>
                <w:sz w:val="20"/>
              </w:rPr>
            </w:pPr>
            <w:r w:rsidRPr="00713905">
              <w:rPr>
                <w:i/>
                <w:sz w:val="20"/>
              </w:rPr>
              <w:t>Absolute Rate Coefficients</w:t>
            </w:r>
          </w:p>
        </w:tc>
        <w:tc>
          <w:tcPr>
            <w:tcW w:w="1560" w:type="dxa"/>
            <w:gridSpan w:val="2"/>
            <w:tcBorders>
              <w:top w:val="single" w:sz="4" w:space="0" w:color="000000"/>
            </w:tcBorders>
            <w:shd w:val="clear" w:color="auto" w:fill="auto"/>
          </w:tcPr>
          <w:p w14:paraId="63A4A58E" w14:textId="77777777" w:rsidR="00C2431D" w:rsidRPr="00CA56DB" w:rsidRDefault="00C2431D" w:rsidP="00722811">
            <w:pPr>
              <w:tabs>
                <w:tab w:val="center" w:pos="4680"/>
              </w:tabs>
              <w:snapToGrid w:val="0"/>
              <w:spacing w:before="120"/>
              <w:jc w:val="both"/>
              <w:rPr>
                <w:color w:val="auto"/>
                <w:sz w:val="20"/>
              </w:rPr>
            </w:pPr>
          </w:p>
        </w:tc>
        <w:tc>
          <w:tcPr>
            <w:tcW w:w="1984" w:type="dxa"/>
            <w:tcBorders>
              <w:top w:val="single" w:sz="4" w:space="0" w:color="000000"/>
            </w:tcBorders>
            <w:shd w:val="clear" w:color="auto" w:fill="auto"/>
          </w:tcPr>
          <w:p w14:paraId="3E702D66" w14:textId="77777777" w:rsidR="00C2431D" w:rsidRPr="00CA56DB" w:rsidRDefault="00C2431D" w:rsidP="00722811">
            <w:pPr>
              <w:tabs>
                <w:tab w:val="center" w:pos="4680"/>
              </w:tabs>
              <w:snapToGrid w:val="0"/>
              <w:spacing w:before="120"/>
              <w:jc w:val="both"/>
              <w:rPr>
                <w:color w:val="auto"/>
                <w:sz w:val="20"/>
              </w:rPr>
            </w:pPr>
          </w:p>
        </w:tc>
        <w:tc>
          <w:tcPr>
            <w:tcW w:w="2552" w:type="dxa"/>
            <w:tcBorders>
              <w:top w:val="single" w:sz="4" w:space="0" w:color="000000"/>
            </w:tcBorders>
            <w:shd w:val="clear" w:color="auto" w:fill="auto"/>
          </w:tcPr>
          <w:p w14:paraId="708A82B6" w14:textId="77777777" w:rsidR="00C2431D" w:rsidRPr="00CA56DB" w:rsidRDefault="00C2431D" w:rsidP="00722811">
            <w:pPr>
              <w:tabs>
                <w:tab w:val="center" w:pos="4680"/>
              </w:tabs>
              <w:snapToGrid w:val="0"/>
              <w:spacing w:before="120"/>
              <w:jc w:val="both"/>
              <w:rPr>
                <w:color w:val="auto"/>
                <w:sz w:val="20"/>
              </w:rPr>
            </w:pPr>
          </w:p>
        </w:tc>
      </w:tr>
      <w:tr w:rsidR="00C2431D" w:rsidRPr="001D3940" w14:paraId="4EFD5708" w14:textId="77777777" w:rsidTr="00C2431D">
        <w:tc>
          <w:tcPr>
            <w:tcW w:w="2932" w:type="dxa"/>
            <w:shd w:val="clear" w:color="auto" w:fill="auto"/>
          </w:tcPr>
          <w:p w14:paraId="0BEA88CE" w14:textId="77777777" w:rsidR="00C2431D" w:rsidRPr="00C501D5" w:rsidRDefault="00C2431D" w:rsidP="00C501D5">
            <w:pPr>
              <w:overflowPunct w:val="0"/>
              <w:autoSpaceDE w:val="0"/>
              <w:autoSpaceDN w:val="0"/>
              <w:adjustRightInd w:val="0"/>
              <w:jc w:val="both"/>
              <w:rPr>
                <w:iCs/>
                <w:sz w:val="20"/>
              </w:rPr>
            </w:pPr>
            <w:r w:rsidRPr="00C501D5">
              <w:rPr>
                <w:iCs/>
                <w:sz w:val="20"/>
              </w:rPr>
              <w:t>370 ± 34</w:t>
            </w:r>
          </w:p>
        </w:tc>
        <w:tc>
          <w:tcPr>
            <w:tcW w:w="1134" w:type="dxa"/>
            <w:shd w:val="clear" w:color="auto" w:fill="auto"/>
          </w:tcPr>
          <w:p w14:paraId="3F8EF165" w14:textId="77777777" w:rsidR="00C2431D" w:rsidRPr="00C501D5" w:rsidRDefault="00C2431D" w:rsidP="00C501D5">
            <w:pPr>
              <w:overflowPunct w:val="0"/>
              <w:autoSpaceDE w:val="0"/>
              <w:autoSpaceDN w:val="0"/>
              <w:adjustRightInd w:val="0"/>
              <w:rPr>
                <w:sz w:val="20"/>
              </w:rPr>
            </w:pPr>
            <w:r w:rsidRPr="00C501D5">
              <w:rPr>
                <w:sz w:val="20"/>
              </w:rPr>
              <w:t>298</w:t>
            </w:r>
          </w:p>
        </w:tc>
        <w:tc>
          <w:tcPr>
            <w:tcW w:w="2410" w:type="dxa"/>
            <w:gridSpan w:val="2"/>
            <w:shd w:val="clear" w:color="auto" w:fill="auto"/>
          </w:tcPr>
          <w:p w14:paraId="69CF901F" w14:textId="77777777" w:rsidR="00C2431D" w:rsidRPr="00C501D5" w:rsidRDefault="00C2431D" w:rsidP="00C501D5">
            <w:pPr>
              <w:overflowPunct w:val="0"/>
              <w:autoSpaceDE w:val="0"/>
              <w:autoSpaceDN w:val="0"/>
              <w:adjustRightInd w:val="0"/>
              <w:rPr>
                <w:sz w:val="20"/>
              </w:rPr>
            </w:pPr>
            <w:r w:rsidRPr="00C501D5">
              <w:rPr>
                <w:sz w:val="20"/>
              </w:rPr>
              <w:t>Huang et al., 2015</w:t>
            </w:r>
          </w:p>
        </w:tc>
        <w:tc>
          <w:tcPr>
            <w:tcW w:w="2552" w:type="dxa"/>
            <w:shd w:val="clear" w:color="auto" w:fill="auto"/>
          </w:tcPr>
          <w:p w14:paraId="5AD8ECB2" w14:textId="77777777" w:rsidR="00C2431D" w:rsidRPr="00C501D5" w:rsidRDefault="00C2431D" w:rsidP="00C501D5">
            <w:pPr>
              <w:overflowPunct w:val="0"/>
              <w:autoSpaceDE w:val="0"/>
              <w:autoSpaceDN w:val="0"/>
              <w:adjustRightInd w:val="0"/>
              <w:jc w:val="both"/>
              <w:rPr>
                <w:sz w:val="20"/>
              </w:rPr>
            </w:pPr>
            <w:r w:rsidRPr="00C501D5">
              <w:rPr>
                <w:sz w:val="20"/>
              </w:rPr>
              <w:t>PLP-LPUVA (a)</w:t>
            </w:r>
          </w:p>
        </w:tc>
      </w:tr>
      <w:tr w:rsidR="00C2431D" w:rsidRPr="001D3940" w14:paraId="6CD09E89" w14:textId="77777777" w:rsidTr="00C2431D">
        <w:tc>
          <w:tcPr>
            <w:tcW w:w="2932" w:type="dxa"/>
            <w:shd w:val="clear" w:color="auto" w:fill="auto"/>
          </w:tcPr>
          <w:p w14:paraId="6800BD19" w14:textId="77777777" w:rsidR="00C2431D" w:rsidRPr="00AC6019" w:rsidRDefault="0024668F" w:rsidP="007F6A59">
            <w:pPr>
              <w:overflowPunct w:val="0"/>
              <w:autoSpaceDE w:val="0"/>
              <w:autoSpaceDN w:val="0"/>
              <w:adjustRightInd w:val="0"/>
              <w:jc w:val="both"/>
              <w:rPr>
                <w:sz w:val="20"/>
              </w:rPr>
            </w:pPr>
            <w:r>
              <w:rPr>
                <w:iCs/>
                <w:sz w:val="20"/>
              </w:rPr>
              <w:t>269</w:t>
            </w:r>
            <w:r w:rsidR="00C2431D" w:rsidRPr="00C501D5">
              <w:rPr>
                <w:iCs/>
                <w:sz w:val="20"/>
              </w:rPr>
              <w:t xml:space="preserve"> ± </w:t>
            </w:r>
            <w:r>
              <w:rPr>
                <w:iCs/>
                <w:sz w:val="20"/>
              </w:rPr>
              <w:t>82</w:t>
            </w:r>
          </w:p>
        </w:tc>
        <w:tc>
          <w:tcPr>
            <w:tcW w:w="1134" w:type="dxa"/>
            <w:shd w:val="clear" w:color="auto" w:fill="auto"/>
          </w:tcPr>
          <w:p w14:paraId="7F635732" w14:textId="77777777" w:rsidR="00C2431D" w:rsidRPr="007F6A59" w:rsidRDefault="00C2431D" w:rsidP="007F6A59">
            <w:pPr>
              <w:overflowPunct w:val="0"/>
              <w:autoSpaceDE w:val="0"/>
              <w:autoSpaceDN w:val="0"/>
              <w:adjustRightInd w:val="0"/>
              <w:rPr>
                <w:sz w:val="20"/>
              </w:rPr>
            </w:pPr>
            <w:r w:rsidRPr="007F6A59">
              <w:rPr>
                <w:sz w:val="20"/>
              </w:rPr>
              <w:t>2</w:t>
            </w:r>
            <w:r w:rsidR="0024668F">
              <w:rPr>
                <w:sz w:val="20"/>
              </w:rPr>
              <w:t>83</w:t>
            </w:r>
          </w:p>
        </w:tc>
        <w:tc>
          <w:tcPr>
            <w:tcW w:w="2410" w:type="dxa"/>
            <w:gridSpan w:val="2"/>
            <w:shd w:val="clear" w:color="auto" w:fill="auto"/>
          </w:tcPr>
          <w:p w14:paraId="211527AE" w14:textId="77777777" w:rsidR="00C2431D" w:rsidRPr="007F6A59" w:rsidRDefault="00C2431D" w:rsidP="007F6A59">
            <w:pPr>
              <w:overflowPunct w:val="0"/>
              <w:autoSpaceDE w:val="0"/>
              <w:autoSpaceDN w:val="0"/>
              <w:adjustRightInd w:val="0"/>
              <w:rPr>
                <w:sz w:val="20"/>
              </w:rPr>
            </w:pPr>
            <w:r w:rsidRPr="007F6A59">
              <w:rPr>
                <w:sz w:val="20"/>
              </w:rPr>
              <w:t>Smith et al., 2016</w:t>
            </w:r>
          </w:p>
        </w:tc>
        <w:tc>
          <w:tcPr>
            <w:tcW w:w="2552" w:type="dxa"/>
            <w:shd w:val="clear" w:color="auto" w:fill="auto"/>
          </w:tcPr>
          <w:p w14:paraId="43A00445" w14:textId="77777777" w:rsidR="00C2431D" w:rsidRPr="007F6A59" w:rsidRDefault="00C2431D" w:rsidP="007F6A59">
            <w:pPr>
              <w:overflowPunct w:val="0"/>
              <w:autoSpaceDE w:val="0"/>
              <w:autoSpaceDN w:val="0"/>
              <w:adjustRightInd w:val="0"/>
              <w:jc w:val="both"/>
              <w:rPr>
                <w:sz w:val="20"/>
              </w:rPr>
            </w:pPr>
            <w:r w:rsidRPr="007F6A59">
              <w:rPr>
                <w:sz w:val="20"/>
              </w:rPr>
              <w:t>PLP-Slow</w:t>
            </w:r>
            <w:r>
              <w:rPr>
                <w:sz w:val="20"/>
              </w:rPr>
              <w:t xml:space="preserve"> </w:t>
            </w:r>
            <w:r w:rsidRPr="007F6A59">
              <w:rPr>
                <w:sz w:val="20"/>
              </w:rPr>
              <w:t>Flow-LPUVA</w:t>
            </w:r>
            <w:r>
              <w:rPr>
                <w:sz w:val="20"/>
              </w:rPr>
              <w:t xml:space="preserve"> (b)</w:t>
            </w:r>
          </w:p>
        </w:tc>
      </w:tr>
      <w:tr w:rsidR="0024668F" w:rsidRPr="001D3940" w14:paraId="4AA718F1" w14:textId="77777777" w:rsidTr="00C2431D">
        <w:tc>
          <w:tcPr>
            <w:tcW w:w="2932" w:type="dxa"/>
            <w:shd w:val="clear" w:color="auto" w:fill="auto"/>
          </w:tcPr>
          <w:p w14:paraId="1A5ED4F3" w14:textId="77777777" w:rsidR="0024668F" w:rsidRPr="00C501D5" w:rsidRDefault="0024668F" w:rsidP="0024668F">
            <w:pPr>
              <w:overflowPunct w:val="0"/>
              <w:autoSpaceDE w:val="0"/>
              <w:autoSpaceDN w:val="0"/>
              <w:adjustRightInd w:val="0"/>
              <w:jc w:val="both"/>
              <w:rPr>
                <w:iCs/>
                <w:sz w:val="20"/>
              </w:rPr>
            </w:pPr>
            <w:r w:rsidRPr="00C501D5">
              <w:rPr>
                <w:iCs/>
                <w:sz w:val="20"/>
              </w:rPr>
              <w:t>3</w:t>
            </w:r>
            <w:r>
              <w:rPr>
                <w:iCs/>
                <w:sz w:val="20"/>
              </w:rPr>
              <w:t>61</w:t>
            </w:r>
            <w:r w:rsidRPr="00C501D5">
              <w:rPr>
                <w:iCs/>
                <w:sz w:val="20"/>
              </w:rPr>
              <w:t xml:space="preserve"> ± </w:t>
            </w:r>
            <w:r>
              <w:rPr>
                <w:iCs/>
                <w:sz w:val="20"/>
              </w:rPr>
              <w:t>49</w:t>
            </w:r>
          </w:p>
        </w:tc>
        <w:tc>
          <w:tcPr>
            <w:tcW w:w="1134" w:type="dxa"/>
            <w:shd w:val="clear" w:color="auto" w:fill="auto"/>
          </w:tcPr>
          <w:p w14:paraId="431C2666" w14:textId="77777777" w:rsidR="0024668F" w:rsidRPr="007F6A59" w:rsidRDefault="0024668F" w:rsidP="0024668F">
            <w:pPr>
              <w:overflowPunct w:val="0"/>
              <w:autoSpaceDE w:val="0"/>
              <w:autoSpaceDN w:val="0"/>
              <w:adjustRightInd w:val="0"/>
              <w:rPr>
                <w:sz w:val="20"/>
              </w:rPr>
            </w:pPr>
            <w:r w:rsidRPr="007F6A59">
              <w:rPr>
                <w:sz w:val="20"/>
              </w:rPr>
              <w:t>298</w:t>
            </w:r>
          </w:p>
        </w:tc>
        <w:tc>
          <w:tcPr>
            <w:tcW w:w="2410" w:type="dxa"/>
            <w:gridSpan w:val="2"/>
            <w:shd w:val="clear" w:color="auto" w:fill="auto"/>
          </w:tcPr>
          <w:p w14:paraId="29F9F2C5" w14:textId="77777777" w:rsidR="0024668F" w:rsidRPr="007F6A59" w:rsidRDefault="0024668F" w:rsidP="0024668F">
            <w:pPr>
              <w:overflowPunct w:val="0"/>
              <w:autoSpaceDE w:val="0"/>
              <w:autoSpaceDN w:val="0"/>
              <w:adjustRightInd w:val="0"/>
              <w:rPr>
                <w:sz w:val="20"/>
              </w:rPr>
            </w:pPr>
          </w:p>
        </w:tc>
        <w:tc>
          <w:tcPr>
            <w:tcW w:w="2552" w:type="dxa"/>
            <w:shd w:val="clear" w:color="auto" w:fill="auto"/>
          </w:tcPr>
          <w:p w14:paraId="74E32FA1" w14:textId="77777777" w:rsidR="0024668F" w:rsidRPr="007F6A59" w:rsidRDefault="0024668F" w:rsidP="0024668F">
            <w:pPr>
              <w:overflowPunct w:val="0"/>
              <w:autoSpaceDE w:val="0"/>
              <w:autoSpaceDN w:val="0"/>
              <w:adjustRightInd w:val="0"/>
              <w:jc w:val="both"/>
              <w:rPr>
                <w:sz w:val="20"/>
              </w:rPr>
            </w:pPr>
          </w:p>
        </w:tc>
      </w:tr>
      <w:tr w:rsidR="0024668F" w:rsidRPr="001D3940" w14:paraId="6E112D01" w14:textId="77777777" w:rsidTr="00C2431D">
        <w:tc>
          <w:tcPr>
            <w:tcW w:w="2932" w:type="dxa"/>
            <w:shd w:val="clear" w:color="auto" w:fill="auto"/>
          </w:tcPr>
          <w:p w14:paraId="0774AD4C" w14:textId="77777777" w:rsidR="0024668F" w:rsidRPr="00C501D5" w:rsidRDefault="0024668F" w:rsidP="0024668F">
            <w:pPr>
              <w:overflowPunct w:val="0"/>
              <w:autoSpaceDE w:val="0"/>
              <w:autoSpaceDN w:val="0"/>
              <w:adjustRightInd w:val="0"/>
              <w:jc w:val="both"/>
              <w:rPr>
                <w:iCs/>
                <w:sz w:val="20"/>
              </w:rPr>
            </w:pPr>
            <w:r>
              <w:rPr>
                <w:iCs/>
                <w:sz w:val="20"/>
              </w:rPr>
              <w:t>628</w:t>
            </w:r>
            <w:r w:rsidRPr="00C501D5">
              <w:rPr>
                <w:iCs/>
                <w:sz w:val="20"/>
              </w:rPr>
              <w:t xml:space="preserve"> ± </w:t>
            </w:r>
            <w:r>
              <w:rPr>
                <w:iCs/>
                <w:sz w:val="20"/>
              </w:rPr>
              <w:t>60</w:t>
            </w:r>
          </w:p>
        </w:tc>
        <w:tc>
          <w:tcPr>
            <w:tcW w:w="1134" w:type="dxa"/>
            <w:shd w:val="clear" w:color="auto" w:fill="auto"/>
          </w:tcPr>
          <w:p w14:paraId="2228E4A0" w14:textId="77777777" w:rsidR="0024668F" w:rsidRPr="007F6A59" w:rsidRDefault="0024668F" w:rsidP="0024668F">
            <w:pPr>
              <w:overflowPunct w:val="0"/>
              <w:autoSpaceDE w:val="0"/>
              <w:autoSpaceDN w:val="0"/>
              <w:adjustRightInd w:val="0"/>
              <w:rPr>
                <w:sz w:val="20"/>
              </w:rPr>
            </w:pPr>
            <w:r>
              <w:rPr>
                <w:sz w:val="20"/>
              </w:rPr>
              <w:t>310</w:t>
            </w:r>
          </w:p>
        </w:tc>
        <w:tc>
          <w:tcPr>
            <w:tcW w:w="2410" w:type="dxa"/>
            <w:gridSpan w:val="2"/>
            <w:shd w:val="clear" w:color="auto" w:fill="auto"/>
          </w:tcPr>
          <w:p w14:paraId="15D78174" w14:textId="77777777" w:rsidR="0024668F" w:rsidRPr="007F6A59" w:rsidRDefault="0024668F" w:rsidP="0024668F">
            <w:pPr>
              <w:overflowPunct w:val="0"/>
              <w:autoSpaceDE w:val="0"/>
              <w:autoSpaceDN w:val="0"/>
              <w:adjustRightInd w:val="0"/>
              <w:rPr>
                <w:sz w:val="20"/>
              </w:rPr>
            </w:pPr>
          </w:p>
        </w:tc>
        <w:tc>
          <w:tcPr>
            <w:tcW w:w="2552" w:type="dxa"/>
            <w:shd w:val="clear" w:color="auto" w:fill="auto"/>
          </w:tcPr>
          <w:p w14:paraId="078E02E1" w14:textId="77777777" w:rsidR="0024668F" w:rsidRPr="007F6A59" w:rsidRDefault="0024668F" w:rsidP="0024668F">
            <w:pPr>
              <w:overflowPunct w:val="0"/>
              <w:autoSpaceDE w:val="0"/>
              <w:autoSpaceDN w:val="0"/>
              <w:adjustRightInd w:val="0"/>
              <w:jc w:val="both"/>
              <w:rPr>
                <w:sz w:val="20"/>
              </w:rPr>
            </w:pPr>
          </w:p>
        </w:tc>
      </w:tr>
      <w:tr w:rsidR="0024668F" w:rsidRPr="001D3940" w14:paraId="0D159BAD" w14:textId="77777777" w:rsidTr="00C2431D">
        <w:tc>
          <w:tcPr>
            <w:tcW w:w="2932" w:type="dxa"/>
            <w:shd w:val="clear" w:color="auto" w:fill="auto"/>
          </w:tcPr>
          <w:p w14:paraId="23F87334" w14:textId="77777777" w:rsidR="0024668F" w:rsidRPr="00C501D5" w:rsidRDefault="0024668F" w:rsidP="0024668F">
            <w:pPr>
              <w:overflowPunct w:val="0"/>
              <w:autoSpaceDE w:val="0"/>
              <w:autoSpaceDN w:val="0"/>
              <w:adjustRightInd w:val="0"/>
              <w:jc w:val="both"/>
              <w:rPr>
                <w:iCs/>
                <w:sz w:val="20"/>
              </w:rPr>
            </w:pPr>
            <w:r>
              <w:rPr>
                <w:iCs/>
                <w:sz w:val="20"/>
              </w:rPr>
              <w:t>916</w:t>
            </w:r>
            <w:r w:rsidRPr="00C501D5">
              <w:rPr>
                <w:iCs/>
                <w:sz w:val="20"/>
              </w:rPr>
              <w:t xml:space="preserve"> ± </w:t>
            </w:r>
            <w:r>
              <w:rPr>
                <w:iCs/>
                <w:sz w:val="20"/>
              </w:rPr>
              <w:t>56</w:t>
            </w:r>
          </w:p>
        </w:tc>
        <w:tc>
          <w:tcPr>
            <w:tcW w:w="1134" w:type="dxa"/>
            <w:shd w:val="clear" w:color="auto" w:fill="auto"/>
          </w:tcPr>
          <w:p w14:paraId="0D6864D7" w14:textId="77777777" w:rsidR="0024668F" w:rsidRPr="007F6A59" w:rsidRDefault="0024668F" w:rsidP="0024668F">
            <w:pPr>
              <w:overflowPunct w:val="0"/>
              <w:autoSpaceDE w:val="0"/>
              <w:autoSpaceDN w:val="0"/>
              <w:adjustRightInd w:val="0"/>
              <w:rPr>
                <w:sz w:val="20"/>
              </w:rPr>
            </w:pPr>
            <w:r>
              <w:rPr>
                <w:sz w:val="20"/>
              </w:rPr>
              <w:t>323</w:t>
            </w:r>
          </w:p>
        </w:tc>
        <w:tc>
          <w:tcPr>
            <w:tcW w:w="2410" w:type="dxa"/>
            <w:gridSpan w:val="2"/>
            <w:shd w:val="clear" w:color="auto" w:fill="auto"/>
          </w:tcPr>
          <w:p w14:paraId="78F14280" w14:textId="77777777" w:rsidR="0024668F" w:rsidRPr="007F6A59" w:rsidRDefault="0024668F" w:rsidP="0024668F">
            <w:pPr>
              <w:overflowPunct w:val="0"/>
              <w:autoSpaceDE w:val="0"/>
              <w:autoSpaceDN w:val="0"/>
              <w:adjustRightInd w:val="0"/>
              <w:rPr>
                <w:sz w:val="20"/>
              </w:rPr>
            </w:pPr>
          </w:p>
        </w:tc>
        <w:tc>
          <w:tcPr>
            <w:tcW w:w="2552" w:type="dxa"/>
            <w:shd w:val="clear" w:color="auto" w:fill="auto"/>
          </w:tcPr>
          <w:p w14:paraId="5A9123C1" w14:textId="77777777" w:rsidR="0024668F" w:rsidRPr="007F6A59" w:rsidRDefault="0024668F" w:rsidP="0024668F">
            <w:pPr>
              <w:overflowPunct w:val="0"/>
              <w:autoSpaceDE w:val="0"/>
              <w:autoSpaceDN w:val="0"/>
              <w:adjustRightInd w:val="0"/>
              <w:jc w:val="both"/>
              <w:rPr>
                <w:sz w:val="20"/>
              </w:rPr>
            </w:pPr>
          </w:p>
        </w:tc>
      </w:tr>
      <w:tr w:rsidR="0024668F" w:rsidRPr="001D3940" w14:paraId="17A2FA8A" w14:textId="77777777" w:rsidTr="00C2431D">
        <w:tc>
          <w:tcPr>
            <w:tcW w:w="2932" w:type="dxa"/>
            <w:shd w:val="clear" w:color="auto" w:fill="auto"/>
          </w:tcPr>
          <w:p w14:paraId="1101F94B" w14:textId="77777777" w:rsidR="0024668F" w:rsidRPr="00AC6019" w:rsidRDefault="0024668F" w:rsidP="0024668F">
            <w:pPr>
              <w:overflowPunct w:val="0"/>
              <w:autoSpaceDE w:val="0"/>
              <w:autoSpaceDN w:val="0"/>
              <w:adjustRightInd w:val="0"/>
              <w:spacing w:after="120"/>
              <w:jc w:val="both"/>
              <w:rPr>
                <w:sz w:val="20"/>
              </w:rPr>
            </w:pPr>
            <w:r w:rsidRPr="00C501D5">
              <w:rPr>
                <w:iCs/>
                <w:sz w:val="20"/>
              </w:rPr>
              <w:t>3</w:t>
            </w:r>
            <w:r>
              <w:rPr>
                <w:iCs/>
                <w:sz w:val="20"/>
              </w:rPr>
              <w:t>05</w:t>
            </w:r>
            <w:r w:rsidRPr="00C501D5">
              <w:rPr>
                <w:iCs/>
                <w:sz w:val="20"/>
              </w:rPr>
              <w:t xml:space="preserve"> ± </w:t>
            </w:r>
            <w:r>
              <w:rPr>
                <w:iCs/>
                <w:sz w:val="20"/>
              </w:rPr>
              <w:t>70</w:t>
            </w:r>
          </w:p>
        </w:tc>
        <w:tc>
          <w:tcPr>
            <w:tcW w:w="1134" w:type="dxa"/>
            <w:shd w:val="clear" w:color="auto" w:fill="auto"/>
          </w:tcPr>
          <w:p w14:paraId="13C563A0" w14:textId="77777777" w:rsidR="0024668F" w:rsidRPr="00AC6019" w:rsidRDefault="0024668F" w:rsidP="0024668F">
            <w:pPr>
              <w:overflowPunct w:val="0"/>
              <w:autoSpaceDE w:val="0"/>
              <w:autoSpaceDN w:val="0"/>
              <w:adjustRightInd w:val="0"/>
              <w:spacing w:after="120"/>
              <w:rPr>
                <w:sz w:val="20"/>
              </w:rPr>
            </w:pPr>
            <w:r w:rsidRPr="00AC6019">
              <w:rPr>
                <w:sz w:val="20"/>
              </w:rPr>
              <w:t>293</w:t>
            </w:r>
          </w:p>
        </w:tc>
        <w:tc>
          <w:tcPr>
            <w:tcW w:w="2410" w:type="dxa"/>
            <w:gridSpan w:val="2"/>
            <w:shd w:val="clear" w:color="auto" w:fill="auto"/>
          </w:tcPr>
          <w:p w14:paraId="168BBF81" w14:textId="77777777" w:rsidR="0024668F" w:rsidRPr="007F6A59" w:rsidRDefault="0024668F" w:rsidP="0024668F">
            <w:pPr>
              <w:overflowPunct w:val="0"/>
              <w:autoSpaceDE w:val="0"/>
              <w:autoSpaceDN w:val="0"/>
              <w:adjustRightInd w:val="0"/>
              <w:spacing w:after="120"/>
              <w:rPr>
                <w:sz w:val="20"/>
              </w:rPr>
            </w:pPr>
            <w:r w:rsidRPr="007F6A59">
              <w:rPr>
                <w:sz w:val="20"/>
              </w:rPr>
              <w:t>Chhantyal-Pun et al.,</w:t>
            </w:r>
            <w:r>
              <w:rPr>
                <w:sz w:val="20"/>
              </w:rPr>
              <w:t xml:space="preserve"> 2017</w:t>
            </w:r>
          </w:p>
        </w:tc>
        <w:tc>
          <w:tcPr>
            <w:tcW w:w="2552" w:type="dxa"/>
            <w:shd w:val="clear" w:color="auto" w:fill="auto"/>
          </w:tcPr>
          <w:p w14:paraId="0A3E6B31" w14:textId="77777777" w:rsidR="0024668F" w:rsidRPr="007F6A59" w:rsidRDefault="0024668F" w:rsidP="0024668F">
            <w:pPr>
              <w:overflowPunct w:val="0"/>
              <w:autoSpaceDE w:val="0"/>
              <w:autoSpaceDN w:val="0"/>
              <w:adjustRightInd w:val="0"/>
              <w:spacing w:after="120"/>
              <w:jc w:val="both"/>
              <w:rPr>
                <w:sz w:val="20"/>
              </w:rPr>
            </w:pPr>
            <w:r w:rsidRPr="007F6A59">
              <w:rPr>
                <w:sz w:val="20"/>
              </w:rPr>
              <w:t>PLP- PIMS/CRDS (c)</w:t>
            </w:r>
          </w:p>
        </w:tc>
      </w:tr>
      <w:tr w:rsidR="0024668F" w:rsidRPr="001D3940" w14:paraId="052BB370" w14:textId="77777777" w:rsidTr="00C2431D">
        <w:tc>
          <w:tcPr>
            <w:tcW w:w="2932" w:type="dxa"/>
            <w:shd w:val="clear" w:color="auto" w:fill="auto"/>
          </w:tcPr>
          <w:p w14:paraId="62723B66" w14:textId="77777777" w:rsidR="0024668F" w:rsidRPr="00AC6019" w:rsidRDefault="0024668F" w:rsidP="0024668F">
            <w:pPr>
              <w:overflowPunct w:val="0"/>
              <w:autoSpaceDE w:val="0"/>
              <w:autoSpaceDN w:val="0"/>
              <w:adjustRightInd w:val="0"/>
              <w:jc w:val="both"/>
              <w:rPr>
                <w:sz w:val="20"/>
              </w:rPr>
            </w:pPr>
            <w:r>
              <w:rPr>
                <w:i/>
                <w:sz w:val="20"/>
              </w:rPr>
              <w:t>Relative</w:t>
            </w:r>
            <w:r w:rsidRPr="00713905">
              <w:rPr>
                <w:i/>
                <w:sz w:val="20"/>
              </w:rPr>
              <w:t xml:space="preserve"> Rate Coefficients</w:t>
            </w:r>
          </w:p>
        </w:tc>
        <w:tc>
          <w:tcPr>
            <w:tcW w:w="1134" w:type="dxa"/>
            <w:shd w:val="clear" w:color="auto" w:fill="auto"/>
          </w:tcPr>
          <w:p w14:paraId="535DABE5" w14:textId="77777777" w:rsidR="0024668F" w:rsidRPr="00AC6019" w:rsidRDefault="0024668F" w:rsidP="0024668F">
            <w:pPr>
              <w:overflowPunct w:val="0"/>
              <w:autoSpaceDE w:val="0"/>
              <w:autoSpaceDN w:val="0"/>
              <w:adjustRightInd w:val="0"/>
              <w:rPr>
                <w:sz w:val="20"/>
              </w:rPr>
            </w:pPr>
          </w:p>
        </w:tc>
        <w:tc>
          <w:tcPr>
            <w:tcW w:w="2410" w:type="dxa"/>
            <w:gridSpan w:val="2"/>
            <w:shd w:val="clear" w:color="auto" w:fill="auto"/>
          </w:tcPr>
          <w:p w14:paraId="4B9842FD" w14:textId="77777777" w:rsidR="0024668F" w:rsidRPr="00AC6019" w:rsidRDefault="0024668F" w:rsidP="0024668F">
            <w:pPr>
              <w:overflowPunct w:val="0"/>
              <w:autoSpaceDE w:val="0"/>
              <w:autoSpaceDN w:val="0"/>
              <w:adjustRightInd w:val="0"/>
              <w:rPr>
                <w:sz w:val="20"/>
              </w:rPr>
            </w:pPr>
          </w:p>
        </w:tc>
        <w:tc>
          <w:tcPr>
            <w:tcW w:w="2552" w:type="dxa"/>
            <w:shd w:val="clear" w:color="auto" w:fill="auto"/>
          </w:tcPr>
          <w:p w14:paraId="2B4EB2BC" w14:textId="77777777" w:rsidR="0024668F" w:rsidRPr="00AC6019" w:rsidRDefault="0024668F" w:rsidP="0024668F">
            <w:pPr>
              <w:overflowPunct w:val="0"/>
              <w:autoSpaceDE w:val="0"/>
              <w:autoSpaceDN w:val="0"/>
              <w:adjustRightInd w:val="0"/>
              <w:jc w:val="both"/>
              <w:rPr>
                <w:sz w:val="20"/>
              </w:rPr>
            </w:pPr>
          </w:p>
        </w:tc>
      </w:tr>
      <w:tr w:rsidR="0024668F" w:rsidRPr="001D3940" w14:paraId="36CBA32F" w14:textId="77777777" w:rsidTr="00C2431D">
        <w:tc>
          <w:tcPr>
            <w:tcW w:w="2932" w:type="dxa"/>
            <w:shd w:val="clear" w:color="auto" w:fill="auto"/>
          </w:tcPr>
          <w:p w14:paraId="788F7AB1" w14:textId="77777777" w:rsidR="0024668F" w:rsidRPr="00AC6019" w:rsidRDefault="0024668F" w:rsidP="0024668F">
            <w:pPr>
              <w:overflowPunct w:val="0"/>
              <w:autoSpaceDE w:val="0"/>
              <w:autoSpaceDN w:val="0"/>
              <w:adjustRightInd w:val="0"/>
              <w:jc w:val="both"/>
              <w:rPr>
                <w:sz w:val="20"/>
              </w:rPr>
            </w:pPr>
            <w:r>
              <w:rPr>
                <w:iCs/>
                <w:sz w:val="20"/>
              </w:rPr>
              <w:t>605</w:t>
            </w:r>
            <w:r w:rsidRPr="00AC6019">
              <w:rPr>
                <w:iCs/>
                <w:sz w:val="20"/>
              </w:rPr>
              <w:t xml:space="preserve"> ±</w:t>
            </w:r>
            <w:r w:rsidRPr="00AC6019">
              <w:rPr>
                <w:iCs/>
                <w:sz w:val="20"/>
                <w:vertAlign w:val="superscript"/>
              </w:rPr>
              <w:t xml:space="preserve"> </w:t>
            </w:r>
            <w:r>
              <w:rPr>
                <w:iCs/>
                <w:sz w:val="20"/>
              </w:rPr>
              <w:t>109</w:t>
            </w:r>
          </w:p>
        </w:tc>
        <w:tc>
          <w:tcPr>
            <w:tcW w:w="1134" w:type="dxa"/>
            <w:shd w:val="clear" w:color="auto" w:fill="auto"/>
          </w:tcPr>
          <w:p w14:paraId="3362E28B" w14:textId="77777777" w:rsidR="0024668F" w:rsidRPr="00AC6019" w:rsidRDefault="0024668F" w:rsidP="0024668F">
            <w:pPr>
              <w:overflowPunct w:val="0"/>
              <w:autoSpaceDE w:val="0"/>
              <w:autoSpaceDN w:val="0"/>
              <w:adjustRightInd w:val="0"/>
              <w:rPr>
                <w:sz w:val="20"/>
              </w:rPr>
            </w:pPr>
            <w:r w:rsidRPr="00AC6019">
              <w:rPr>
                <w:sz w:val="20"/>
              </w:rPr>
              <w:t>29</w:t>
            </w:r>
            <w:r>
              <w:rPr>
                <w:sz w:val="20"/>
              </w:rPr>
              <w:t>3</w:t>
            </w:r>
          </w:p>
        </w:tc>
        <w:tc>
          <w:tcPr>
            <w:tcW w:w="2410" w:type="dxa"/>
            <w:gridSpan w:val="2"/>
            <w:shd w:val="clear" w:color="auto" w:fill="auto"/>
          </w:tcPr>
          <w:p w14:paraId="7399CD47" w14:textId="77777777" w:rsidR="0024668F" w:rsidRPr="00AC6019" w:rsidRDefault="0024668F" w:rsidP="0024668F">
            <w:pPr>
              <w:overflowPunct w:val="0"/>
              <w:autoSpaceDE w:val="0"/>
              <w:autoSpaceDN w:val="0"/>
              <w:adjustRightInd w:val="0"/>
              <w:rPr>
                <w:sz w:val="20"/>
              </w:rPr>
            </w:pPr>
            <w:r>
              <w:rPr>
                <w:sz w:val="20"/>
              </w:rPr>
              <w:t>Berndt et al., 2012</w:t>
            </w:r>
          </w:p>
        </w:tc>
        <w:tc>
          <w:tcPr>
            <w:tcW w:w="2552" w:type="dxa"/>
            <w:shd w:val="clear" w:color="auto" w:fill="auto"/>
          </w:tcPr>
          <w:p w14:paraId="6E651460" w14:textId="77777777" w:rsidR="0024668F" w:rsidRPr="00D83945" w:rsidRDefault="0024668F" w:rsidP="0024668F">
            <w:pPr>
              <w:overflowPunct w:val="0"/>
              <w:autoSpaceDE w:val="0"/>
              <w:autoSpaceDN w:val="0"/>
              <w:adjustRightInd w:val="0"/>
              <w:jc w:val="both"/>
              <w:rPr>
                <w:sz w:val="20"/>
              </w:rPr>
            </w:pPr>
            <w:r w:rsidRPr="00D83945">
              <w:rPr>
                <w:sz w:val="20"/>
              </w:rPr>
              <w:t>RR-FTIR/ TDLS (d)</w:t>
            </w:r>
          </w:p>
        </w:tc>
      </w:tr>
      <w:tr w:rsidR="0024668F" w:rsidRPr="001D3940" w14:paraId="1C0B92C2" w14:textId="77777777" w:rsidTr="00C2431D">
        <w:tc>
          <w:tcPr>
            <w:tcW w:w="2932" w:type="dxa"/>
            <w:shd w:val="clear" w:color="auto" w:fill="auto"/>
          </w:tcPr>
          <w:p w14:paraId="3D4002BD" w14:textId="77777777" w:rsidR="0024668F" w:rsidRPr="00D83945" w:rsidRDefault="0024668F" w:rsidP="0024668F">
            <w:pPr>
              <w:overflowPunct w:val="0"/>
              <w:autoSpaceDE w:val="0"/>
              <w:autoSpaceDN w:val="0"/>
              <w:adjustRightInd w:val="0"/>
              <w:jc w:val="both"/>
              <w:rPr>
                <w:sz w:val="20"/>
              </w:rPr>
            </w:pPr>
            <w:r w:rsidRPr="00D83945">
              <w:rPr>
                <w:sz w:val="20"/>
              </w:rPr>
              <w:t>4</w:t>
            </w:r>
            <w:r>
              <w:rPr>
                <w:sz w:val="20"/>
              </w:rPr>
              <w:t>16</w:t>
            </w:r>
            <w:r w:rsidRPr="00D83945">
              <w:rPr>
                <w:sz w:val="20"/>
              </w:rPr>
              <w:t xml:space="preserve"> ± </w:t>
            </w:r>
            <w:r>
              <w:rPr>
                <w:sz w:val="20"/>
              </w:rPr>
              <w:t>121</w:t>
            </w:r>
          </w:p>
        </w:tc>
        <w:tc>
          <w:tcPr>
            <w:tcW w:w="1134" w:type="dxa"/>
            <w:shd w:val="clear" w:color="auto" w:fill="auto"/>
          </w:tcPr>
          <w:p w14:paraId="5BB5DD22" w14:textId="77777777" w:rsidR="0024668F" w:rsidRPr="00AC6019" w:rsidRDefault="0024668F" w:rsidP="0024668F">
            <w:pPr>
              <w:overflowPunct w:val="0"/>
              <w:autoSpaceDE w:val="0"/>
              <w:autoSpaceDN w:val="0"/>
              <w:adjustRightInd w:val="0"/>
              <w:rPr>
                <w:sz w:val="20"/>
              </w:rPr>
            </w:pPr>
            <w:r w:rsidRPr="00AC6019">
              <w:rPr>
                <w:sz w:val="20"/>
              </w:rPr>
              <w:t>2</w:t>
            </w:r>
            <w:r>
              <w:rPr>
                <w:sz w:val="20"/>
              </w:rPr>
              <w:t>78</w:t>
            </w:r>
          </w:p>
        </w:tc>
        <w:tc>
          <w:tcPr>
            <w:tcW w:w="2410" w:type="dxa"/>
            <w:gridSpan w:val="2"/>
            <w:shd w:val="clear" w:color="auto" w:fill="auto"/>
          </w:tcPr>
          <w:p w14:paraId="6AF13E56" w14:textId="77777777" w:rsidR="0024668F" w:rsidRPr="00AC6019" w:rsidRDefault="0024668F" w:rsidP="0024668F">
            <w:pPr>
              <w:overflowPunct w:val="0"/>
              <w:autoSpaceDE w:val="0"/>
              <w:autoSpaceDN w:val="0"/>
              <w:adjustRightInd w:val="0"/>
              <w:rPr>
                <w:sz w:val="20"/>
              </w:rPr>
            </w:pPr>
            <w:r w:rsidRPr="00AC6019">
              <w:rPr>
                <w:sz w:val="20"/>
              </w:rPr>
              <w:t>Berndt et al., 2014</w:t>
            </w:r>
          </w:p>
        </w:tc>
        <w:tc>
          <w:tcPr>
            <w:tcW w:w="2552" w:type="dxa"/>
            <w:shd w:val="clear" w:color="auto" w:fill="auto"/>
          </w:tcPr>
          <w:p w14:paraId="43F1530B" w14:textId="77777777" w:rsidR="0024668F" w:rsidRPr="00D83945" w:rsidRDefault="0024668F" w:rsidP="0024668F">
            <w:pPr>
              <w:overflowPunct w:val="0"/>
              <w:autoSpaceDE w:val="0"/>
              <w:autoSpaceDN w:val="0"/>
              <w:adjustRightInd w:val="0"/>
              <w:jc w:val="both"/>
              <w:rPr>
                <w:sz w:val="20"/>
              </w:rPr>
            </w:pPr>
            <w:r w:rsidRPr="00D83945">
              <w:rPr>
                <w:sz w:val="20"/>
              </w:rPr>
              <w:t>FT/CI-</w:t>
            </w:r>
            <w:proofErr w:type="spellStart"/>
            <w:r w:rsidRPr="00D83945">
              <w:rPr>
                <w:sz w:val="20"/>
              </w:rPr>
              <w:t>APi</w:t>
            </w:r>
            <w:proofErr w:type="spellEnd"/>
            <w:r w:rsidRPr="00D83945">
              <w:rPr>
                <w:sz w:val="20"/>
              </w:rPr>
              <w:t>-TOF MS (e)</w:t>
            </w:r>
          </w:p>
        </w:tc>
      </w:tr>
      <w:tr w:rsidR="0024668F" w:rsidRPr="001D3940" w14:paraId="5682FE7E" w14:textId="77777777" w:rsidTr="00C2431D">
        <w:tc>
          <w:tcPr>
            <w:tcW w:w="2932" w:type="dxa"/>
            <w:shd w:val="clear" w:color="auto" w:fill="auto"/>
          </w:tcPr>
          <w:p w14:paraId="0309D414" w14:textId="77777777" w:rsidR="0024668F" w:rsidRDefault="0024668F" w:rsidP="0024668F">
            <w:pPr>
              <w:overflowPunct w:val="0"/>
              <w:autoSpaceDE w:val="0"/>
              <w:autoSpaceDN w:val="0"/>
              <w:adjustRightInd w:val="0"/>
              <w:jc w:val="both"/>
            </w:pPr>
            <w:r>
              <w:rPr>
                <w:sz w:val="20"/>
              </w:rPr>
              <w:t>722</w:t>
            </w:r>
            <w:r w:rsidRPr="00D83945">
              <w:rPr>
                <w:sz w:val="20"/>
              </w:rPr>
              <w:t xml:space="preserve"> ± </w:t>
            </w:r>
            <w:r>
              <w:rPr>
                <w:sz w:val="20"/>
              </w:rPr>
              <w:t>52</w:t>
            </w:r>
          </w:p>
        </w:tc>
        <w:tc>
          <w:tcPr>
            <w:tcW w:w="1134" w:type="dxa"/>
            <w:shd w:val="clear" w:color="auto" w:fill="auto"/>
          </w:tcPr>
          <w:p w14:paraId="2B19AE33" w14:textId="77777777" w:rsidR="0024668F" w:rsidRPr="00AC6019" w:rsidRDefault="0024668F" w:rsidP="0024668F">
            <w:pPr>
              <w:overflowPunct w:val="0"/>
              <w:autoSpaceDE w:val="0"/>
              <w:autoSpaceDN w:val="0"/>
              <w:adjustRightInd w:val="0"/>
              <w:rPr>
                <w:sz w:val="20"/>
              </w:rPr>
            </w:pPr>
            <w:r>
              <w:rPr>
                <w:sz w:val="20"/>
              </w:rPr>
              <w:t>293</w:t>
            </w:r>
          </w:p>
        </w:tc>
        <w:tc>
          <w:tcPr>
            <w:tcW w:w="2410" w:type="dxa"/>
            <w:gridSpan w:val="2"/>
            <w:shd w:val="clear" w:color="auto" w:fill="auto"/>
          </w:tcPr>
          <w:p w14:paraId="133CB772" w14:textId="77777777" w:rsidR="0024668F" w:rsidRPr="00AC6019" w:rsidRDefault="0024668F" w:rsidP="0024668F">
            <w:pPr>
              <w:overflowPunct w:val="0"/>
              <w:autoSpaceDE w:val="0"/>
              <w:autoSpaceDN w:val="0"/>
              <w:adjustRightInd w:val="0"/>
              <w:rPr>
                <w:sz w:val="20"/>
              </w:rPr>
            </w:pPr>
          </w:p>
        </w:tc>
        <w:tc>
          <w:tcPr>
            <w:tcW w:w="2552" w:type="dxa"/>
            <w:shd w:val="clear" w:color="auto" w:fill="auto"/>
          </w:tcPr>
          <w:p w14:paraId="1B563D86" w14:textId="77777777" w:rsidR="0024668F" w:rsidRPr="00D83945" w:rsidRDefault="0024668F" w:rsidP="0024668F">
            <w:pPr>
              <w:overflowPunct w:val="0"/>
              <w:autoSpaceDE w:val="0"/>
              <w:autoSpaceDN w:val="0"/>
              <w:adjustRightInd w:val="0"/>
              <w:jc w:val="both"/>
              <w:rPr>
                <w:sz w:val="20"/>
              </w:rPr>
            </w:pPr>
          </w:p>
        </w:tc>
      </w:tr>
      <w:tr w:rsidR="0024668F" w:rsidRPr="001D3940" w14:paraId="743F8645" w14:textId="77777777" w:rsidTr="00C2431D">
        <w:tc>
          <w:tcPr>
            <w:tcW w:w="2932" w:type="dxa"/>
            <w:shd w:val="clear" w:color="auto" w:fill="auto"/>
          </w:tcPr>
          <w:p w14:paraId="7A6A062E" w14:textId="77777777" w:rsidR="0024668F" w:rsidRPr="00AC6019" w:rsidRDefault="0024668F" w:rsidP="0024668F">
            <w:pPr>
              <w:overflowPunct w:val="0"/>
              <w:autoSpaceDE w:val="0"/>
              <w:autoSpaceDN w:val="0"/>
              <w:adjustRightInd w:val="0"/>
              <w:jc w:val="both"/>
              <w:rPr>
                <w:sz w:val="20"/>
              </w:rPr>
            </w:pPr>
            <w:r>
              <w:rPr>
                <w:sz w:val="20"/>
              </w:rPr>
              <w:t>2449</w:t>
            </w:r>
            <w:r w:rsidRPr="00D83945">
              <w:rPr>
                <w:sz w:val="20"/>
              </w:rPr>
              <w:t xml:space="preserve"> ± </w:t>
            </w:r>
            <w:r>
              <w:rPr>
                <w:sz w:val="20"/>
              </w:rPr>
              <w:t>865</w:t>
            </w:r>
          </w:p>
        </w:tc>
        <w:tc>
          <w:tcPr>
            <w:tcW w:w="1134" w:type="dxa"/>
            <w:shd w:val="clear" w:color="auto" w:fill="auto"/>
          </w:tcPr>
          <w:p w14:paraId="507C0DD1" w14:textId="77777777" w:rsidR="0024668F" w:rsidRPr="00AC6019" w:rsidRDefault="0024668F" w:rsidP="0024668F">
            <w:pPr>
              <w:overflowPunct w:val="0"/>
              <w:autoSpaceDE w:val="0"/>
              <w:autoSpaceDN w:val="0"/>
              <w:adjustRightInd w:val="0"/>
              <w:rPr>
                <w:sz w:val="20"/>
              </w:rPr>
            </w:pPr>
            <w:r>
              <w:rPr>
                <w:sz w:val="20"/>
              </w:rPr>
              <w:t>323</w:t>
            </w:r>
          </w:p>
        </w:tc>
        <w:tc>
          <w:tcPr>
            <w:tcW w:w="2410" w:type="dxa"/>
            <w:gridSpan w:val="2"/>
            <w:shd w:val="clear" w:color="auto" w:fill="auto"/>
          </w:tcPr>
          <w:p w14:paraId="422AF58D" w14:textId="77777777" w:rsidR="0024668F" w:rsidRPr="00AC6019" w:rsidRDefault="0024668F" w:rsidP="0024668F">
            <w:pPr>
              <w:overflowPunct w:val="0"/>
              <w:autoSpaceDE w:val="0"/>
              <w:autoSpaceDN w:val="0"/>
              <w:adjustRightInd w:val="0"/>
              <w:rPr>
                <w:sz w:val="20"/>
              </w:rPr>
            </w:pPr>
          </w:p>
        </w:tc>
        <w:tc>
          <w:tcPr>
            <w:tcW w:w="2552" w:type="dxa"/>
            <w:shd w:val="clear" w:color="auto" w:fill="auto"/>
          </w:tcPr>
          <w:p w14:paraId="051AE7E9" w14:textId="77777777" w:rsidR="0024668F" w:rsidRPr="00D83945" w:rsidRDefault="0024668F" w:rsidP="0024668F">
            <w:pPr>
              <w:overflowPunct w:val="0"/>
              <w:autoSpaceDE w:val="0"/>
              <w:autoSpaceDN w:val="0"/>
              <w:adjustRightInd w:val="0"/>
              <w:jc w:val="both"/>
              <w:rPr>
                <w:sz w:val="20"/>
              </w:rPr>
            </w:pPr>
          </w:p>
        </w:tc>
      </w:tr>
      <w:tr w:rsidR="0024668F" w:rsidRPr="001D3940" w14:paraId="77C4BC42" w14:textId="77777777" w:rsidTr="00C2431D">
        <w:tc>
          <w:tcPr>
            <w:tcW w:w="2932" w:type="dxa"/>
            <w:shd w:val="clear" w:color="auto" w:fill="auto"/>
          </w:tcPr>
          <w:p w14:paraId="440F00D9" w14:textId="77777777" w:rsidR="0024668F" w:rsidRDefault="0024668F" w:rsidP="0024668F">
            <w:pPr>
              <w:overflowPunct w:val="0"/>
              <w:autoSpaceDE w:val="0"/>
              <w:autoSpaceDN w:val="0"/>
              <w:adjustRightInd w:val="0"/>
              <w:jc w:val="both"/>
              <w:rPr>
                <w:sz w:val="20"/>
              </w:rPr>
            </w:pPr>
            <w:r>
              <w:rPr>
                <w:sz w:val="20"/>
              </w:rPr>
              <w:t xml:space="preserve">4280 </w:t>
            </w:r>
            <w:r w:rsidRPr="00D83945">
              <w:rPr>
                <w:sz w:val="20"/>
              </w:rPr>
              <w:t xml:space="preserve">± </w:t>
            </w:r>
            <w:r>
              <w:rPr>
                <w:sz w:val="20"/>
              </w:rPr>
              <w:t>544</w:t>
            </w:r>
          </w:p>
        </w:tc>
        <w:tc>
          <w:tcPr>
            <w:tcW w:w="1134" w:type="dxa"/>
            <w:shd w:val="clear" w:color="auto" w:fill="auto"/>
          </w:tcPr>
          <w:p w14:paraId="0EA0615F" w14:textId="77777777" w:rsidR="0024668F" w:rsidRDefault="0024668F" w:rsidP="0024668F">
            <w:pPr>
              <w:overflowPunct w:val="0"/>
              <w:autoSpaceDE w:val="0"/>
              <w:autoSpaceDN w:val="0"/>
              <w:adjustRightInd w:val="0"/>
              <w:rPr>
                <w:sz w:val="20"/>
              </w:rPr>
            </w:pPr>
            <w:r>
              <w:rPr>
                <w:sz w:val="20"/>
              </w:rPr>
              <w:t>343</w:t>
            </w:r>
          </w:p>
        </w:tc>
        <w:tc>
          <w:tcPr>
            <w:tcW w:w="2410" w:type="dxa"/>
            <w:gridSpan w:val="2"/>
            <w:shd w:val="clear" w:color="auto" w:fill="auto"/>
          </w:tcPr>
          <w:p w14:paraId="39C43980" w14:textId="77777777" w:rsidR="0024668F" w:rsidRPr="00AC6019" w:rsidRDefault="0024668F" w:rsidP="0024668F">
            <w:pPr>
              <w:overflowPunct w:val="0"/>
              <w:autoSpaceDE w:val="0"/>
              <w:autoSpaceDN w:val="0"/>
              <w:adjustRightInd w:val="0"/>
              <w:rPr>
                <w:sz w:val="20"/>
              </w:rPr>
            </w:pPr>
          </w:p>
        </w:tc>
        <w:tc>
          <w:tcPr>
            <w:tcW w:w="2552" w:type="dxa"/>
            <w:shd w:val="clear" w:color="auto" w:fill="auto"/>
          </w:tcPr>
          <w:p w14:paraId="37DEC1FC" w14:textId="77777777" w:rsidR="0024668F" w:rsidRPr="00D83945" w:rsidRDefault="0024668F" w:rsidP="0024668F">
            <w:pPr>
              <w:overflowPunct w:val="0"/>
              <w:autoSpaceDE w:val="0"/>
              <w:autoSpaceDN w:val="0"/>
              <w:adjustRightInd w:val="0"/>
              <w:jc w:val="both"/>
              <w:rPr>
                <w:sz w:val="20"/>
              </w:rPr>
            </w:pPr>
          </w:p>
        </w:tc>
      </w:tr>
      <w:tr w:rsidR="0024668F" w:rsidRPr="001D3940" w14:paraId="1EF00F99" w14:textId="77777777" w:rsidTr="00C2431D">
        <w:tc>
          <w:tcPr>
            <w:tcW w:w="2932" w:type="dxa"/>
            <w:tcBorders>
              <w:bottom w:val="single" w:sz="4" w:space="0" w:color="auto"/>
            </w:tcBorders>
            <w:shd w:val="clear" w:color="auto" w:fill="auto"/>
          </w:tcPr>
          <w:p w14:paraId="51771667" w14:textId="77777777" w:rsidR="0024668F" w:rsidRPr="004708CA" w:rsidRDefault="0024668F" w:rsidP="0024668F">
            <w:pPr>
              <w:overflowPunct w:val="0"/>
              <w:autoSpaceDE w:val="0"/>
              <w:autoSpaceDN w:val="0"/>
              <w:adjustRightInd w:val="0"/>
              <w:spacing w:after="120"/>
              <w:jc w:val="both"/>
              <w:rPr>
                <w:rFonts w:cs="e364b11"/>
                <w:color w:val="auto"/>
                <w:sz w:val="20"/>
              </w:rPr>
            </w:pPr>
            <w:r>
              <w:rPr>
                <w:sz w:val="20"/>
              </w:rPr>
              <w:t xml:space="preserve">929 </w:t>
            </w:r>
            <w:r w:rsidRPr="004708CA">
              <w:rPr>
                <w:sz w:val="20"/>
              </w:rPr>
              <w:t>±</w:t>
            </w:r>
            <w:r>
              <w:rPr>
                <w:sz w:val="20"/>
              </w:rPr>
              <w:t xml:space="preserve"> 22</w:t>
            </w:r>
            <w:r w:rsidR="004E3936">
              <w:rPr>
                <w:sz w:val="20"/>
              </w:rPr>
              <w:t>0</w:t>
            </w:r>
          </w:p>
        </w:tc>
        <w:tc>
          <w:tcPr>
            <w:tcW w:w="1134" w:type="dxa"/>
            <w:tcBorders>
              <w:bottom w:val="single" w:sz="4" w:space="0" w:color="auto"/>
            </w:tcBorders>
            <w:shd w:val="clear" w:color="auto" w:fill="auto"/>
          </w:tcPr>
          <w:p w14:paraId="60A352F2" w14:textId="77777777" w:rsidR="0024668F" w:rsidRPr="004708CA" w:rsidRDefault="0024668F" w:rsidP="0024668F">
            <w:pPr>
              <w:overflowPunct w:val="0"/>
              <w:autoSpaceDE w:val="0"/>
              <w:autoSpaceDN w:val="0"/>
              <w:adjustRightInd w:val="0"/>
              <w:spacing w:after="120"/>
              <w:rPr>
                <w:color w:val="auto"/>
                <w:sz w:val="20"/>
                <w:lang w:eastAsia="en-US"/>
              </w:rPr>
            </w:pPr>
            <w:r w:rsidRPr="004708CA">
              <w:rPr>
                <w:sz w:val="20"/>
              </w:rPr>
              <w:t>29</w:t>
            </w:r>
            <w:r>
              <w:rPr>
                <w:sz w:val="20"/>
              </w:rPr>
              <w:t>8-299</w:t>
            </w:r>
          </w:p>
        </w:tc>
        <w:tc>
          <w:tcPr>
            <w:tcW w:w="2410" w:type="dxa"/>
            <w:gridSpan w:val="2"/>
            <w:tcBorders>
              <w:bottom w:val="single" w:sz="4" w:space="0" w:color="auto"/>
            </w:tcBorders>
            <w:shd w:val="clear" w:color="auto" w:fill="auto"/>
          </w:tcPr>
          <w:p w14:paraId="74B1EC78" w14:textId="77777777" w:rsidR="0024668F" w:rsidRPr="004708CA" w:rsidRDefault="0024668F" w:rsidP="0024668F">
            <w:pPr>
              <w:overflowPunct w:val="0"/>
              <w:autoSpaceDE w:val="0"/>
              <w:autoSpaceDN w:val="0"/>
              <w:adjustRightInd w:val="0"/>
              <w:spacing w:after="120"/>
              <w:rPr>
                <w:color w:val="auto"/>
                <w:sz w:val="20"/>
                <w:lang w:eastAsia="en-US"/>
              </w:rPr>
            </w:pPr>
            <w:r w:rsidRPr="004708CA">
              <w:rPr>
                <w:sz w:val="20"/>
              </w:rPr>
              <w:t>Newland et al</w:t>
            </w:r>
            <w:r>
              <w:rPr>
                <w:sz w:val="20"/>
              </w:rPr>
              <w:t>.,</w:t>
            </w:r>
            <w:r w:rsidRPr="004708CA">
              <w:rPr>
                <w:sz w:val="20"/>
              </w:rPr>
              <w:t xml:space="preserve"> 2015</w:t>
            </w:r>
          </w:p>
        </w:tc>
        <w:tc>
          <w:tcPr>
            <w:tcW w:w="2552" w:type="dxa"/>
            <w:tcBorders>
              <w:bottom w:val="single" w:sz="4" w:space="0" w:color="auto"/>
            </w:tcBorders>
            <w:shd w:val="clear" w:color="auto" w:fill="auto"/>
          </w:tcPr>
          <w:p w14:paraId="68C9C0A3" w14:textId="77777777" w:rsidR="0024668F" w:rsidRPr="00D83945" w:rsidRDefault="0024668F" w:rsidP="0024668F">
            <w:pPr>
              <w:spacing w:after="120"/>
              <w:ind w:right="-612"/>
              <w:rPr>
                <w:color w:val="auto"/>
                <w:sz w:val="20"/>
                <w:lang w:eastAsia="en-US"/>
              </w:rPr>
            </w:pPr>
            <w:r w:rsidRPr="00D83945">
              <w:rPr>
                <w:sz w:val="20"/>
              </w:rPr>
              <w:t>RR-FTIR/UVA/UV</w:t>
            </w:r>
            <w:r>
              <w:rPr>
                <w:sz w:val="20"/>
              </w:rPr>
              <w:t>F</w:t>
            </w:r>
            <w:r w:rsidRPr="00D83945">
              <w:rPr>
                <w:sz w:val="20"/>
              </w:rPr>
              <w:t xml:space="preserve"> (f)</w:t>
            </w:r>
          </w:p>
        </w:tc>
      </w:tr>
    </w:tbl>
    <w:p w14:paraId="7A932703" w14:textId="77777777" w:rsidR="00F340B1" w:rsidRPr="001D3940" w:rsidRDefault="00F340B1" w:rsidP="00F340B1">
      <w:pPr>
        <w:tabs>
          <w:tab w:val="center" w:pos="4680"/>
        </w:tabs>
        <w:jc w:val="both"/>
        <w:rPr>
          <w:color w:val="auto"/>
        </w:rPr>
      </w:pPr>
    </w:p>
    <w:p w14:paraId="7A4C9466" w14:textId="77777777" w:rsidR="00F340B1" w:rsidRPr="001D3940" w:rsidRDefault="00F340B1" w:rsidP="00F340B1">
      <w:pPr>
        <w:pStyle w:val="Heading5"/>
        <w:rPr>
          <w:color w:val="auto"/>
        </w:rPr>
      </w:pPr>
      <w:r w:rsidRPr="001D3940">
        <w:rPr>
          <w:color w:val="auto"/>
        </w:rPr>
        <w:t>Comments</w:t>
      </w:r>
    </w:p>
    <w:p w14:paraId="66E60610" w14:textId="77777777" w:rsidR="00F340B1" w:rsidRPr="001D3940" w:rsidRDefault="00F340B1" w:rsidP="00F340B1">
      <w:pPr>
        <w:tabs>
          <w:tab w:val="left" w:pos="-1440"/>
          <w:tab w:val="left" w:pos="-720"/>
          <w:tab w:val="left" w:pos="444"/>
        </w:tabs>
        <w:jc w:val="both"/>
        <w:rPr>
          <w:color w:val="auto"/>
        </w:rPr>
      </w:pPr>
    </w:p>
    <w:p w14:paraId="276945E5" w14:textId="77777777" w:rsidR="000F6573" w:rsidRPr="004708CA" w:rsidRDefault="000F6573" w:rsidP="000F6573">
      <w:pPr>
        <w:numPr>
          <w:ilvl w:val="0"/>
          <w:numId w:val="3"/>
        </w:numPr>
        <w:tabs>
          <w:tab w:val="left" w:pos="-1440"/>
          <w:tab w:val="left" w:pos="-720"/>
          <w:tab w:val="left" w:pos="426"/>
        </w:tabs>
        <w:jc w:val="both"/>
        <w:rPr>
          <w:spacing w:val="-3"/>
        </w:rPr>
      </w:pPr>
      <w:r w:rsidRPr="00C84BC9">
        <w:t>(CH</w:t>
      </w:r>
      <w:r w:rsidRPr="00E04488">
        <w:rPr>
          <w:vertAlign w:val="subscript"/>
        </w:rPr>
        <w:t>3</w:t>
      </w:r>
      <w:r w:rsidRPr="00C84BC9">
        <w:t>)</w:t>
      </w:r>
      <w:r w:rsidRPr="00E04488">
        <w:rPr>
          <w:vertAlign w:val="subscript"/>
        </w:rPr>
        <w:t>2</w:t>
      </w:r>
      <w:r w:rsidRPr="00C84BC9">
        <w:t xml:space="preserve">COO was generated from </w:t>
      </w:r>
      <w:r>
        <w:t xml:space="preserve">248 nm pulsed </w:t>
      </w:r>
      <w:r w:rsidRPr="00C84BC9">
        <w:t>photolysis of a gaseous mixture consisting</w:t>
      </w:r>
      <w:r>
        <w:t xml:space="preserve"> </w:t>
      </w:r>
      <w:r w:rsidRPr="00C84BC9">
        <w:t xml:space="preserve">of </w:t>
      </w:r>
      <w:r>
        <w:t>2,2-diiodopropane (</w:t>
      </w:r>
      <w:r w:rsidRPr="00C84BC9">
        <w:t>(CH</w:t>
      </w:r>
      <w:r w:rsidRPr="00C84BC9">
        <w:rPr>
          <w:vertAlign w:val="subscript"/>
        </w:rPr>
        <w:t>3</w:t>
      </w:r>
      <w:r w:rsidRPr="00C84BC9">
        <w:t>)</w:t>
      </w:r>
      <w:r w:rsidRPr="00C84BC9">
        <w:rPr>
          <w:vertAlign w:val="subscript"/>
        </w:rPr>
        <w:t>2</w:t>
      </w:r>
      <w:r w:rsidRPr="00C84BC9">
        <w:t>CI</w:t>
      </w:r>
      <w:r w:rsidRPr="00C84BC9">
        <w:rPr>
          <w:vertAlign w:val="subscript"/>
        </w:rPr>
        <w:t>2</w:t>
      </w:r>
      <w:r>
        <w:t>),</w:t>
      </w:r>
      <w:r w:rsidRPr="00C84BC9">
        <w:t xml:space="preserve"> O</w:t>
      </w:r>
      <w:r w:rsidRPr="00C84BC9">
        <w:rPr>
          <w:vertAlign w:val="subscript"/>
        </w:rPr>
        <w:t>2</w:t>
      </w:r>
      <w:r w:rsidRPr="00C84BC9">
        <w:t xml:space="preserve"> and buffer gas (N</w:t>
      </w:r>
      <w:r w:rsidRPr="00C84BC9">
        <w:rPr>
          <w:vertAlign w:val="subscript"/>
        </w:rPr>
        <w:t>2</w:t>
      </w:r>
      <w:r w:rsidRPr="00C84BC9">
        <w:t>)</w:t>
      </w:r>
      <w:r>
        <w:t xml:space="preserve">, </w:t>
      </w:r>
      <w:r w:rsidRPr="00C84BC9">
        <w:t>(CH</w:t>
      </w:r>
      <w:r w:rsidRPr="00C84BC9">
        <w:rPr>
          <w:vertAlign w:val="subscript"/>
        </w:rPr>
        <w:t>3</w:t>
      </w:r>
      <w:r w:rsidRPr="00C84BC9">
        <w:t>)</w:t>
      </w:r>
      <w:r w:rsidRPr="00C84BC9">
        <w:rPr>
          <w:vertAlign w:val="subscript"/>
        </w:rPr>
        <w:t>2</w:t>
      </w:r>
      <w:r w:rsidRPr="00C84BC9">
        <w:t>CI</w:t>
      </w:r>
      <w:r w:rsidRPr="00C84BC9">
        <w:rPr>
          <w:vertAlign w:val="subscript"/>
        </w:rPr>
        <w:t>2</w:t>
      </w:r>
      <w:r>
        <w:rPr>
          <w:vertAlign w:val="subscript"/>
        </w:rPr>
        <w:t xml:space="preserve"> </w:t>
      </w:r>
      <w:r w:rsidRPr="00C84BC9">
        <w:t xml:space="preserve">+ </w:t>
      </w:r>
      <w:proofErr w:type="spellStart"/>
      <w:r w:rsidRPr="00C84BC9">
        <w:t>hν</w:t>
      </w:r>
      <w:proofErr w:type="spellEnd"/>
      <w:r w:rsidRPr="00C84BC9">
        <w:t xml:space="preserve"> → (CH</w:t>
      </w:r>
      <w:r w:rsidRPr="00C84BC9">
        <w:rPr>
          <w:vertAlign w:val="subscript"/>
        </w:rPr>
        <w:t>3</w:t>
      </w:r>
      <w:r w:rsidRPr="00C84BC9">
        <w:t>)</w:t>
      </w:r>
      <w:r w:rsidRPr="00C84BC9">
        <w:rPr>
          <w:vertAlign w:val="subscript"/>
        </w:rPr>
        <w:t>2</w:t>
      </w:r>
      <w:r w:rsidRPr="00C84BC9">
        <w:t>CI</w:t>
      </w:r>
      <w:r>
        <w:rPr>
          <w:vertAlign w:val="subscript"/>
        </w:rPr>
        <w:t xml:space="preserve"> </w:t>
      </w:r>
      <w:r w:rsidRPr="00C84BC9">
        <w:t>+ I</w:t>
      </w:r>
      <w:r>
        <w:t xml:space="preserve">, </w:t>
      </w:r>
      <w:r w:rsidRPr="00E65082">
        <w:t>at</w:t>
      </w:r>
      <w:r>
        <w:t xml:space="preserve"> about 13 – 1030 mbar</w:t>
      </w:r>
      <w:r w:rsidRPr="00E65082">
        <w:t xml:space="preserve"> </w:t>
      </w:r>
      <w:r>
        <w:t>(10 - 770</w:t>
      </w:r>
      <w:r w:rsidRPr="00E65082">
        <w:t xml:space="preserve"> Torr</w:t>
      </w:r>
      <w:r>
        <w:t>)</w:t>
      </w:r>
      <w:r w:rsidRPr="00E65082">
        <w:t xml:space="preserve"> </w:t>
      </w:r>
      <w:r>
        <w:t xml:space="preserve">total </w:t>
      </w:r>
      <w:r w:rsidRPr="00E65082">
        <w:t>pressure and 298 K</w:t>
      </w:r>
      <w:r>
        <w:t>.</w:t>
      </w:r>
      <w:r w:rsidRPr="00C84BC9">
        <w:t xml:space="preserve"> (CH</w:t>
      </w:r>
      <w:r w:rsidRPr="00C84BC9">
        <w:rPr>
          <w:vertAlign w:val="subscript"/>
        </w:rPr>
        <w:t>3</w:t>
      </w:r>
      <w:r w:rsidRPr="00C84BC9">
        <w:t>)</w:t>
      </w:r>
      <w:r w:rsidRPr="00C84BC9">
        <w:rPr>
          <w:vertAlign w:val="subscript"/>
        </w:rPr>
        <w:t>2</w:t>
      </w:r>
      <w:r w:rsidRPr="00C84BC9">
        <w:t>C</w:t>
      </w:r>
      <w:r>
        <w:t xml:space="preserve">OO </w:t>
      </w:r>
      <w:r w:rsidRPr="00C84BC9">
        <w:t xml:space="preserve">was monitored </w:t>
      </w:r>
      <w:r>
        <w:t>by</w:t>
      </w:r>
      <w:r w:rsidRPr="00C84BC9">
        <w:t xml:space="preserve"> UV absorption</w:t>
      </w:r>
      <w:r>
        <w:t xml:space="preserve"> in the region 300 – 450 nm</w:t>
      </w:r>
      <w:r w:rsidRPr="00E65082">
        <w:t>. IO was also detected</w:t>
      </w:r>
      <w:r>
        <w:t xml:space="preserve">, which is formed from the second channel, </w:t>
      </w:r>
      <w:r w:rsidRPr="00C84BC9">
        <w:t>(CH</w:t>
      </w:r>
      <w:r w:rsidRPr="00C84BC9">
        <w:rPr>
          <w:vertAlign w:val="subscript"/>
        </w:rPr>
        <w:t>3</w:t>
      </w:r>
      <w:r w:rsidRPr="00C84BC9">
        <w:t>)</w:t>
      </w:r>
      <w:r w:rsidRPr="00C84BC9">
        <w:rPr>
          <w:vertAlign w:val="subscript"/>
        </w:rPr>
        <w:t>2</w:t>
      </w:r>
      <w:r w:rsidRPr="00C84BC9">
        <w:t>CI</w:t>
      </w:r>
      <w:r>
        <w:rPr>
          <w:vertAlign w:val="subscript"/>
        </w:rPr>
        <w:t xml:space="preserve"> </w:t>
      </w:r>
      <w:r w:rsidRPr="00C84BC9">
        <w:t>+</w:t>
      </w:r>
      <w:r>
        <w:t xml:space="preserve"> </w:t>
      </w:r>
      <w:r w:rsidRPr="00C84BC9">
        <w:t>O</w:t>
      </w:r>
      <w:r w:rsidRPr="00E04488">
        <w:rPr>
          <w:vertAlign w:val="subscript"/>
        </w:rPr>
        <w:t>2</w:t>
      </w:r>
      <w:r w:rsidRPr="00C84BC9">
        <w:t xml:space="preserve"> → (CH</w:t>
      </w:r>
      <w:r w:rsidRPr="00C84BC9">
        <w:rPr>
          <w:vertAlign w:val="subscript"/>
        </w:rPr>
        <w:t>3</w:t>
      </w:r>
      <w:r w:rsidRPr="00C84BC9">
        <w:t>)</w:t>
      </w:r>
      <w:r w:rsidRPr="00C84BC9">
        <w:rPr>
          <w:vertAlign w:val="subscript"/>
        </w:rPr>
        <w:t>2</w:t>
      </w:r>
      <w:r w:rsidRPr="00C84BC9">
        <w:t>COO + I</w:t>
      </w:r>
      <w:r>
        <w:t>O</w:t>
      </w:r>
      <w:r w:rsidRPr="00E65082">
        <w:t xml:space="preserve">. </w:t>
      </w:r>
      <w:r>
        <w:t>F</w:t>
      </w:r>
      <w:r w:rsidRPr="00E65082">
        <w:t xml:space="preserve">irst order </w:t>
      </w:r>
      <w:r>
        <w:t>decay rate constants decreased with total [</w:t>
      </w:r>
      <w:r w:rsidRPr="00C84BC9">
        <w:t>(CH</w:t>
      </w:r>
      <w:r w:rsidRPr="00C84BC9">
        <w:rPr>
          <w:vertAlign w:val="subscript"/>
        </w:rPr>
        <w:t>3</w:t>
      </w:r>
      <w:r w:rsidRPr="00C84BC9">
        <w:t>)</w:t>
      </w:r>
      <w:r w:rsidRPr="00C84BC9">
        <w:rPr>
          <w:vertAlign w:val="subscript"/>
        </w:rPr>
        <w:t>2</w:t>
      </w:r>
      <w:r w:rsidRPr="00C84BC9">
        <w:t>C</w:t>
      </w:r>
      <w:r>
        <w:t xml:space="preserve">OO] to a limiting value at low initial radical concentration, when influence of radical-CI reactions is minimal. We infer this limiting value to be due to thermal decomposition. The cited value of </w:t>
      </w:r>
      <w:r w:rsidRPr="002652DC">
        <w:rPr>
          <w:i/>
        </w:rPr>
        <w:t>k</w:t>
      </w:r>
      <w:r>
        <w:t xml:space="preserve"> was obtained by linear extrapolation of a plot of the pseudo-first order rate constants at 267 mbar (200 Torr) to the limit at zero absorption from</w:t>
      </w:r>
      <w:r w:rsidRPr="00C84BC9">
        <w:t xml:space="preserve"> (CH</w:t>
      </w:r>
      <w:r w:rsidRPr="00C84BC9">
        <w:rPr>
          <w:vertAlign w:val="subscript"/>
        </w:rPr>
        <w:t>3</w:t>
      </w:r>
      <w:r w:rsidRPr="00C84BC9">
        <w:t>)</w:t>
      </w:r>
      <w:r w:rsidRPr="00C84BC9">
        <w:rPr>
          <w:vertAlign w:val="subscript"/>
        </w:rPr>
        <w:t>2</w:t>
      </w:r>
      <w:r w:rsidRPr="00C84BC9">
        <w:t>C</w:t>
      </w:r>
      <w:r>
        <w:t>OO.</w:t>
      </w:r>
    </w:p>
    <w:p w14:paraId="0CAB19CB" w14:textId="77777777" w:rsidR="000F6573" w:rsidRPr="00FB2B0A" w:rsidRDefault="000F6573" w:rsidP="000F6573">
      <w:pPr>
        <w:numPr>
          <w:ilvl w:val="0"/>
          <w:numId w:val="3"/>
        </w:numPr>
        <w:tabs>
          <w:tab w:val="left" w:pos="-1440"/>
          <w:tab w:val="left" w:pos="-720"/>
        </w:tabs>
        <w:jc w:val="both"/>
      </w:pPr>
      <w:r w:rsidRPr="00C84BC9">
        <w:t>(CH</w:t>
      </w:r>
      <w:r w:rsidRPr="00E04488">
        <w:rPr>
          <w:vertAlign w:val="subscript"/>
        </w:rPr>
        <w:t>3</w:t>
      </w:r>
      <w:r w:rsidRPr="00C84BC9">
        <w:t>)</w:t>
      </w:r>
      <w:r w:rsidRPr="00E04488">
        <w:rPr>
          <w:vertAlign w:val="subscript"/>
        </w:rPr>
        <w:t>2</w:t>
      </w:r>
      <w:r w:rsidRPr="00C84BC9">
        <w:t xml:space="preserve">COO was generated from </w:t>
      </w:r>
      <w:r>
        <w:t xml:space="preserve">pulsed </w:t>
      </w:r>
      <w:r w:rsidRPr="00C84BC9">
        <w:t>photolysis of a gaseous mixture consisting</w:t>
      </w:r>
      <w:r>
        <w:t xml:space="preserve"> </w:t>
      </w:r>
      <w:r w:rsidRPr="00C84BC9">
        <w:t xml:space="preserve">of </w:t>
      </w:r>
      <w:r w:rsidRPr="00505FB7">
        <w:t>2,2-diiodopropane</w:t>
      </w:r>
      <w:r>
        <w:t>, (</w:t>
      </w:r>
      <w:r w:rsidRPr="00C84BC9">
        <w:t>CH</w:t>
      </w:r>
      <w:r w:rsidRPr="00C84BC9">
        <w:rPr>
          <w:vertAlign w:val="subscript"/>
        </w:rPr>
        <w:t>3</w:t>
      </w:r>
      <w:r w:rsidRPr="00C84BC9">
        <w:t>)</w:t>
      </w:r>
      <w:r w:rsidRPr="00C84BC9">
        <w:rPr>
          <w:vertAlign w:val="subscript"/>
        </w:rPr>
        <w:t>2</w:t>
      </w:r>
      <w:r w:rsidRPr="00C84BC9">
        <w:t>CI</w:t>
      </w:r>
      <w:r w:rsidRPr="00C84BC9">
        <w:rPr>
          <w:vertAlign w:val="subscript"/>
        </w:rPr>
        <w:t>2</w:t>
      </w:r>
      <w:r>
        <w:t>,</w:t>
      </w:r>
      <w:r w:rsidRPr="00C84BC9">
        <w:t xml:space="preserve"> O</w:t>
      </w:r>
      <w:r w:rsidRPr="00C84BC9">
        <w:rPr>
          <w:vertAlign w:val="subscript"/>
        </w:rPr>
        <w:t>2</w:t>
      </w:r>
      <w:r w:rsidRPr="00C84BC9">
        <w:t>, and buffer gas (N</w:t>
      </w:r>
      <w:r w:rsidRPr="00C84BC9">
        <w:rPr>
          <w:vertAlign w:val="subscript"/>
        </w:rPr>
        <w:t>2</w:t>
      </w:r>
      <w:r w:rsidRPr="00C84BC9">
        <w:t>) at 248 nm</w:t>
      </w:r>
      <w:r>
        <w:t xml:space="preserve">, </w:t>
      </w:r>
      <w:r w:rsidRPr="00C84BC9">
        <w:t>(CH</w:t>
      </w:r>
      <w:r w:rsidRPr="00C84BC9">
        <w:rPr>
          <w:vertAlign w:val="subscript"/>
        </w:rPr>
        <w:t>3</w:t>
      </w:r>
      <w:r w:rsidRPr="00C84BC9">
        <w:t>)</w:t>
      </w:r>
      <w:r w:rsidRPr="00C84BC9">
        <w:rPr>
          <w:vertAlign w:val="subscript"/>
        </w:rPr>
        <w:t>2</w:t>
      </w:r>
      <w:r w:rsidRPr="00C84BC9">
        <w:t>CI</w:t>
      </w:r>
      <w:r w:rsidRPr="00C84BC9">
        <w:rPr>
          <w:vertAlign w:val="subscript"/>
        </w:rPr>
        <w:t>2</w:t>
      </w:r>
      <w:r>
        <w:rPr>
          <w:vertAlign w:val="subscript"/>
        </w:rPr>
        <w:t xml:space="preserve"> </w:t>
      </w:r>
      <w:r w:rsidRPr="00C84BC9">
        <w:t xml:space="preserve">+ </w:t>
      </w:r>
      <w:proofErr w:type="spellStart"/>
      <w:r w:rsidRPr="00C84BC9">
        <w:t>hν</w:t>
      </w:r>
      <w:proofErr w:type="spellEnd"/>
      <w:r w:rsidRPr="00C84BC9">
        <w:t xml:space="preserve"> → (CH</w:t>
      </w:r>
      <w:r w:rsidRPr="00C84BC9">
        <w:rPr>
          <w:vertAlign w:val="subscript"/>
        </w:rPr>
        <w:t>3</w:t>
      </w:r>
      <w:r w:rsidRPr="00C84BC9">
        <w:t>)</w:t>
      </w:r>
      <w:r w:rsidRPr="00C84BC9">
        <w:rPr>
          <w:vertAlign w:val="subscript"/>
        </w:rPr>
        <w:t>2</w:t>
      </w:r>
      <w:r w:rsidRPr="00C84BC9">
        <w:t>CI</w:t>
      </w:r>
      <w:r>
        <w:rPr>
          <w:vertAlign w:val="subscript"/>
        </w:rPr>
        <w:t xml:space="preserve"> </w:t>
      </w:r>
      <w:r w:rsidRPr="00C84BC9">
        <w:t>+ I</w:t>
      </w:r>
      <w:r>
        <w:t xml:space="preserve">, at a total </w:t>
      </w:r>
      <w:r w:rsidRPr="00E65082">
        <w:t>pressure</w:t>
      </w:r>
      <w:r>
        <w:t xml:space="preserve"> of 200</w:t>
      </w:r>
      <w:r w:rsidRPr="00E65082">
        <w:t xml:space="preserve"> Torr</w:t>
      </w:r>
      <w:r>
        <w:t>.</w:t>
      </w:r>
      <w:r w:rsidRPr="00E65082">
        <w:t xml:space="preserve"> </w:t>
      </w:r>
      <w:r w:rsidRPr="00C84BC9">
        <w:t>(CH</w:t>
      </w:r>
      <w:r w:rsidRPr="00C84BC9">
        <w:rPr>
          <w:vertAlign w:val="subscript"/>
        </w:rPr>
        <w:t>3</w:t>
      </w:r>
      <w:r w:rsidRPr="00C84BC9">
        <w:t>)</w:t>
      </w:r>
      <w:r w:rsidRPr="00C84BC9">
        <w:rPr>
          <w:vertAlign w:val="subscript"/>
        </w:rPr>
        <w:t>2</w:t>
      </w:r>
      <w:r w:rsidRPr="00C84BC9">
        <w:t>C</w:t>
      </w:r>
      <w:r>
        <w:t xml:space="preserve">OO </w:t>
      </w:r>
      <w:r w:rsidRPr="00C84BC9">
        <w:t xml:space="preserve">was monitored </w:t>
      </w:r>
      <w:r>
        <w:t>by</w:t>
      </w:r>
      <w:r w:rsidRPr="00C84BC9">
        <w:t xml:space="preserve"> </w:t>
      </w:r>
      <w:r w:rsidRPr="00E65082">
        <w:t xml:space="preserve">time-resolved </w:t>
      </w:r>
      <w:r w:rsidRPr="00C84BC9">
        <w:t>UV absorption</w:t>
      </w:r>
      <w:r>
        <w:t xml:space="preserve"> due</w:t>
      </w:r>
      <w:r w:rsidRPr="00E65082">
        <w:t xml:space="preserve"> to the B̃ (1A′) ← X̃(1A′) electronic transition</w:t>
      </w:r>
      <w:r>
        <w:t>. T</w:t>
      </w:r>
      <w:r w:rsidRPr="004C0BB1">
        <w:t>he amount of (CH</w:t>
      </w:r>
      <w:r w:rsidRPr="004C0BB1">
        <w:rPr>
          <w:vertAlign w:val="subscript"/>
        </w:rPr>
        <w:t>3</w:t>
      </w:r>
      <w:r w:rsidRPr="004C0BB1">
        <w:t>)</w:t>
      </w:r>
      <w:r w:rsidRPr="004C0BB1">
        <w:rPr>
          <w:vertAlign w:val="subscript"/>
        </w:rPr>
        <w:t>2</w:t>
      </w:r>
      <w:r w:rsidRPr="004C0BB1">
        <w:t>COO formed</w:t>
      </w:r>
      <w:r>
        <w:t xml:space="preserve"> was estimated using a cross-</w:t>
      </w:r>
      <w:r w:rsidRPr="004C0BB1">
        <w:t xml:space="preserve">section </w:t>
      </w:r>
      <w:r w:rsidRPr="004E07E4">
        <w:rPr>
          <w:rFonts w:ascii="Symbol" w:hAnsi="Symbol"/>
        </w:rPr>
        <w:t></w:t>
      </w:r>
      <w:r>
        <w:t xml:space="preserve"> = 1.6 × </w:t>
      </w:r>
      <w:r w:rsidRPr="004C0BB1">
        <w:t>10</w:t>
      </w:r>
      <w:r w:rsidRPr="004E07E4">
        <w:rPr>
          <w:vertAlign w:val="superscript"/>
        </w:rPr>
        <w:t>−17</w:t>
      </w:r>
      <w:r w:rsidRPr="004C0BB1">
        <w:t xml:space="preserve"> cm</w:t>
      </w:r>
      <w:r w:rsidRPr="004E07E4">
        <w:rPr>
          <w:vertAlign w:val="superscript"/>
        </w:rPr>
        <w:t>2</w:t>
      </w:r>
      <w:r w:rsidRPr="004C0BB1">
        <w:t xml:space="preserve"> at</w:t>
      </w:r>
      <w:r>
        <w:t xml:space="preserve"> 340 nm. </w:t>
      </w:r>
      <w:r w:rsidRPr="004C0BB1">
        <w:t xml:space="preserve"> </w:t>
      </w:r>
      <w:r>
        <w:t xml:space="preserve">Kinetic decays were recorded in the temperature range 283-323 K. The decay kinetics exhibited a complex mixed first and second order form, due to thermal decomposition, self-reaction and reaction of </w:t>
      </w:r>
      <w:r w:rsidRPr="00AB2489">
        <w:t>(CH</w:t>
      </w:r>
      <w:r w:rsidRPr="00744C5B">
        <w:rPr>
          <w:vertAlign w:val="subscript"/>
        </w:rPr>
        <w:t>3</w:t>
      </w:r>
      <w:r w:rsidRPr="00AB2489">
        <w:t>)</w:t>
      </w:r>
      <w:r w:rsidRPr="00744C5B">
        <w:rPr>
          <w:vertAlign w:val="subscript"/>
        </w:rPr>
        <w:t>2</w:t>
      </w:r>
      <w:r>
        <w:t xml:space="preserve">COO with other radical species produced following photolysis. </w:t>
      </w:r>
      <w:r w:rsidRPr="009F3A27">
        <w:rPr>
          <w:i/>
          <w:iCs/>
        </w:rPr>
        <w:t>k</w:t>
      </w:r>
      <w:r>
        <w:t xml:space="preserve"> was determined by numerical simulation, making use of an optimized value of the second order component (mainly due to self-reaction), which was well defined in experiments at the highest initial concentrations. </w:t>
      </w:r>
      <w:r w:rsidRPr="00AE13EB">
        <w:t xml:space="preserve">The </w:t>
      </w:r>
      <w:r>
        <w:t xml:space="preserve">values of </w:t>
      </w:r>
      <w:r w:rsidRPr="00D612F4">
        <w:rPr>
          <w:i/>
        </w:rPr>
        <w:t>k</w:t>
      </w:r>
      <w:r>
        <w:t xml:space="preserve"> increased significantly with temperature. The results are consistent with </w:t>
      </w:r>
      <w:r w:rsidRPr="00384948">
        <w:rPr>
          <w:i/>
          <w:iCs/>
        </w:rPr>
        <w:t>k</w:t>
      </w:r>
      <w:r>
        <w:t xml:space="preserve"> =</w:t>
      </w:r>
      <w:r w:rsidRPr="00384948">
        <w:t xml:space="preserve"> </w:t>
      </w:r>
      <w:r w:rsidRPr="00384948">
        <w:rPr>
          <w:iCs/>
        </w:rPr>
        <w:t>7.25 × 10</w:t>
      </w:r>
      <w:r w:rsidRPr="00384948">
        <w:rPr>
          <w:iCs/>
          <w:vertAlign w:val="superscript"/>
        </w:rPr>
        <w:t>6</w:t>
      </w:r>
      <w:r w:rsidRPr="00384948">
        <w:rPr>
          <w:iCs/>
        </w:rPr>
        <w:t xml:space="preserve"> </w:t>
      </w:r>
      <w:proofErr w:type="gramStart"/>
      <w:r w:rsidRPr="00384948">
        <w:rPr>
          <w:iCs/>
        </w:rPr>
        <w:t>exp[</w:t>
      </w:r>
      <w:proofErr w:type="gramEnd"/>
      <w:r w:rsidRPr="00384948">
        <w:rPr>
          <w:iCs/>
        </w:rPr>
        <w:t>-(2919 ± 604)/</w:t>
      </w:r>
      <w:r w:rsidRPr="00384948">
        <w:rPr>
          <w:i/>
        </w:rPr>
        <w:t>T</w:t>
      </w:r>
      <w:r w:rsidRPr="00384948">
        <w:rPr>
          <w:iCs/>
        </w:rPr>
        <w:t>)]</w:t>
      </w:r>
      <w:r>
        <w:t xml:space="preserve">. </w:t>
      </w:r>
      <w:r w:rsidRPr="00ED1893">
        <w:t>(CD</w:t>
      </w:r>
      <w:r w:rsidRPr="00ED1893">
        <w:rPr>
          <w:vertAlign w:val="subscript"/>
        </w:rPr>
        <w:t>3</w:t>
      </w:r>
      <w:r w:rsidRPr="00ED1893">
        <w:t>)</w:t>
      </w:r>
      <w:r w:rsidRPr="00ED1893">
        <w:rPr>
          <w:vertAlign w:val="subscript"/>
        </w:rPr>
        <w:t>2</w:t>
      </w:r>
      <w:r>
        <w:t xml:space="preserve">COO </w:t>
      </w:r>
      <w:r>
        <w:lastRenderedPageBreak/>
        <w:t>kinetics were also investigated using</w:t>
      </w:r>
      <w:r w:rsidRPr="00ED1893">
        <w:t xml:space="preserve"> the precursor (CD</w:t>
      </w:r>
      <w:r w:rsidRPr="00ED1893">
        <w:rPr>
          <w:vertAlign w:val="subscript"/>
        </w:rPr>
        <w:t>3</w:t>
      </w:r>
      <w:r w:rsidRPr="00ED1893">
        <w:t>)</w:t>
      </w:r>
      <w:r w:rsidRPr="00ED1893">
        <w:rPr>
          <w:vertAlign w:val="subscript"/>
        </w:rPr>
        <w:t>2</w:t>
      </w:r>
      <w:r w:rsidRPr="00ED1893">
        <w:t>CI</w:t>
      </w:r>
      <w:r w:rsidRPr="00ED1893">
        <w:rPr>
          <w:vertAlign w:val="subscript"/>
        </w:rPr>
        <w:t>2</w:t>
      </w:r>
      <w:r>
        <w:t>.</w:t>
      </w:r>
      <w:r w:rsidRPr="00AE13EB">
        <w:t xml:space="preserve"> </w:t>
      </w:r>
      <w:r w:rsidRPr="00D612F4">
        <w:rPr>
          <w:i/>
        </w:rPr>
        <w:t>k</w:t>
      </w:r>
      <w:r w:rsidRPr="009F2B92">
        <w:t xml:space="preserve"> for (CD</w:t>
      </w:r>
      <w:r w:rsidRPr="005D16C1">
        <w:rPr>
          <w:vertAlign w:val="subscript"/>
        </w:rPr>
        <w:t>3</w:t>
      </w:r>
      <w:r w:rsidRPr="009F2B92">
        <w:t>)</w:t>
      </w:r>
      <w:r w:rsidRPr="005D16C1">
        <w:rPr>
          <w:vertAlign w:val="subscript"/>
        </w:rPr>
        <w:t>2</w:t>
      </w:r>
      <w:r w:rsidRPr="009F2B92">
        <w:t xml:space="preserve">COO at 298 K </w:t>
      </w:r>
      <w:r>
        <w:t xml:space="preserve">was estimated </w:t>
      </w:r>
      <w:r w:rsidRPr="009F2B92">
        <w:t>to be &lt;100 s</w:t>
      </w:r>
      <w:r w:rsidRPr="005D16C1">
        <w:rPr>
          <w:vertAlign w:val="superscript"/>
        </w:rPr>
        <w:t>−1</w:t>
      </w:r>
      <w:r>
        <w:t xml:space="preserve">, with no significant </w:t>
      </w:r>
      <w:r w:rsidRPr="001455A0">
        <w:rPr>
          <w:i/>
          <w:iCs/>
        </w:rPr>
        <w:t>T</w:t>
      </w:r>
      <w:r>
        <w:t xml:space="preserve"> dependence.</w:t>
      </w:r>
    </w:p>
    <w:p w14:paraId="1B092BAF" w14:textId="77777777" w:rsidR="000F6573" w:rsidRDefault="000F6573" w:rsidP="000F6573">
      <w:pPr>
        <w:numPr>
          <w:ilvl w:val="0"/>
          <w:numId w:val="3"/>
        </w:numPr>
        <w:tabs>
          <w:tab w:val="left" w:pos="-1440"/>
          <w:tab w:val="left" w:pos="-720"/>
        </w:tabs>
        <w:jc w:val="both"/>
      </w:pPr>
      <w:r>
        <w:t>(</w:t>
      </w:r>
      <w:r w:rsidRPr="00505FB7">
        <w:t>CH</w:t>
      </w:r>
      <w:r w:rsidRPr="00505FB7">
        <w:rPr>
          <w:vertAlign w:val="subscript"/>
        </w:rPr>
        <w:t>3</w:t>
      </w:r>
      <w:r w:rsidRPr="00505FB7">
        <w:t>)</w:t>
      </w:r>
      <w:r w:rsidRPr="00505FB7">
        <w:rPr>
          <w:vertAlign w:val="subscript"/>
        </w:rPr>
        <w:t>2</w:t>
      </w:r>
      <w:r>
        <w:t>COO wa</w:t>
      </w:r>
      <w:r w:rsidRPr="00505FB7">
        <w:t xml:space="preserve">s formed by laser photolysis of </w:t>
      </w:r>
      <w:r w:rsidRPr="00C84BC9">
        <w:t>(CH</w:t>
      </w:r>
      <w:r w:rsidRPr="00C84BC9">
        <w:rPr>
          <w:vertAlign w:val="subscript"/>
        </w:rPr>
        <w:t>3</w:t>
      </w:r>
      <w:r w:rsidRPr="00C84BC9">
        <w:t>)</w:t>
      </w:r>
      <w:r w:rsidRPr="00C84BC9">
        <w:rPr>
          <w:vertAlign w:val="subscript"/>
        </w:rPr>
        <w:t>2</w:t>
      </w:r>
      <w:r w:rsidRPr="00C84BC9">
        <w:t>CI</w:t>
      </w:r>
      <w:proofErr w:type="gramStart"/>
      <w:r w:rsidRPr="00C84BC9">
        <w:rPr>
          <w:vertAlign w:val="subscript"/>
        </w:rPr>
        <w:t>2</w:t>
      </w:r>
      <w:r>
        <w:rPr>
          <w:vertAlign w:val="subscript"/>
        </w:rPr>
        <w:t xml:space="preserve"> </w:t>
      </w:r>
      <w:r w:rsidRPr="00505FB7">
        <w:t xml:space="preserve"> in</w:t>
      </w:r>
      <w:proofErr w:type="gramEnd"/>
      <w:r w:rsidRPr="00505FB7">
        <w:t xml:space="preserve"> the presence of O</w:t>
      </w:r>
      <w:r w:rsidRPr="00505FB7">
        <w:rPr>
          <w:vertAlign w:val="subscript"/>
        </w:rPr>
        <w:t>2</w:t>
      </w:r>
      <w:r w:rsidRPr="00505FB7">
        <w:t xml:space="preserve"> and characterized by synchrotron photoionization mass spectrometry</w:t>
      </w:r>
      <w:r>
        <w:t>;</w:t>
      </w:r>
      <w:r w:rsidRPr="00505FB7">
        <w:t xml:space="preserve"> and </w:t>
      </w:r>
      <w:r>
        <w:t xml:space="preserve">also </w:t>
      </w:r>
      <w:r w:rsidRPr="00505FB7">
        <w:t>by cavity ringdown ultraviolet absorption spectroscopy.</w:t>
      </w:r>
      <w:r>
        <w:t xml:space="preserve"> </w:t>
      </w:r>
      <w:r w:rsidRPr="00505FB7">
        <w:t xml:space="preserve">Cavity ringdown measurements of </w:t>
      </w:r>
      <w:r>
        <w:t>(</w:t>
      </w:r>
      <w:r w:rsidRPr="00505FB7">
        <w:t>CH</w:t>
      </w:r>
      <w:r w:rsidRPr="00505FB7">
        <w:rPr>
          <w:vertAlign w:val="subscript"/>
        </w:rPr>
        <w:t>3</w:t>
      </w:r>
      <w:r w:rsidRPr="00505FB7">
        <w:t>)</w:t>
      </w:r>
      <w:r w:rsidRPr="00505FB7">
        <w:rPr>
          <w:vertAlign w:val="subscript"/>
        </w:rPr>
        <w:t>2</w:t>
      </w:r>
      <w:r>
        <w:t>COO</w:t>
      </w:r>
      <w:r w:rsidRPr="00505FB7">
        <w:t xml:space="preserve"> </w:t>
      </w:r>
      <w:r>
        <w:t>loss</w:t>
      </w:r>
      <w:r w:rsidRPr="00505FB7">
        <w:t xml:space="preserve"> without added reagents display a combination of first- and second-order decay kinetics, which </w:t>
      </w:r>
      <w:r>
        <w:t>were</w:t>
      </w:r>
      <w:r w:rsidRPr="00505FB7">
        <w:t xml:space="preserve"> deconvolved to derive values for both the (CH</w:t>
      </w:r>
      <w:r w:rsidRPr="00B006B6">
        <w:rPr>
          <w:vertAlign w:val="subscript"/>
        </w:rPr>
        <w:t>3</w:t>
      </w:r>
      <w:r w:rsidRPr="00505FB7">
        <w:t>)</w:t>
      </w:r>
      <w:r w:rsidRPr="00B006B6">
        <w:rPr>
          <w:vertAlign w:val="subscript"/>
        </w:rPr>
        <w:t>2</w:t>
      </w:r>
      <w:r w:rsidRPr="00505FB7">
        <w:t>COO</w:t>
      </w:r>
      <w:r>
        <w:t xml:space="preserve"> </w:t>
      </w:r>
      <w:r w:rsidRPr="00505FB7">
        <w:t xml:space="preserve">self-reaction </w:t>
      </w:r>
      <w:r>
        <w:t>rate constant,</w:t>
      </w:r>
      <w:r w:rsidRPr="00505FB7">
        <w:t xml:space="preserve"> and </w:t>
      </w:r>
      <w:r>
        <w:t xml:space="preserve">the </w:t>
      </w:r>
      <w:r w:rsidRPr="00505FB7">
        <w:t>unimolecular thermal decay</w:t>
      </w:r>
      <w:r>
        <w:t xml:space="preserve"> constant, </w:t>
      </w:r>
      <w:r w:rsidRPr="00D612F4">
        <w:rPr>
          <w:i/>
        </w:rPr>
        <w:t>k</w:t>
      </w:r>
      <w:r w:rsidRPr="00505FB7">
        <w:t xml:space="preserve">. </w:t>
      </w:r>
      <w:r>
        <w:t xml:space="preserve">The cited value is a mean of four determinations of </w:t>
      </w:r>
      <w:r w:rsidRPr="00D612F4">
        <w:rPr>
          <w:i/>
        </w:rPr>
        <w:t>k</w:t>
      </w:r>
      <w:r>
        <w:rPr>
          <w:vertAlign w:val="subscript"/>
        </w:rPr>
        <w:t xml:space="preserve"> </w:t>
      </w:r>
      <w:r w:rsidRPr="00D15EE5">
        <w:t>over</w:t>
      </w:r>
      <w:r>
        <w:t xml:space="preserve"> the pressure range 13 - 131 mbar. Both </w:t>
      </w:r>
      <w:r w:rsidRPr="00D612F4">
        <w:rPr>
          <w:i/>
        </w:rPr>
        <w:t>k</w:t>
      </w:r>
      <w:r>
        <w:t xml:space="preserve"> and the </w:t>
      </w:r>
      <w:r w:rsidRPr="00505FB7">
        <w:t xml:space="preserve">self-reaction </w:t>
      </w:r>
      <w:r>
        <w:t>rate constant were independent of pressure in this range.</w:t>
      </w:r>
    </w:p>
    <w:p w14:paraId="49DD8F1F" w14:textId="77777777" w:rsidR="000F6573" w:rsidRPr="006C2FD3" w:rsidRDefault="000F6573" w:rsidP="000F6573">
      <w:pPr>
        <w:numPr>
          <w:ilvl w:val="0"/>
          <w:numId w:val="3"/>
        </w:numPr>
        <w:tabs>
          <w:tab w:val="left" w:pos="-1440"/>
          <w:tab w:val="left" w:pos="-720"/>
        </w:tabs>
        <w:jc w:val="both"/>
      </w:pPr>
      <w:r>
        <w:t>Study of the 2,3-dimethyl-but-2-ene + O</w:t>
      </w:r>
      <w:r w:rsidRPr="006C2FD3">
        <w:rPr>
          <w:vertAlign w:val="subscript"/>
        </w:rPr>
        <w:t>3</w:t>
      </w:r>
      <w:r>
        <w:t xml:space="preserve"> reaction in the presence of 1 bar of synthetic air with and without added SO</w:t>
      </w:r>
      <w:r w:rsidRPr="006C2FD3">
        <w:rPr>
          <w:vertAlign w:val="subscript"/>
        </w:rPr>
        <w:t>2</w:t>
      </w:r>
      <w:r>
        <w:t>, in a flow system, at 1 bar pressure and 50 %</w:t>
      </w:r>
      <w:r w:rsidRPr="00705CAC">
        <w:t xml:space="preserve"> RH</w:t>
      </w:r>
      <w:r>
        <w:t>. Either propane or butane were also present to scavenge HO radicals. Formation of H</w:t>
      </w:r>
      <w:r w:rsidRPr="006C2FD3">
        <w:rPr>
          <w:vertAlign w:val="subscript"/>
        </w:rPr>
        <w:t>2</w:t>
      </w:r>
      <w:r>
        <w:t>SO</w:t>
      </w:r>
      <w:r w:rsidRPr="006C2FD3">
        <w:rPr>
          <w:vertAlign w:val="subscript"/>
        </w:rPr>
        <w:t>4</w:t>
      </w:r>
      <w:r>
        <w:t xml:space="preserve"> from the reaction of </w:t>
      </w:r>
      <w:r w:rsidRPr="00AE13EB">
        <w:t>(CH</w:t>
      </w:r>
      <w:r w:rsidRPr="006C2FD3">
        <w:rPr>
          <w:vertAlign w:val="subscript"/>
        </w:rPr>
        <w:t>3</w:t>
      </w:r>
      <w:r w:rsidRPr="00AE13EB">
        <w:t>)</w:t>
      </w:r>
      <w:r w:rsidRPr="006C2FD3">
        <w:rPr>
          <w:vertAlign w:val="subscript"/>
        </w:rPr>
        <w:t>2</w:t>
      </w:r>
      <w:r w:rsidRPr="00AE13EB">
        <w:t>COO</w:t>
      </w:r>
      <w:r>
        <w:t xml:space="preserve"> with SO</w:t>
      </w:r>
      <w:r w:rsidRPr="006C2FD3">
        <w:rPr>
          <w:vertAlign w:val="subscript"/>
        </w:rPr>
        <w:t>2</w:t>
      </w:r>
      <w:r>
        <w:t xml:space="preserve"> was monitored with CIMS, using NO</w:t>
      </w:r>
      <w:r w:rsidRPr="006C2FD3">
        <w:rPr>
          <w:vertAlign w:val="subscript"/>
        </w:rPr>
        <w:t>3</w:t>
      </w:r>
      <w:r w:rsidRPr="006C2FD3">
        <w:rPr>
          <w:vertAlign w:val="superscript"/>
        </w:rPr>
        <w:t>-</w:t>
      </w:r>
      <w:r>
        <w:t xml:space="preserve"> as reagent ion. The time dependence of H</w:t>
      </w:r>
      <w:r w:rsidRPr="006C2FD3">
        <w:rPr>
          <w:vertAlign w:val="subscript"/>
        </w:rPr>
        <w:t>2</w:t>
      </w:r>
      <w:r>
        <w:t>SO</w:t>
      </w:r>
      <w:r w:rsidRPr="006C2FD3">
        <w:rPr>
          <w:vertAlign w:val="subscript"/>
        </w:rPr>
        <w:t>4</w:t>
      </w:r>
      <w:r>
        <w:t xml:space="preserve"> production after addition of different [SO</w:t>
      </w:r>
      <w:r w:rsidRPr="006C2FD3">
        <w:rPr>
          <w:vertAlign w:val="subscript"/>
        </w:rPr>
        <w:t>2</w:t>
      </w:r>
      <w:r>
        <w:t xml:space="preserve">] allowed estimation of </w:t>
      </w:r>
      <w:proofErr w:type="spellStart"/>
      <w:r w:rsidRPr="006C2FD3">
        <w:rPr>
          <w:i/>
          <w:iCs/>
        </w:rPr>
        <w:t>k</w:t>
      </w:r>
      <w:r w:rsidRPr="006C2FD3">
        <w:rPr>
          <w:vertAlign w:val="subscript"/>
        </w:rPr>
        <w:t>loss</w:t>
      </w:r>
      <w:proofErr w:type="spellEnd"/>
      <w:r>
        <w:t xml:space="preserve"> = (3.0 ± 0.4) s</w:t>
      </w:r>
      <w:r w:rsidRPr="006C2FD3">
        <w:rPr>
          <w:vertAlign w:val="superscript"/>
        </w:rPr>
        <w:t>-1</w:t>
      </w:r>
      <w:r>
        <w:t xml:space="preserve"> for </w:t>
      </w:r>
      <w:r w:rsidRPr="00AE13EB">
        <w:t>(CH</w:t>
      </w:r>
      <w:r w:rsidRPr="006C2FD3">
        <w:rPr>
          <w:vertAlign w:val="subscript"/>
        </w:rPr>
        <w:t>3</w:t>
      </w:r>
      <w:r w:rsidRPr="00AE13EB">
        <w:t>)</w:t>
      </w:r>
      <w:r w:rsidRPr="006C2FD3">
        <w:rPr>
          <w:vertAlign w:val="subscript"/>
        </w:rPr>
        <w:t>2</w:t>
      </w:r>
      <w:r w:rsidRPr="00AE13EB">
        <w:t>COO</w:t>
      </w:r>
      <w:r>
        <w:t xml:space="preserve">, and a rate constant ratio </w:t>
      </w:r>
      <w:proofErr w:type="spellStart"/>
      <w:r w:rsidRPr="006C2FD3">
        <w:rPr>
          <w:i/>
        </w:rPr>
        <w:t>k</w:t>
      </w:r>
      <w:r w:rsidRPr="006C2FD3">
        <w:rPr>
          <w:iCs/>
          <w:vertAlign w:val="subscript"/>
        </w:rPr>
        <w:t>loss</w:t>
      </w:r>
      <w:proofErr w:type="spellEnd"/>
      <w:r w:rsidRPr="00BA6938">
        <w:t>/</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w:t>
      </w:r>
      <w:r w:rsidRPr="00D52BE9">
        <w:t>= (</w:t>
      </w:r>
      <w:r>
        <w:t>3.9</w:t>
      </w:r>
      <w:r w:rsidRPr="00D52BE9">
        <w:t xml:space="preserve"> ± </w:t>
      </w:r>
      <w:r>
        <w:t>0.7</w:t>
      </w:r>
      <w:r w:rsidRPr="00D52BE9">
        <w:t xml:space="preserve">) </w:t>
      </w:r>
      <w:r>
        <w:t>×</w:t>
      </w:r>
      <w:r w:rsidRPr="00D52BE9">
        <w:t xml:space="preserve"> 10</w:t>
      </w:r>
      <w:r w:rsidRPr="006C2FD3">
        <w:rPr>
          <w:vertAlign w:val="superscript"/>
        </w:rPr>
        <w:t>12</w:t>
      </w:r>
      <w:r w:rsidRPr="00CC4187">
        <w:t xml:space="preserve"> molecule</w:t>
      </w:r>
      <w:r>
        <w:t xml:space="preserve"> </w:t>
      </w:r>
      <w:r w:rsidRPr="00D14A8F">
        <w:t>cm</w:t>
      </w:r>
      <w:r w:rsidRPr="006C2FD3">
        <w:rPr>
          <w:vertAlign w:val="superscript"/>
        </w:rPr>
        <w:t>-3</w:t>
      </w:r>
      <w:r>
        <w:t xml:space="preserve">; where </w:t>
      </w:r>
      <w:proofErr w:type="spellStart"/>
      <w:r w:rsidRPr="006C2FD3">
        <w:rPr>
          <w:i/>
          <w:iCs/>
        </w:rPr>
        <w:t>k</w:t>
      </w:r>
      <w:r w:rsidRPr="006C2FD3">
        <w:rPr>
          <w:vertAlign w:val="subscript"/>
        </w:rPr>
        <w:t>loss</w:t>
      </w:r>
      <w:proofErr w:type="spellEnd"/>
      <w:r>
        <w:t xml:space="preserve"> is the total first-order loss rate due to decomposition and reaction with H</w:t>
      </w:r>
      <w:r w:rsidRPr="006C2FD3">
        <w:rPr>
          <w:vertAlign w:val="subscript"/>
        </w:rPr>
        <w:t>2</w:t>
      </w:r>
      <w:r>
        <w:t>O. B</w:t>
      </w:r>
      <w:r w:rsidRPr="00705CAC">
        <w:t>ecause the</w:t>
      </w:r>
      <w:r>
        <w:t xml:space="preserve"> (slow) reaction of </w:t>
      </w:r>
      <w:r w:rsidRPr="00AE13EB">
        <w:t>(CH</w:t>
      </w:r>
      <w:r w:rsidRPr="006C2FD3">
        <w:rPr>
          <w:vertAlign w:val="subscript"/>
        </w:rPr>
        <w:t>3</w:t>
      </w:r>
      <w:r w:rsidRPr="00AE13EB">
        <w:t>)</w:t>
      </w:r>
      <w:r w:rsidRPr="006C2FD3">
        <w:rPr>
          <w:vertAlign w:val="subscript"/>
        </w:rPr>
        <w:t>2</w:t>
      </w:r>
      <w:r w:rsidRPr="00AE13EB">
        <w:t>COO</w:t>
      </w:r>
      <w:r>
        <w:t xml:space="preserve"> with </w:t>
      </w:r>
      <w:r w:rsidRPr="00705CAC">
        <w:t>H</w:t>
      </w:r>
      <w:r w:rsidRPr="006C2FD3">
        <w:rPr>
          <w:vertAlign w:val="subscript"/>
        </w:rPr>
        <w:t>2</w:t>
      </w:r>
      <w:r w:rsidRPr="00705CAC">
        <w:t xml:space="preserve">O can be neglected </w:t>
      </w:r>
      <w:r>
        <w:t xml:space="preserve">as a significant removal process for </w:t>
      </w:r>
      <w:r w:rsidRPr="00C84BC9">
        <w:t>(CH</w:t>
      </w:r>
      <w:r w:rsidRPr="006C2FD3">
        <w:rPr>
          <w:vertAlign w:val="subscript"/>
        </w:rPr>
        <w:t>3</w:t>
      </w:r>
      <w:r w:rsidRPr="00C84BC9">
        <w:t>)</w:t>
      </w:r>
      <w:r w:rsidRPr="006C2FD3">
        <w:rPr>
          <w:vertAlign w:val="subscript"/>
        </w:rPr>
        <w:t>2</w:t>
      </w:r>
      <w:r w:rsidRPr="00C84BC9">
        <w:t>C</w:t>
      </w:r>
      <w:r>
        <w:t xml:space="preserve">OO under the experimental conditions, we infer that of </w:t>
      </w:r>
      <w:proofErr w:type="spellStart"/>
      <w:r w:rsidRPr="006C2FD3">
        <w:rPr>
          <w:i/>
          <w:iCs/>
        </w:rPr>
        <w:t>k</w:t>
      </w:r>
      <w:r w:rsidRPr="006C2FD3">
        <w:rPr>
          <w:vertAlign w:val="subscript"/>
        </w:rPr>
        <w:t>loss</w:t>
      </w:r>
      <w:proofErr w:type="spellEnd"/>
      <w:r>
        <w:t xml:space="preserve"> = </w:t>
      </w:r>
      <w:r w:rsidRPr="006C2FD3">
        <w:rPr>
          <w:i/>
          <w:iCs/>
        </w:rPr>
        <w:t>k</w:t>
      </w:r>
      <w:r>
        <w:t xml:space="preserve">. The tabulated value of </w:t>
      </w:r>
      <w:r w:rsidRPr="006C2FD3">
        <w:rPr>
          <w:i/>
          <w:iCs/>
        </w:rPr>
        <w:t>k</w:t>
      </w:r>
      <w:r>
        <w:t xml:space="preserve"> is based on the rate constant ratio, which agrees well with that reported in a subsequent study (Berndt et al., 2014). </w:t>
      </w:r>
      <w:r w:rsidRPr="00037C1C">
        <w:rPr>
          <w:i/>
          <w:iCs/>
        </w:rPr>
        <w:t>k</w:t>
      </w:r>
      <w:r>
        <w:t xml:space="preserve"> is placed on an absolute basis using </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 4.23 × 10</w:t>
      </w:r>
      <w:r>
        <w:rPr>
          <w:vertAlign w:val="superscript"/>
        </w:rPr>
        <w:t>-13</w:t>
      </w:r>
      <w:r>
        <w:t xml:space="preserve"> exp(1760/</w:t>
      </w:r>
      <w:r w:rsidRPr="00B36F17">
        <w:rPr>
          <w:i/>
          <w:iCs/>
        </w:rPr>
        <w:t>T</w:t>
      </w:r>
      <w:r>
        <w:t>)</w:t>
      </w:r>
      <w:r w:rsidRPr="00BF5DD6">
        <w:t xml:space="preserve"> </w:t>
      </w:r>
      <w:r>
        <w:t>cm</w:t>
      </w:r>
      <w:r w:rsidRPr="007F7877">
        <w:rPr>
          <w:vertAlign w:val="superscript"/>
        </w:rPr>
        <w:t>3</w:t>
      </w:r>
      <w:r>
        <w:t xml:space="preserve"> molecule</w:t>
      </w:r>
      <w:r w:rsidRPr="007F7877">
        <w:rPr>
          <w:vertAlign w:val="superscript"/>
        </w:rPr>
        <w:t>-1</w:t>
      </w:r>
      <w:r>
        <w:t xml:space="preserve"> s</w:t>
      </w:r>
      <w:r w:rsidRPr="007F7877">
        <w:rPr>
          <w:vertAlign w:val="superscript"/>
        </w:rPr>
        <w:t>-1</w:t>
      </w:r>
      <w:r>
        <w:t xml:space="preserve"> (IUPAC, current recommendation); although it is noted that the resultant value is not in good agreement with their reported absolute estimate.</w:t>
      </w:r>
    </w:p>
    <w:p w14:paraId="53C87B17" w14:textId="77777777" w:rsidR="000F6573" w:rsidRPr="00467310" w:rsidRDefault="000F6573" w:rsidP="000F6573">
      <w:pPr>
        <w:numPr>
          <w:ilvl w:val="0"/>
          <w:numId w:val="3"/>
        </w:numPr>
        <w:tabs>
          <w:tab w:val="left" w:pos="-1440"/>
          <w:tab w:val="left" w:pos="-720"/>
        </w:tabs>
        <w:jc w:val="both"/>
      </w:pPr>
      <w:r w:rsidRPr="00C84BC9">
        <w:t>(CH</w:t>
      </w:r>
      <w:r w:rsidRPr="00C84BC9">
        <w:rPr>
          <w:vertAlign w:val="subscript"/>
        </w:rPr>
        <w:t>3</w:t>
      </w:r>
      <w:r w:rsidRPr="00C84BC9">
        <w:t>)</w:t>
      </w:r>
      <w:r w:rsidRPr="00C84BC9">
        <w:rPr>
          <w:vertAlign w:val="subscript"/>
        </w:rPr>
        <w:t>2</w:t>
      </w:r>
      <w:r w:rsidRPr="00C84BC9">
        <w:t>C</w:t>
      </w:r>
      <w:r>
        <w:t>OO</w:t>
      </w:r>
      <w:r w:rsidRPr="00E65082">
        <w:t xml:space="preserve"> prepared by</w:t>
      </w:r>
      <w:r>
        <w:t xml:space="preserve"> O</w:t>
      </w:r>
      <w:r>
        <w:rPr>
          <w:vertAlign w:val="subscript"/>
        </w:rPr>
        <w:t>3</w:t>
      </w:r>
      <w:r>
        <w:t xml:space="preserve"> + 2,3-dimethyl-but-2-ene reaction in the presence of SO</w:t>
      </w:r>
      <w:r w:rsidRPr="00A040ED">
        <w:rPr>
          <w:vertAlign w:val="subscript"/>
        </w:rPr>
        <w:t>2</w:t>
      </w:r>
      <w:r>
        <w:t xml:space="preserve"> and propane (HO radical scavenger) in a flow system, equipped with CIMS for detection of H</w:t>
      </w:r>
      <w:r w:rsidRPr="00A040ED">
        <w:rPr>
          <w:vertAlign w:val="subscript"/>
        </w:rPr>
        <w:t>2</w:t>
      </w:r>
      <w:r>
        <w:t>SO</w:t>
      </w:r>
      <w:r w:rsidRPr="00A040ED">
        <w:rPr>
          <w:vertAlign w:val="subscript"/>
        </w:rPr>
        <w:t>4</w:t>
      </w:r>
      <w:r>
        <w:t xml:space="preserve"> using NO</w:t>
      </w:r>
      <w:r w:rsidRPr="006C4018">
        <w:rPr>
          <w:vertAlign w:val="subscript"/>
        </w:rPr>
        <w:t>3</w:t>
      </w:r>
      <w:r w:rsidRPr="006C4018">
        <w:rPr>
          <w:vertAlign w:val="superscript"/>
        </w:rPr>
        <w:t>-</w:t>
      </w:r>
      <w:r>
        <w:t xml:space="preserve"> as reagent ion. Total pressure = 1 bar. The effect of [H</w:t>
      </w:r>
      <w:r w:rsidRPr="00A040ED">
        <w:rPr>
          <w:vertAlign w:val="subscript"/>
        </w:rPr>
        <w:t>2</w:t>
      </w:r>
      <w:r>
        <w:t>O] (RH = 2 – 50%) on yield of H</w:t>
      </w:r>
      <w:r w:rsidRPr="00A040ED">
        <w:rPr>
          <w:vertAlign w:val="subscript"/>
        </w:rPr>
        <w:t>2</w:t>
      </w:r>
      <w:r>
        <w:t>SO</w:t>
      </w:r>
      <w:r w:rsidRPr="00A040ED">
        <w:rPr>
          <w:vertAlign w:val="subscript"/>
        </w:rPr>
        <w:t>4</w:t>
      </w:r>
      <w:r>
        <w:t xml:space="preserve"> was negligible, and it was deduced that thermal decomposition was the dominant reaction competing with </w:t>
      </w:r>
      <w:r w:rsidRPr="00C84BC9">
        <w:t>(CH</w:t>
      </w:r>
      <w:r w:rsidRPr="00C84BC9">
        <w:rPr>
          <w:vertAlign w:val="subscript"/>
        </w:rPr>
        <w:t>3</w:t>
      </w:r>
      <w:r w:rsidRPr="00C84BC9">
        <w:t>)</w:t>
      </w:r>
      <w:r w:rsidRPr="00C84BC9">
        <w:rPr>
          <w:vertAlign w:val="subscript"/>
        </w:rPr>
        <w:t>2</w:t>
      </w:r>
      <w:r w:rsidRPr="00C84BC9">
        <w:t>C</w:t>
      </w:r>
      <w:r>
        <w:t>OO + SO</w:t>
      </w:r>
      <w:r w:rsidRPr="00AF5FBD">
        <w:rPr>
          <w:vertAlign w:val="subscript"/>
        </w:rPr>
        <w:t>2</w:t>
      </w:r>
      <w:r>
        <w:t xml:space="preserve"> reaction. A distinct temperature dependence of H</w:t>
      </w:r>
      <w:r w:rsidRPr="00A040ED">
        <w:rPr>
          <w:vertAlign w:val="subscript"/>
        </w:rPr>
        <w:t>2</w:t>
      </w:r>
      <w:r>
        <w:t>SO</w:t>
      </w:r>
      <w:r w:rsidRPr="00A040ED">
        <w:rPr>
          <w:vertAlign w:val="subscript"/>
        </w:rPr>
        <w:t>4</w:t>
      </w:r>
      <w:r>
        <w:t xml:space="preserve"> formation was observed over the studied range (278</w:t>
      </w:r>
      <w:r w:rsidRPr="00037C1C">
        <w:rPr>
          <w:rFonts w:ascii="Symbol" w:hAnsi="Symbol"/>
        </w:rPr>
        <w:t>-</w:t>
      </w:r>
      <w:r>
        <w:t xml:space="preserve">343 K), attributed mainly to the thermal decomposition of </w:t>
      </w:r>
      <w:r w:rsidRPr="00C84BC9">
        <w:t>(CH</w:t>
      </w:r>
      <w:r w:rsidRPr="00C84BC9">
        <w:rPr>
          <w:vertAlign w:val="subscript"/>
        </w:rPr>
        <w:t>3</w:t>
      </w:r>
      <w:r w:rsidRPr="00C84BC9">
        <w:t>)</w:t>
      </w:r>
      <w:r w:rsidRPr="00C84BC9">
        <w:rPr>
          <w:vertAlign w:val="subscript"/>
        </w:rPr>
        <w:t>2</w:t>
      </w:r>
      <w:r w:rsidRPr="00C84BC9">
        <w:t>C</w:t>
      </w:r>
      <w:r>
        <w:t xml:space="preserve">OO. The reported values of </w:t>
      </w:r>
      <w:r w:rsidRPr="006C2FD3">
        <w:rPr>
          <w:i/>
        </w:rPr>
        <w:t>k</w:t>
      </w:r>
      <w:r w:rsidRPr="00BA6938">
        <w:t>/</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were placed on an absolute basis using </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 4.23 × 10</w:t>
      </w:r>
      <w:r>
        <w:rPr>
          <w:vertAlign w:val="superscript"/>
        </w:rPr>
        <w:t>-13</w:t>
      </w:r>
      <w:r>
        <w:t xml:space="preserve"> exp(1760/</w:t>
      </w:r>
      <w:r w:rsidRPr="00B36F17">
        <w:rPr>
          <w:i/>
          <w:iCs/>
        </w:rPr>
        <w:t>T</w:t>
      </w:r>
      <w:r>
        <w:t>)</w:t>
      </w:r>
      <w:r w:rsidRPr="00BF5DD6">
        <w:t xml:space="preserve"> </w:t>
      </w:r>
      <w:r>
        <w:t>cm</w:t>
      </w:r>
      <w:r w:rsidRPr="007F7877">
        <w:rPr>
          <w:vertAlign w:val="superscript"/>
        </w:rPr>
        <w:t>3</w:t>
      </w:r>
      <w:r>
        <w:t xml:space="preserve"> molecule</w:t>
      </w:r>
      <w:r w:rsidRPr="007F7877">
        <w:rPr>
          <w:vertAlign w:val="superscript"/>
        </w:rPr>
        <w:t>-1</w:t>
      </w:r>
      <w:r>
        <w:t xml:space="preserve"> s</w:t>
      </w:r>
      <w:r w:rsidRPr="007F7877">
        <w:rPr>
          <w:vertAlign w:val="superscript"/>
        </w:rPr>
        <w:t>-1</w:t>
      </w:r>
      <w:r>
        <w:t xml:space="preserve"> (IUPAC, current recommendation). An Arrhenius plot</w:t>
      </w:r>
      <w:r w:rsidRPr="00BA6938">
        <w:t xml:space="preserve"> </w:t>
      </w:r>
      <w:r>
        <w:t xml:space="preserve">of the resultant values of </w:t>
      </w:r>
      <w:r w:rsidRPr="00CC4187">
        <w:rPr>
          <w:i/>
        </w:rPr>
        <w:t>k</w:t>
      </w:r>
      <w:r w:rsidRPr="00BA6938">
        <w:t xml:space="preserve"> vs. 1/</w:t>
      </w:r>
      <w:r w:rsidRPr="00037C1C">
        <w:rPr>
          <w:i/>
          <w:iCs/>
        </w:rPr>
        <w:t>T</w:t>
      </w:r>
      <w:r w:rsidRPr="00BA6938">
        <w:t xml:space="preserve">, </w:t>
      </w:r>
      <w:r>
        <w:t xml:space="preserve">is linear, </w:t>
      </w:r>
      <w:r w:rsidRPr="00BA6938">
        <w:t>yielding</w:t>
      </w:r>
      <w:r>
        <w:t xml:space="preserve"> a value of </w:t>
      </w:r>
      <w:proofErr w:type="spellStart"/>
      <w:r w:rsidRPr="002B6AB4">
        <w:rPr>
          <w:i/>
          <w:iCs/>
        </w:rPr>
        <w:t>E</w:t>
      </w:r>
      <w:r w:rsidRPr="007040FA">
        <w:rPr>
          <w:vertAlign w:val="subscript"/>
        </w:rPr>
        <w:t>a</w:t>
      </w:r>
      <w:proofErr w:type="spellEnd"/>
      <w:r>
        <w:t xml:space="preserve"> ≈ 29 </w:t>
      </w:r>
      <w:r w:rsidRPr="007040FA">
        <w:t>kJ mol</w:t>
      </w:r>
      <w:r w:rsidRPr="007040FA">
        <w:rPr>
          <w:vertAlign w:val="superscript"/>
        </w:rPr>
        <w:t>-1</w:t>
      </w:r>
      <w:r>
        <w:t>.</w:t>
      </w:r>
    </w:p>
    <w:p w14:paraId="3EF827C5" w14:textId="4D271199" w:rsidR="00467310" w:rsidRPr="00421A61" w:rsidRDefault="000F6573" w:rsidP="000F6573">
      <w:pPr>
        <w:numPr>
          <w:ilvl w:val="0"/>
          <w:numId w:val="3"/>
        </w:numPr>
        <w:tabs>
          <w:tab w:val="left" w:pos="-1440"/>
          <w:tab w:val="left" w:pos="-720"/>
        </w:tabs>
        <w:jc w:val="both"/>
        <w:rPr>
          <w:color w:val="auto"/>
        </w:rPr>
      </w:pPr>
      <w:r w:rsidRPr="00362FCE">
        <w:t>The removal of SO</w:t>
      </w:r>
      <w:r w:rsidRPr="00362FCE">
        <w:rPr>
          <w:vertAlign w:val="subscript"/>
        </w:rPr>
        <w:t>2</w:t>
      </w:r>
      <w:r w:rsidRPr="00362FCE">
        <w:t xml:space="preserve"> in the presence of </w:t>
      </w:r>
      <w:r>
        <w:t>2,3-dimethyl-but-2-ene/</w:t>
      </w:r>
      <w:r w:rsidRPr="00362FCE">
        <w:t xml:space="preserve">ozone systems was measured as a function of humidity in </w:t>
      </w:r>
      <w:r>
        <w:t xml:space="preserve">the </w:t>
      </w:r>
      <w:r w:rsidRPr="00362FCE">
        <w:t>EUPHORE simulation chamber, under atmospheric boundary layer conditions.</w:t>
      </w:r>
      <w:r>
        <w:t xml:space="preserve"> Cyclohexane was also present to scavenge HO radicals.</w:t>
      </w:r>
      <w:r w:rsidRPr="00362FCE">
        <w:t xml:space="preserve"> SO</w:t>
      </w:r>
      <w:r w:rsidRPr="00D257CC">
        <w:rPr>
          <w:vertAlign w:val="subscript"/>
        </w:rPr>
        <w:t>2</w:t>
      </w:r>
      <w:r w:rsidRPr="00362FCE">
        <w:t xml:space="preserve"> and O</w:t>
      </w:r>
      <w:r w:rsidRPr="00D257CC">
        <w:rPr>
          <w:vertAlign w:val="subscript"/>
        </w:rPr>
        <w:t>3</w:t>
      </w:r>
      <w:r w:rsidRPr="00362FCE">
        <w:t xml:space="preserve"> </w:t>
      </w:r>
      <w:r>
        <w:t>concentrations</w:t>
      </w:r>
      <w:r w:rsidRPr="00362FCE">
        <w:t xml:space="preserve"> were measured using conventional fluorescence and UV absorption monitors, respectively; </w:t>
      </w:r>
      <w:r>
        <w:t xml:space="preserve">the </w:t>
      </w:r>
      <w:r w:rsidRPr="00362FCE">
        <w:t xml:space="preserve">alkene </w:t>
      </w:r>
      <w:r>
        <w:t xml:space="preserve">concentration </w:t>
      </w:r>
      <w:r w:rsidRPr="00362FCE">
        <w:t xml:space="preserve">was determined via FTIR spectroscopy. </w:t>
      </w:r>
      <w:r>
        <w:t xml:space="preserve">The yield of </w:t>
      </w:r>
      <w:r w:rsidRPr="00C84BC9">
        <w:t>(CH</w:t>
      </w:r>
      <w:r w:rsidRPr="00C84BC9">
        <w:rPr>
          <w:vertAlign w:val="subscript"/>
        </w:rPr>
        <w:t>3</w:t>
      </w:r>
      <w:r w:rsidRPr="00C84BC9">
        <w:t>)</w:t>
      </w:r>
      <w:r w:rsidRPr="00C84BC9">
        <w:rPr>
          <w:vertAlign w:val="subscript"/>
        </w:rPr>
        <w:t>2</w:t>
      </w:r>
      <w:r w:rsidRPr="00C84BC9">
        <w:t>C</w:t>
      </w:r>
      <w:r>
        <w:t>OO from the 2,3-dimethyl-but-2-ene + O</w:t>
      </w:r>
      <w:r>
        <w:rPr>
          <w:vertAlign w:val="subscript"/>
        </w:rPr>
        <w:t>3</w:t>
      </w:r>
      <w:r>
        <w:t xml:space="preserve"> reaction was reported to be </w:t>
      </w:r>
      <w:r w:rsidRPr="00932C41">
        <w:t>(0.32</w:t>
      </w:r>
      <w:r w:rsidRPr="00B56444">
        <w:t xml:space="preserve"> </w:t>
      </w:r>
      <w:r w:rsidRPr="00860F2B">
        <w:rPr>
          <w:rStyle w:val="SubtleEmphasis"/>
          <w:color w:val="auto"/>
        </w:rPr>
        <w:t>± 0.20).</w:t>
      </w:r>
      <w:r>
        <w:rPr>
          <w:rStyle w:val="SubtleEmphasis"/>
        </w:rPr>
        <w:t xml:space="preserve"> </w:t>
      </w:r>
      <w:r>
        <w:t xml:space="preserve"> </w:t>
      </w:r>
      <w:r w:rsidRPr="00362FCE">
        <w:t>The observed SO</w:t>
      </w:r>
      <w:r w:rsidRPr="00362FCE">
        <w:rPr>
          <w:vertAlign w:val="subscript"/>
        </w:rPr>
        <w:t>2</w:t>
      </w:r>
      <w:r w:rsidRPr="00362FCE">
        <w:t xml:space="preserve"> removal kinetics are consistent with </w:t>
      </w:r>
      <w:r>
        <w:t>the rate constant ratio:</w:t>
      </w:r>
      <w:r w:rsidRPr="00323CCF">
        <w:t xml:space="preserve"> </w:t>
      </w:r>
      <w:r w:rsidRPr="00CC4187">
        <w:rPr>
          <w:i/>
        </w:rPr>
        <w:t>k</w:t>
      </w:r>
      <w:r w:rsidRPr="00BA6938">
        <w:t>/</w:t>
      </w:r>
      <w:r w:rsidRPr="00CC4187">
        <w:rPr>
          <w:i/>
        </w:rPr>
        <w:t>k</w:t>
      </w:r>
      <w:r w:rsidRPr="00BA6938">
        <w:t>(</w:t>
      </w:r>
      <w:r w:rsidRPr="002138B2">
        <w:t>(CH</w:t>
      </w:r>
      <w:r w:rsidRPr="002138B2">
        <w:rPr>
          <w:vertAlign w:val="subscript"/>
        </w:rPr>
        <w:t>3</w:t>
      </w:r>
      <w:r w:rsidRPr="002138B2">
        <w:t>)</w:t>
      </w:r>
      <w:r w:rsidRPr="002138B2">
        <w:rPr>
          <w:vertAlign w:val="subscript"/>
        </w:rPr>
        <w:t>2</w:t>
      </w:r>
      <w:r>
        <w:t>COO</w:t>
      </w:r>
      <w:r w:rsidRPr="00BA6938">
        <w:t xml:space="preserve"> </w:t>
      </w:r>
      <w:r>
        <w:t>+</w:t>
      </w:r>
      <w:r w:rsidRPr="00BA6938">
        <w:t xml:space="preserve"> SO</w:t>
      </w:r>
      <w:r w:rsidRPr="000A5E9D">
        <w:rPr>
          <w:vertAlign w:val="subscript"/>
        </w:rPr>
        <w:t>2</w:t>
      </w:r>
      <w:r w:rsidRPr="00BA6938">
        <w:t>)</w:t>
      </w:r>
      <w:r>
        <w:t xml:space="preserve"> </w:t>
      </w:r>
      <w:r w:rsidRPr="00362FCE">
        <w:t>= (</w:t>
      </w:r>
      <w:r>
        <w:t>6.3</w:t>
      </w:r>
      <w:r w:rsidRPr="00362FCE">
        <w:t xml:space="preserve"> ± </w:t>
      </w:r>
      <w:r>
        <w:t>1.4</w:t>
      </w:r>
      <w:r w:rsidRPr="00362FCE">
        <w:t xml:space="preserve">) </w:t>
      </w:r>
      <w:r>
        <w:t>×</w:t>
      </w:r>
      <w:r w:rsidRPr="00362FCE">
        <w:t xml:space="preserve"> 10</w:t>
      </w:r>
      <w:r>
        <w:rPr>
          <w:vertAlign w:val="superscript"/>
        </w:rPr>
        <w:t xml:space="preserve">12 </w:t>
      </w:r>
      <w:r w:rsidRPr="006E0B72">
        <w:t>m</w:t>
      </w:r>
      <w:r>
        <w:t>olecule cm</w:t>
      </w:r>
      <w:r w:rsidRPr="00323CCF">
        <w:rPr>
          <w:vertAlign w:val="superscript"/>
        </w:rPr>
        <w:t>-3</w:t>
      </w:r>
      <w:r>
        <w:t xml:space="preserve">. The tabulated value of </w:t>
      </w:r>
      <w:r w:rsidRPr="00037C1C">
        <w:rPr>
          <w:i/>
          <w:iCs/>
        </w:rPr>
        <w:t>k</w:t>
      </w:r>
      <w:r>
        <w:t xml:space="preserve"> was placed on an absolute basis using </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 4.23 × 10</w:t>
      </w:r>
      <w:r>
        <w:rPr>
          <w:vertAlign w:val="superscript"/>
        </w:rPr>
        <w:t>-13</w:t>
      </w:r>
      <w:r>
        <w:t xml:space="preserve"> exp(1760/</w:t>
      </w:r>
      <w:r w:rsidRPr="00B36F17">
        <w:rPr>
          <w:i/>
          <w:iCs/>
        </w:rPr>
        <w:t>T</w:t>
      </w:r>
      <w:r>
        <w:t>) cm</w:t>
      </w:r>
      <w:r w:rsidRPr="007F7877">
        <w:rPr>
          <w:vertAlign w:val="superscript"/>
        </w:rPr>
        <w:t>3</w:t>
      </w:r>
      <w:r>
        <w:t xml:space="preserve"> molecule</w:t>
      </w:r>
      <w:r w:rsidRPr="007F7877">
        <w:rPr>
          <w:vertAlign w:val="superscript"/>
        </w:rPr>
        <w:t>-1</w:t>
      </w:r>
      <w:r>
        <w:t xml:space="preserve"> s</w:t>
      </w:r>
      <w:r w:rsidRPr="007F7877">
        <w:rPr>
          <w:vertAlign w:val="superscript"/>
        </w:rPr>
        <w:t>-1</w:t>
      </w:r>
      <w:r>
        <w:t xml:space="preserve"> (IUPAC, current recommendation).</w:t>
      </w:r>
    </w:p>
    <w:p w14:paraId="511A895B" w14:textId="77777777" w:rsidR="001E3362" w:rsidRDefault="001E3362" w:rsidP="001E3362">
      <w:pPr>
        <w:tabs>
          <w:tab w:val="left" w:pos="-1440"/>
          <w:tab w:val="left" w:pos="-720"/>
        </w:tabs>
        <w:ind w:left="360"/>
        <w:jc w:val="both"/>
      </w:pPr>
    </w:p>
    <w:p w14:paraId="02144B45" w14:textId="77777777" w:rsidR="003728E5" w:rsidRDefault="003728E5" w:rsidP="001E3362">
      <w:pPr>
        <w:tabs>
          <w:tab w:val="left" w:pos="-1440"/>
          <w:tab w:val="left" w:pos="-720"/>
        </w:tabs>
        <w:ind w:left="360"/>
        <w:jc w:val="both"/>
      </w:pPr>
    </w:p>
    <w:p w14:paraId="5F98360F" w14:textId="77777777" w:rsidR="00ED24D0" w:rsidRPr="001D3940" w:rsidRDefault="003728E5" w:rsidP="00ED24D0">
      <w:pPr>
        <w:pStyle w:val="Heading5"/>
        <w:tabs>
          <w:tab w:val="clear" w:pos="4867"/>
          <w:tab w:val="clear" w:pos="7982"/>
          <w:tab w:val="clear" w:pos="8395"/>
          <w:tab w:val="clear" w:pos="8812"/>
        </w:tabs>
        <w:rPr>
          <w:color w:val="auto"/>
        </w:rPr>
      </w:pPr>
      <w:r>
        <w:rPr>
          <w:color w:val="auto"/>
        </w:rPr>
        <w:br w:type="page"/>
      </w:r>
      <w:r w:rsidR="00ED24D0" w:rsidRPr="001D3940">
        <w:rPr>
          <w:color w:val="auto"/>
        </w:rPr>
        <w:lastRenderedPageBreak/>
        <w:t>Preferred Values</w:t>
      </w:r>
    </w:p>
    <w:p w14:paraId="6D5ECCCB" w14:textId="77777777" w:rsidR="00ED24D0" w:rsidRPr="001D3940" w:rsidRDefault="00ED24D0" w:rsidP="00ED24D0">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ED24D0" w:rsidRPr="001D3940" w14:paraId="677C5969" w14:textId="77777777" w:rsidTr="003964D0">
        <w:tc>
          <w:tcPr>
            <w:tcW w:w="3100" w:type="dxa"/>
            <w:tcBorders>
              <w:top w:val="single" w:sz="4" w:space="0" w:color="000000"/>
              <w:bottom w:val="single" w:sz="4" w:space="0" w:color="000000"/>
            </w:tcBorders>
            <w:shd w:val="clear" w:color="auto" w:fill="auto"/>
          </w:tcPr>
          <w:p w14:paraId="68E37570"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430" w:type="dxa"/>
            <w:tcBorders>
              <w:top w:val="single" w:sz="4" w:space="0" w:color="000000"/>
              <w:bottom w:val="single" w:sz="4" w:space="0" w:color="000000"/>
            </w:tcBorders>
            <w:shd w:val="clear" w:color="auto" w:fill="auto"/>
          </w:tcPr>
          <w:p w14:paraId="791D46E4"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733586AC"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347C7846" w14:textId="77777777" w:rsidTr="003964D0">
        <w:tc>
          <w:tcPr>
            <w:tcW w:w="3100" w:type="dxa"/>
            <w:tcBorders>
              <w:top w:val="single" w:sz="4" w:space="0" w:color="000000"/>
            </w:tcBorders>
            <w:shd w:val="clear" w:color="auto" w:fill="auto"/>
          </w:tcPr>
          <w:p w14:paraId="287F04C3"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14:paraId="2BE66ABB"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4199631F"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ED24D0" w:rsidRPr="001D3940" w14:paraId="0DED95A1" w14:textId="77777777" w:rsidTr="003964D0">
        <w:tc>
          <w:tcPr>
            <w:tcW w:w="3100" w:type="dxa"/>
            <w:shd w:val="clear" w:color="auto" w:fill="auto"/>
          </w:tcPr>
          <w:p w14:paraId="261EF15E" w14:textId="77777777" w:rsidR="00ED24D0" w:rsidRPr="00DC5F36" w:rsidRDefault="00ED24D0" w:rsidP="00B11AA9">
            <w:pPr>
              <w:tabs>
                <w:tab w:val="left" w:pos="0"/>
                <w:tab w:val="left" w:pos="444"/>
                <w:tab w:val="left" w:pos="720"/>
              </w:tabs>
              <w:spacing w:line="240" w:lineRule="atLeast"/>
              <w:jc w:val="center"/>
              <w:rPr>
                <w:color w:val="auto"/>
                <w:spacing w:val="-3"/>
              </w:rPr>
            </w:pPr>
            <w:r w:rsidRPr="001D3940">
              <w:rPr>
                <w:i/>
                <w:color w:val="auto"/>
                <w:spacing w:val="-3"/>
                <w:szCs w:val="24"/>
              </w:rPr>
              <w:t>k</w:t>
            </w:r>
            <w:r w:rsidRPr="001D3940">
              <w:rPr>
                <w:color w:val="auto"/>
                <w:spacing w:val="-3"/>
                <w:szCs w:val="24"/>
              </w:rPr>
              <w:t>/ s</w:t>
            </w:r>
            <w:r w:rsidRPr="001D3940">
              <w:rPr>
                <w:color w:val="auto"/>
                <w:spacing w:val="-3"/>
                <w:szCs w:val="24"/>
                <w:vertAlign w:val="superscript"/>
              </w:rPr>
              <w:t>-1</w:t>
            </w:r>
          </w:p>
        </w:tc>
        <w:tc>
          <w:tcPr>
            <w:tcW w:w="3430" w:type="dxa"/>
            <w:shd w:val="clear" w:color="auto" w:fill="auto"/>
          </w:tcPr>
          <w:p w14:paraId="0C1E781F" w14:textId="77777777" w:rsidR="00ED24D0" w:rsidRPr="00A5312B" w:rsidRDefault="00DA366D" w:rsidP="00A5312B">
            <w:pPr>
              <w:tabs>
                <w:tab w:val="left" w:pos="0"/>
                <w:tab w:val="left" w:pos="444"/>
                <w:tab w:val="left" w:pos="720"/>
              </w:tabs>
              <w:spacing w:line="240" w:lineRule="atLeast"/>
              <w:jc w:val="center"/>
              <w:rPr>
                <w:color w:val="auto"/>
                <w:spacing w:val="-3"/>
                <w:szCs w:val="24"/>
              </w:rPr>
            </w:pPr>
            <w:r>
              <w:t>400</w:t>
            </w:r>
          </w:p>
        </w:tc>
        <w:tc>
          <w:tcPr>
            <w:tcW w:w="1992" w:type="dxa"/>
            <w:shd w:val="clear" w:color="auto" w:fill="auto"/>
          </w:tcPr>
          <w:p w14:paraId="07F2EFFE" w14:textId="77777777" w:rsidR="00ED24D0" w:rsidRPr="001D3940" w:rsidRDefault="00ED24D0" w:rsidP="003964D0">
            <w:pPr>
              <w:tabs>
                <w:tab w:val="left" w:pos="0"/>
                <w:tab w:val="left" w:pos="444"/>
                <w:tab w:val="left" w:pos="720"/>
              </w:tabs>
              <w:spacing w:line="240" w:lineRule="atLeast"/>
              <w:jc w:val="center"/>
              <w:rPr>
                <w:color w:val="auto"/>
              </w:rPr>
            </w:pPr>
            <w:r w:rsidRPr="001D3940">
              <w:rPr>
                <w:color w:val="auto"/>
                <w:spacing w:val="-3"/>
                <w:szCs w:val="24"/>
              </w:rPr>
              <w:t>298</w:t>
            </w:r>
          </w:p>
        </w:tc>
      </w:tr>
      <w:tr w:rsidR="00A5312B" w:rsidRPr="001D3940" w14:paraId="6B8CC2BA" w14:textId="77777777" w:rsidTr="003964D0">
        <w:tc>
          <w:tcPr>
            <w:tcW w:w="3100" w:type="dxa"/>
            <w:shd w:val="clear" w:color="auto" w:fill="auto"/>
          </w:tcPr>
          <w:p w14:paraId="6E91F75C" w14:textId="77777777" w:rsidR="00A5312B" w:rsidRPr="00DC5F36" w:rsidRDefault="00A5312B" w:rsidP="00B11AA9">
            <w:pPr>
              <w:tabs>
                <w:tab w:val="left" w:pos="0"/>
                <w:tab w:val="left" w:pos="444"/>
                <w:tab w:val="left" w:pos="720"/>
              </w:tabs>
              <w:spacing w:line="240" w:lineRule="atLeast"/>
              <w:jc w:val="center"/>
              <w:rPr>
                <w:color w:val="auto"/>
                <w:spacing w:val="-3"/>
              </w:rPr>
            </w:pPr>
            <w:r w:rsidRPr="001D3940">
              <w:rPr>
                <w:i/>
                <w:color w:val="auto"/>
                <w:spacing w:val="-3"/>
                <w:szCs w:val="24"/>
              </w:rPr>
              <w:t>k</w:t>
            </w:r>
            <w:r w:rsidRPr="001D3940">
              <w:rPr>
                <w:color w:val="auto"/>
                <w:spacing w:val="-3"/>
                <w:szCs w:val="24"/>
              </w:rPr>
              <w:t>/ s</w:t>
            </w:r>
            <w:r w:rsidRPr="001D3940">
              <w:rPr>
                <w:color w:val="auto"/>
                <w:spacing w:val="-3"/>
                <w:szCs w:val="24"/>
                <w:vertAlign w:val="superscript"/>
              </w:rPr>
              <w:t>-1</w:t>
            </w:r>
          </w:p>
        </w:tc>
        <w:tc>
          <w:tcPr>
            <w:tcW w:w="3430" w:type="dxa"/>
            <w:shd w:val="clear" w:color="auto" w:fill="auto"/>
          </w:tcPr>
          <w:p w14:paraId="70CB7543" w14:textId="77777777" w:rsidR="00A5312B" w:rsidRPr="00A5312B" w:rsidRDefault="00DA366D" w:rsidP="00A5312B">
            <w:pPr>
              <w:tabs>
                <w:tab w:val="left" w:pos="0"/>
                <w:tab w:val="left" w:pos="444"/>
                <w:tab w:val="left" w:pos="720"/>
              </w:tabs>
              <w:spacing w:line="240" w:lineRule="atLeast"/>
              <w:jc w:val="center"/>
              <w:rPr>
                <w:color w:val="auto"/>
                <w:spacing w:val="-3"/>
                <w:szCs w:val="24"/>
              </w:rPr>
            </w:pPr>
            <w:r>
              <w:t>7.2</w:t>
            </w:r>
            <w:r w:rsidR="00B36F17">
              <w:t xml:space="preserve"> ×</w:t>
            </w:r>
            <w:r w:rsidR="00221119">
              <w:t xml:space="preserve"> </w:t>
            </w:r>
            <w:r w:rsidR="00B36F17">
              <w:t>10</w:t>
            </w:r>
            <w:r w:rsidR="00B36F17" w:rsidRPr="00B36F17">
              <w:rPr>
                <w:vertAlign w:val="superscript"/>
              </w:rPr>
              <w:t>6</w:t>
            </w:r>
            <w:r w:rsidR="00B36F17">
              <w:t xml:space="preserve"> exp(-2920/</w:t>
            </w:r>
            <w:r w:rsidR="00B36F17" w:rsidRPr="00B36F17">
              <w:rPr>
                <w:i/>
                <w:iCs/>
              </w:rPr>
              <w:t>T</w:t>
            </w:r>
            <w:r w:rsidR="00B36F17">
              <w:t>)</w:t>
            </w:r>
          </w:p>
        </w:tc>
        <w:tc>
          <w:tcPr>
            <w:tcW w:w="1992" w:type="dxa"/>
            <w:shd w:val="clear" w:color="auto" w:fill="auto"/>
          </w:tcPr>
          <w:p w14:paraId="485E7A75" w14:textId="77777777" w:rsidR="00A5312B" w:rsidRPr="001D3940" w:rsidRDefault="00A5312B" w:rsidP="00C77266">
            <w:pPr>
              <w:tabs>
                <w:tab w:val="left" w:pos="0"/>
                <w:tab w:val="left" w:pos="444"/>
                <w:tab w:val="left" w:pos="720"/>
              </w:tabs>
              <w:spacing w:line="240" w:lineRule="atLeast"/>
              <w:jc w:val="center"/>
              <w:rPr>
                <w:color w:val="auto"/>
              </w:rPr>
            </w:pPr>
            <w:r w:rsidRPr="001D3940">
              <w:rPr>
                <w:color w:val="auto"/>
                <w:spacing w:val="-3"/>
                <w:szCs w:val="24"/>
              </w:rPr>
              <w:t>2</w:t>
            </w:r>
            <w:r w:rsidR="00B36F17">
              <w:rPr>
                <w:color w:val="auto"/>
                <w:spacing w:val="-3"/>
                <w:szCs w:val="24"/>
              </w:rPr>
              <w:t>80-3</w:t>
            </w:r>
            <w:r w:rsidR="007B0EF5">
              <w:rPr>
                <w:color w:val="auto"/>
                <w:spacing w:val="-3"/>
                <w:szCs w:val="24"/>
              </w:rPr>
              <w:t>30</w:t>
            </w:r>
          </w:p>
        </w:tc>
      </w:tr>
    </w:tbl>
    <w:p w14:paraId="12174CD0" w14:textId="77777777" w:rsidR="00ED24D0" w:rsidRPr="001D3940" w:rsidRDefault="00ED24D0" w:rsidP="00ED24D0">
      <w:pPr>
        <w:tabs>
          <w:tab w:val="left" w:pos="0"/>
          <w:tab w:val="left" w:pos="444"/>
          <w:tab w:val="left" w:pos="720"/>
        </w:tabs>
        <w:spacing w:line="240" w:lineRule="atLeast"/>
        <w:jc w:val="both"/>
        <w:rPr>
          <w:color w:val="auto"/>
        </w:rPr>
      </w:pPr>
    </w:p>
    <w:p w14:paraId="22EA8920" w14:textId="77777777" w:rsidR="00ED24D0" w:rsidRPr="001D3940" w:rsidRDefault="00ED24D0" w:rsidP="00ED24D0">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85481F" w:rsidRPr="001D3940" w14:paraId="2DA1F13C" w14:textId="77777777" w:rsidTr="00A5312B">
        <w:tc>
          <w:tcPr>
            <w:tcW w:w="3056" w:type="dxa"/>
            <w:shd w:val="clear" w:color="auto" w:fill="auto"/>
          </w:tcPr>
          <w:p w14:paraId="1A9B67FE" w14:textId="77777777" w:rsidR="0085481F" w:rsidRPr="001D3940" w:rsidRDefault="0085481F" w:rsidP="00B11AA9">
            <w:pPr>
              <w:tabs>
                <w:tab w:val="left" w:pos="0"/>
                <w:tab w:val="left" w:pos="444"/>
                <w:tab w:val="left" w:pos="720"/>
              </w:tabs>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w:t>
            </w:r>
            <w:r w:rsidR="00A5312B" w:rsidRPr="001D3940">
              <w:rPr>
                <w:i/>
                <w:color w:val="auto"/>
                <w:spacing w:val="-3"/>
                <w:szCs w:val="24"/>
              </w:rPr>
              <w:t>k</w:t>
            </w:r>
          </w:p>
        </w:tc>
        <w:tc>
          <w:tcPr>
            <w:tcW w:w="3455" w:type="dxa"/>
            <w:shd w:val="clear" w:color="auto" w:fill="auto"/>
          </w:tcPr>
          <w:p w14:paraId="56F14D2B" w14:textId="77777777" w:rsidR="0085481F" w:rsidRPr="001D3940" w:rsidRDefault="0085481F" w:rsidP="00A5312B">
            <w:pPr>
              <w:tabs>
                <w:tab w:val="left" w:pos="0"/>
                <w:tab w:val="left" w:pos="444"/>
                <w:tab w:val="left" w:pos="720"/>
              </w:tabs>
              <w:jc w:val="center"/>
              <w:rPr>
                <w:color w:val="auto"/>
                <w:spacing w:val="-3"/>
                <w:szCs w:val="24"/>
              </w:rPr>
            </w:pPr>
            <w:r w:rsidRPr="001D3940">
              <w:rPr>
                <w:color w:val="auto"/>
                <w:spacing w:val="-3"/>
                <w:szCs w:val="24"/>
              </w:rPr>
              <w:t>± 0.</w:t>
            </w:r>
            <w:r w:rsidR="007B0EF5">
              <w:rPr>
                <w:color w:val="auto"/>
                <w:spacing w:val="-3"/>
                <w:szCs w:val="24"/>
              </w:rPr>
              <w:t>2</w:t>
            </w:r>
          </w:p>
        </w:tc>
        <w:tc>
          <w:tcPr>
            <w:tcW w:w="2011" w:type="dxa"/>
            <w:shd w:val="clear" w:color="auto" w:fill="auto"/>
          </w:tcPr>
          <w:p w14:paraId="022A58EB" w14:textId="77777777" w:rsidR="0085481F" w:rsidRPr="001D3940" w:rsidRDefault="0085481F" w:rsidP="00A5312B">
            <w:pPr>
              <w:tabs>
                <w:tab w:val="left" w:pos="0"/>
                <w:tab w:val="left" w:pos="444"/>
                <w:tab w:val="left" w:pos="720"/>
              </w:tabs>
              <w:jc w:val="center"/>
              <w:rPr>
                <w:color w:val="auto"/>
              </w:rPr>
            </w:pPr>
            <w:r w:rsidRPr="001D3940">
              <w:rPr>
                <w:color w:val="auto"/>
                <w:spacing w:val="-3"/>
                <w:szCs w:val="24"/>
              </w:rPr>
              <w:t>298</w:t>
            </w:r>
          </w:p>
        </w:tc>
      </w:tr>
      <w:tr w:rsidR="00A5312B" w:rsidRPr="001D3940" w14:paraId="5A765423" w14:textId="77777777" w:rsidTr="003964D0">
        <w:tc>
          <w:tcPr>
            <w:tcW w:w="3056" w:type="dxa"/>
            <w:tcBorders>
              <w:bottom w:val="single" w:sz="4" w:space="0" w:color="auto"/>
            </w:tcBorders>
            <w:shd w:val="clear" w:color="auto" w:fill="auto"/>
          </w:tcPr>
          <w:p w14:paraId="38B057AD" w14:textId="77777777" w:rsidR="00A5312B" w:rsidRPr="001D3940" w:rsidRDefault="00A5312B" w:rsidP="00B11AA9">
            <w:pPr>
              <w:tabs>
                <w:tab w:val="left" w:pos="0"/>
                <w:tab w:val="left" w:pos="444"/>
                <w:tab w:val="left" w:pos="720"/>
              </w:tabs>
              <w:spacing w:after="120"/>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w:t>
            </w:r>
            <w:r w:rsidR="007B0EF5">
              <w:rPr>
                <w:color w:val="auto"/>
                <w:spacing w:val="-3"/>
                <w:szCs w:val="24"/>
              </w:rPr>
              <w:t>(</w:t>
            </w:r>
            <w:r w:rsidR="007B0EF5" w:rsidRPr="007B0EF5">
              <w:rPr>
                <w:i/>
                <w:iCs/>
                <w:color w:val="auto"/>
                <w:spacing w:val="-3"/>
                <w:szCs w:val="24"/>
              </w:rPr>
              <w:t>E</w:t>
            </w:r>
            <w:r w:rsidR="007B0EF5">
              <w:rPr>
                <w:color w:val="auto"/>
                <w:spacing w:val="-3"/>
                <w:szCs w:val="24"/>
              </w:rPr>
              <w:t>/</w:t>
            </w:r>
            <w:r w:rsidR="007B0EF5" w:rsidRPr="007B0EF5">
              <w:rPr>
                <w:i/>
                <w:iCs/>
                <w:color w:val="auto"/>
                <w:spacing w:val="-3"/>
                <w:szCs w:val="24"/>
              </w:rPr>
              <w:t>R</w:t>
            </w:r>
            <w:r w:rsidR="007B0EF5">
              <w:rPr>
                <w:color w:val="auto"/>
                <w:spacing w:val="-3"/>
                <w:szCs w:val="24"/>
              </w:rPr>
              <w:t>)</w:t>
            </w:r>
          </w:p>
        </w:tc>
        <w:tc>
          <w:tcPr>
            <w:tcW w:w="3455" w:type="dxa"/>
            <w:tcBorders>
              <w:bottom w:val="single" w:sz="4" w:space="0" w:color="auto"/>
            </w:tcBorders>
            <w:shd w:val="clear" w:color="auto" w:fill="auto"/>
          </w:tcPr>
          <w:p w14:paraId="60206043" w14:textId="77777777" w:rsidR="00A5312B" w:rsidRPr="001D3940" w:rsidRDefault="00A5312B" w:rsidP="00A5312B">
            <w:pPr>
              <w:tabs>
                <w:tab w:val="left" w:pos="0"/>
                <w:tab w:val="left" w:pos="444"/>
                <w:tab w:val="left" w:pos="720"/>
              </w:tabs>
              <w:jc w:val="center"/>
              <w:rPr>
                <w:color w:val="auto"/>
                <w:spacing w:val="-3"/>
                <w:szCs w:val="24"/>
              </w:rPr>
            </w:pPr>
            <w:r w:rsidRPr="001D3940">
              <w:rPr>
                <w:color w:val="auto"/>
                <w:spacing w:val="-3"/>
                <w:szCs w:val="24"/>
              </w:rPr>
              <w:t xml:space="preserve">± </w:t>
            </w:r>
            <w:r w:rsidR="00891DF2">
              <w:rPr>
                <w:color w:val="auto"/>
                <w:spacing w:val="-3"/>
                <w:szCs w:val="24"/>
              </w:rPr>
              <w:t>7</w:t>
            </w:r>
            <w:r w:rsidR="007B0EF5">
              <w:rPr>
                <w:color w:val="auto"/>
                <w:spacing w:val="-3"/>
                <w:szCs w:val="24"/>
              </w:rPr>
              <w:t>00</w:t>
            </w:r>
          </w:p>
        </w:tc>
        <w:tc>
          <w:tcPr>
            <w:tcW w:w="2011" w:type="dxa"/>
            <w:tcBorders>
              <w:bottom w:val="single" w:sz="4" w:space="0" w:color="auto"/>
            </w:tcBorders>
            <w:shd w:val="clear" w:color="auto" w:fill="auto"/>
          </w:tcPr>
          <w:p w14:paraId="5519D111" w14:textId="77777777" w:rsidR="00A5312B" w:rsidRPr="001D3940" w:rsidRDefault="007B0EF5" w:rsidP="00C77266">
            <w:pPr>
              <w:tabs>
                <w:tab w:val="left" w:pos="0"/>
                <w:tab w:val="left" w:pos="444"/>
                <w:tab w:val="left" w:pos="720"/>
              </w:tabs>
              <w:jc w:val="center"/>
              <w:rPr>
                <w:color w:val="auto"/>
              </w:rPr>
            </w:pPr>
            <w:r w:rsidRPr="001D3940">
              <w:rPr>
                <w:color w:val="auto"/>
                <w:spacing w:val="-3"/>
                <w:szCs w:val="24"/>
              </w:rPr>
              <w:t>2</w:t>
            </w:r>
            <w:r>
              <w:rPr>
                <w:color w:val="auto"/>
                <w:spacing w:val="-3"/>
                <w:szCs w:val="24"/>
              </w:rPr>
              <w:t>80-330</w:t>
            </w:r>
          </w:p>
        </w:tc>
      </w:tr>
    </w:tbl>
    <w:p w14:paraId="0886B030" w14:textId="77777777" w:rsidR="0085481F" w:rsidRDefault="0085481F" w:rsidP="00A34B0D">
      <w:pPr>
        <w:tabs>
          <w:tab w:val="left" w:pos="-1440"/>
          <w:tab w:val="left" w:pos="-720"/>
          <w:tab w:val="left" w:pos="444"/>
        </w:tabs>
        <w:jc w:val="both"/>
        <w:rPr>
          <w:color w:val="auto"/>
        </w:rPr>
      </w:pPr>
    </w:p>
    <w:p w14:paraId="3221E360"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591CADB8" w14:textId="182E2B89" w:rsidR="00600576" w:rsidRDefault="0024668F" w:rsidP="00A34B0D">
      <w:pPr>
        <w:tabs>
          <w:tab w:val="left" w:pos="-1440"/>
          <w:tab w:val="left" w:pos="-720"/>
          <w:tab w:val="left" w:pos="444"/>
        </w:tabs>
        <w:ind w:firstLine="444"/>
        <w:jc w:val="both"/>
      </w:pPr>
      <w:r w:rsidRPr="0024668F">
        <w:rPr>
          <w:i/>
          <w:iCs/>
        </w:rPr>
        <w:t>k</w:t>
      </w:r>
      <w:r>
        <w:t xml:space="preserve"> has been determined in three direct studies</w:t>
      </w:r>
      <w:r w:rsidR="00384948">
        <w:t>;</w:t>
      </w:r>
      <w:r>
        <w:t xml:space="preserve"> by Huang et al. (2015) at 298 K, by </w:t>
      </w:r>
      <w:r w:rsidRPr="00180937">
        <w:t>Smith et al.</w:t>
      </w:r>
      <w:r>
        <w:t xml:space="preserve"> (2016)</w:t>
      </w:r>
      <w:r w:rsidRPr="00180937">
        <w:t xml:space="preserve">, </w:t>
      </w:r>
      <w:r>
        <w:t xml:space="preserve">who also reported a temperature dependence study over the range 283–323 K, and by Chhantyal-Pun et al. (2017) at 293 K. The results </w:t>
      </w:r>
      <w:r w:rsidR="00384948">
        <w:t xml:space="preserve">at </w:t>
      </w:r>
      <w:r>
        <w:t>near ambient temperatures from these studies are all consistent</w:t>
      </w:r>
      <w:r w:rsidR="00384948">
        <w:t>, and t</w:t>
      </w:r>
      <w:r>
        <w:t>he absence of pressure dependence over the range 13-130 mbar</w:t>
      </w:r>
      <w:r w:rsidR="00384948">
        <w:t xml:space="preserve"> (Chhantyal-Pun et al., 2017)</w:t>
      </w:r>
      <w:r>
        <w:t xml:space="preserve"> indicates the </w:t>
      </w:r>
      <w:r w:rsidR="00384948">
        <w:t>measurements</w:t>
      </w:r>
      <w:r>
        <w:t xml:space="preserve"> </w:t>
      </w:r>
      <w:r w:rsidR="00384948">
        <w:t>were made at the</w:t>
      </w:r>
      <w:r>
        <w:t xml:space="preserve"> high</w:t>
      </w:r>
      <w:r w:rsidR="00384948">
        <w:t>-</w:t>
      </w:r>
      <w:r>
        <w:t>pressure limit. The decomposition rate constant shows a substantial increase with temperature.</w:t>
      </w:r>
      <w:r w:rsidR="00384948">
        <w:t xml:space="preserve"> The preferred values of </w:t>
      </w:r>
      <w:r w:rsidR="00384948" w:rsidRPr="00384948">
        <w:rPr>
          <w:i/>
          <w:iCs/>
        </w:rPr>
        <w:t>k</w:t>
      </w:r>
      <w:r w:rsidR="00384948">
        <w:t xml:space="preserve"> are based on a fit to all the direct data, with </w:t>
      </w:r>
      <w:r w:rsidR="00384948" w:rsidRPr="00384948">
        <w:rPr>
          <w:i/>
          <w:iCs/>
        </w:rPr>
        <w:t>E</w:t>
      </w:r>
      <w:r w:rsidR="00384948">
        <w:t>/</w:t>
      </w:r>
      <w:r w:rsidR="00384948" w:rsidRPr="00384948">
        <w:rPr>
          <w:i/>
          <w:iCs/>
        </w:rPr>
        <w:t>R</w:t>
      </w:r>
      <w:r w:rsidR="00384948">
        <w:t xml:space="preserve"> constrained to a value of 2920 K, based on the activation energy reported by Smith et al. (2016).</w:t>
      </w:r>
    </w:p>
    <w:p w14:paraId="3C414F80" w14:textId="77777777" w:rsidR="007F7877" w:rsidRPr="00762631" w:rsidRDefault="003728E5" w:rsidP="00A34B0D">
      <w:pPr>
        <w:tabs>
          <w:tab w:val="left" w:pos="-1440"/>
          <w:tab w:val="left" w:pos="-720"/>
          <w:tab w:val="left" w:pos="444"/>
        </w:tabs>
        <w:ind w:firstLine="444"/>
        <w:jc w:val="both"/>
      </w:pPr>
      <w:r>
        <w:t xml:space="preserve">The relative rate determinations from </w:t>
      </w:r>
      <w:proofErr w:type="spellStart"/>
      <w:r>
        <w:t>ozonolysis</w:t>
      </w:r>
      <w:proofErr w:type="spellEnd"/>
      <w:r>
        <w:t xml:space="preserve"> of </w:t>
      </w:r>
      <w:r w:rsidR="00AC79BC">
        <w:t>2,3-</w:t>
      </w:r>
      <w:r>
        <w:t>dimethyl-but-2-ene</w:t>
      </w:r>
      <w:r w:rsidR="000A3D45">
        <w:t>,</w:t>
      </w:r>
      <w:r>
        <w:t xml:space="preserve"> using reaction of </w:t>
      </w:r>
      <w:r w:rsidRPr="00C84BC9">
        <w:t>(CH</w:t>
      </w:r>
      <w:r w:rsidRPr="00E04488">
        <w:rPr>
          <w:vertAlign w:val="subscript"/>
        </w:rPr>
        <w:t>3</w:t>
      </w:r>
      <w:r w:rsidRPr="00C84BC9">
        <w:t>)</w:t>
      </w:r>
      <w:r w:rsidRPr="00E04488">
        <w:rPr>
          <w:vertAlign w:val="subscript"/>
        </w:rPr>
        <w:t>2</w:t>
      </w:r>
      <w:r w:rsidRPr="009C5319">
        <w:t>C</w:t>
      </w:r>
      <w:r>
        <w:t>OO</w:t>
      </w:r>
      <w:r w:rsidRPr="00C1327E">
        <w:t xml:space="preserve"> </w:t>
      </w:r>
      <w:r>
        <w:t>with SO</w:t>
      </w:r>
      <w:r w:rsidRPr="004424EE">
        <w:rPr>
          <w:vertAlign w:val="subscript"/>
        </w:rPr>
        <w:t>2</w:t>
      </w:r>
      <w:r>
        <w:rPr>
          <w:vertAlign w:val="subscript"/>
        </w:rPr>
        <w:t xml:space="preserve"> </w:t>
      </w:r>
      <w:r>
        <w:t>as a reference, are also in good agreement</w:t>
      </w:r>
      <w:r w:rsidR="000A3D45">
        <w:t>;</w:t>
      </w:r>
      <w:r>
        <w:t xml:space="preserve"> but consistently give values of </w:t>
      </w:r>
      <w:r w:rsidRPr="00D612F4">
        <w:rPr>
          <w:i/>
        </w:rPr>
        <w:t>k</w:t>
      </w:r>
      <w:r w:rsidRPr="00505FB7">
        <w:t xml:space="preserve"> </w:t>
      </w:r>
      <w:r>
        <w:t xml:space="preserve">over a factor of 2 higher than the direct measurements at room temperature. The temperature dependence of </w:t>
      </w:r>
      <w:r w:rsidRPr="00FF258D">
        <w:rPr>
          <w:i/>
        </w:rPr>
        <w:t>k</w:t>
      </w:r>
      <w:r w:rsidRPr="003728E5">
        <w:t xml:space="preserve"> inferred from the</w:t>
      </w:r>
      <w:r>
        <w:t xml:space="preserve"> data of Berndt et al. (2014) (see comment (e)) supports the direct measurements of Smith et al. (2016), and gives a comparable</w:t>
      </w:r>
      <w:r w:rsidR="007F7877">
        <w:t>, but slightly higher,</w:t>
      </w:r>
      <w:r>
        <w:t xml:space="preserve"> activation energy. An analysis of the indirect data alone provide</w:t>
      </w:r>
      <w:r w:rsidR="007F7877">
        <w:t>s</w:t>
      </w:r>
      <w:r>
        <w:t xml:space="preserve"> a value </w:t>
      </w:r>
      <w:r w:rsidRPr="007F7877">
        <w:rPr>
          <w:i/>
          <w:iCs/>
        </w:rPr>
        <w:t>k</w:t>
      </w:r>
      <w:r>
        <w:t xml:space="preserve"> =</w:t>
      </w:r>
      <w:r w:rsidRPr="00C5753F">
        <w:t xml:space="preserve"> </w:t>
      </w:r>
      <w:r w:rsidR="007F7877">
        <w:t>1.11 × 10</w:t>
      </w:r>
      <w:r w:rsidR="007F7877">
        <w:rPr>
          <w:vertAlign w:val="superscript"/>
        </w:rPr>
        <w:t>8</w:t>
      </w:r>
      <w:r w:rsidR="007F7877">
        <w:t xml:space="preserve"> exp(-3500/</w:t>
      </w:r>
      <w:r w:rsidR="007F7877" w:rsidRPr="00B36F17">
        <w:rPr>
          <w:i/>
          <w:iCs/>
        </w:rPr>
        <w:t>T</w:t>
      </w:r>
      <w:r w:rsidR="007F7877">
        <w:t>) s</w:t>
      </w:r>
      <w:r w:rsidR="007F7877" w:rsidRPr="007F7877">
        <w:rPr>
          <w:vertAlign w:val="superscript"/>
        </w:rPr>
        <w:t>-1</w:t>
      </w:r>
      <w:r w:rsidR="007F7877">
        <w:t>, with a value 880 s</w:t>
      </w:r>
      <w:r w:rsidR="007F7877" w:rsidRPr="00182513">
        <w:rPr>
          <w:vertAlign w:val="superscript"/>
        </w:rPr>
        <w:t>-1</w:t>
      </w:r>
      <w:r w:rsidR="007F7877">
        <w:t xml:space="preserve"> at 298 K. The origins of this consistent discrepancy between the direct and relative rate determinations </w:t>
      </w:r>
      <w:r w:rsidR="000A3D45">
        <w:t>are</w:t>
      </w:r>
      <w:r w:rsidR="007F7877">
        <w:t xml:space="preserve"> currently un</w:t>
      </w:r>
      <w:r w:rsidR="00907AA0">
        <w:t>clear</w:t>
      </w:r>
      <w:r w:rsidR="00762631">
        <w:t xml:space="preserve">, although it is noted that the mechanism and products of the reference </w:t>
      </w:r>
      <w:r w:rsidR="00762631" w:rsidRPr="00C84BC9">
        <w:t>(CH</w:t>
      </w:r>
      <w:r w:rsidR="00762631" w:rsidRPr="00E04488">
        <w:rPr>
          <w:vertAlign w:val="subscript"/>
        </w:rPr>
        <w:t>3</w:t>
      </w:r>
      <w:r w:rsidR="00762631" w:rsidRPr="00C84BC9">
        <w:t>)</w:t>
      </w:r>
      <w:r w:rsidR="00762631" w:rsidRPr="00E04488">
        <w:rPr>
          <w:vertAlign w:val="subscript"/>
        </w:rPr>
        <w:t>2</w:t>
      </w:r>
      <w:r w:rsidR="00762631" w:rsidRPr="009C5319">
        <w:t>C</w:t>
      </w:r>
      <w:r w:rsidR="00762631">
        <w:t>OO</w:t>
      </w:r>
      <w:r w:rsidR="00762631" w:rsidRPr="00C1327E">
        <w:t xml:space="preserve"> </w:t>
      </w:r>
      <w:r w:rsidR="00762631">
        <w:t>+ SO</w:t>
      </w:r>
      <w:r w:rsidR="00762631" w:rsidRPr="004424EE">
        <w:rPr>
          <w:vertAlign w:val="subscript"/>
        </w:rPr>
        <w:t>2</w:t>
      </w:r>
      <w:r w:rsidR="00762631">
        <w:t xml:space="preserve"> reaction are not fully characterized at atmospheric pressure (see data sheet CGI_18).</w:t>
      </w:r>
    </w:p>
    <w:p w14:paraId="3093AB4E" w14:textId="07C44E00" w:rsidR="00A71EE6" w:rsidRDefault="00A71EE6" w:rsidP="00A71EE6">
      <w:pPr>
        <w:tabs>
          <w:tab w:val="left" w:pos="-1440"/>
          <w:tab w:val="left" w:pos="-720"/>
          <w:tab w:val="left" w:pos="444"/>
        </w:tabs>
        <w:ind w:firstLine="444"/>
        <w:jc w:val="both"/>
      </w:pPr>
      <w:r>
        <w:t xml:space="preserve">The preferred value of </w:t>
      </w:r>
      <w:r w:rsidRPr="00CC4187">
        <w:rPr>
          <w:i/>
        </w:rPr>
        <w:t>k</w:t>
      </w:r>
      <w:r>
        <w:rPr>
          <w:vertAlign w:val="subscript"/>
        </w:rPr>
        <w:t xml:space="preserve"> </w:t>
      </w:r>
      <w:r>
        <w:t xml:space="preserve">at 298 K is </w:t>
      </w:r>
      <w:r w:rsidRPr="00A232DA">
        <w:t xml:space="preserve">in good agreement with the </w:t>
      </w:r>
      <w:r>
        <w:t xml:space="preserve">value of </w:t>
      </w:r>
      <w:r w:rsidRPr="00A232DA">
        <w:t>369 s</w:t>
      </w:r>
      <w:r w:rsidRPr="00A71EE6">
        <w:rPr>
          <w:vertAlign w:val="superscript"/>
        </w:rPr>
        <w:t>-1</w:t>
      </w:r>
      <w:r w:rsidRPr="00A232DA">
        <w:t xml:space="preserve"> calculated by </w:t>
      </w:r>
      <w:r w:rsidRPr="00972650">
        <w:t xml:space="preserve">Liu </w:t>
      </w:r>
      <w:r>
        <w:t>et</w:t>
      </w:r>
      <w:r w:rsidR="000A3D45">
        <w:t xml:space="preserve"> </w:t>
      </w:r>
      <w:r>
        <w:t xml:space="preserve">al. </w:t>
      </w:r>
      <w:r w:rsidRPr="00972650">
        <w:t>(2014</w:t>
      </w:r>
      <w:r>
        <w:t>), using master-</w:t>
      </w:r>
      <w:r w:rsidRPr="00A232DA">
        <w:t>equation calculations and RRKM theory</w:t>
      </w:r>
      <w:r>
        <w:t xml:space="preserve">. Smith et al. (2016) reported theoretical calculations </w:t>
      </w:r>
      <w:r w:rsidRPr="001068CB">
        <w:t>for (CH</w:t>
      </w:r>
      <w:r w:rsidRPr="005328CB">
        <w:rPr>
          <w:vertAlign w:val="subscript"/>
        </w:rPr>
        <w:t>3</w:t>
      </w:r>
      <w:r w:rsidRPr="001068CB">
        <w:t>)</w:t>
      </w:r>
      <w:r w:rsidRPr="005328CB">
        <w:rPr>
          <w:vertAlign w:val="subscript"/>
        </w:rPr>
        <w:t>2</w:t>
      </w:r>
      <w:r w:rsidRPr="001068CB">
        <w:t xml:space="preserve">COO </w:t>
      </w:r>
      <w:r>
        <w:t xml:space="preserve">and </w:t>
      </w:r>
      <w:r w:rsidRPr="001068CB">
        <w:t>(C</w:t>
      </w:r>
      <w:r>
        <w:t>D</w:t>
      </w:r>
      <w:r w:rsidRPr="005328CB">
        <w:rPr>
          <w:vertAlign w:val="subscript"/>
        </w:rPr>
        <w:t>3</w:t>
      </w:r>
      <w:r w:rsidRPr="001068CB">
        <w:t>)</w:t>
      </w:r>
      <w:r w:rsidRPr="005328CB">
        <w:rPr>
          <w:vertAlign w:val="subscript"/>
        </w:rPr>
        <w:t>2</w:t>
      </w:r>
      <w:r w:rsidRPr="001068CB">
        <w:t xml:space="preserve">COO </w:t>
      </w:r>
      <w:r>
        <w:t xml:space="preserve">which </w:t>
      </w:r>
      <w:r w:rsidRPr="001068CB">
        <w:t xml:space="preserve">show </w:t>
      </w:r>
      <w:r>
        <w:t xml:space="preserve">a strong temperature dependence in </w:t>
      </w:r>
      <w:r w:rsidRPr="00A71EE6">
        <w:rPr>
          <w:i/>
          <w:iCs/>
        </w:rPr>
        <w:t>k</w:t>
      </w:r>
      <w:r>
        <w:t xml:space="preserve">, with </w:t>
      </w:r>
      <w:r w:rsidRPr="001068CB">
        <w:t>Arrheniu</w:t>
      </w:r>
      <w:r>
        <w:t>s</w:t>
      </w:r>
      <w:r w:rsidRPr="001068CB">
        <w:t xml:space="preserve"> activation energies </w:t>
      </w:r>
      <w:r>
        <w:t>of 35.5 and 56.4 kJ mol</w:t>
      </w:r>
      <w:r w:rsidRPr="00911ADE">
        <w:rPr>
          <w:vertAlign w:val="superscript"/>
        </w:rPr>
        <w:t>-1</w:t>
      </w:r>
      <w:r>
        <w:t xml:space="preserve"> respectively. The </w:t>
      </w:r>
      <w:r w:rsidRPr="001068CB">
        <w:t>theoretical and experimental</w:t>
      </w:r>
      <w:r>
        <w:t xml:space="preserve"> temperature dependences</w:t>
      </w:r>
      <w:r w:rsidRPr="001068CB">
        <w:t xml:space="preserve"> are consistent</w:t>
      </w:r>
      <w:r>
        <w:t xml:space="preserve"> for </w:t>
      </w:r>
      <w:r w:rsidRPr="001068CB">
        <w:t>(CH</w:t>
      </w:r>
      <w:r w:rsidRPr="005328CB">
        <w:rPr>
          <w:vertAlign w:val="subscript"/>
        </w:rPr>
        <w:t>3</w:t>
      </w:r>
      <w:r w:rsidRPr="001068CB">
        <w:t>)</w:t>
      </w:r>
      <w:r w:rsidRPr="005328CB">
        <w:rPr>
          <w:vertAlign w:val="subscript"/>
        </w:rPr>
        <w:t>2</w:t>
      </w:r>
      <w:r w:rsidRPr="001068CB">
        <w:t>COO</w:t>
      </w:r>
      <w:r>
        <w:t xml:space="preserve">, and the experimentally observed slower decomposition of </w:t>
      </w:r>
      <w:r w:rsidRPr="001068CB">
        <w:t>(C</w:t>
      </w:r>
      <w:r>
        <w:t>D</w:t>
      </w:r>
      <w:r w:rsidRPr="005328CB">
        <w:rPr>
          <w:vertAlign w:val="subscript"/>
        </w:rPr>
        <w:t>3</w:t>
      </w:r>
      <w:r w:rsidRPr="001068CB">
        <w:t>)</w:t>
      </w:r>
      <w:r w:rsidRPr="005328CB">
        <w:rPr>
          <w:vertAlign w:val="subscript"/>
        </w:rPr>
        <w:t>2</w:t>
      </w:r>
      <w:r w:rsidRPr="001068CB">
        <w:t>COO</w:t>
      </w:r>
      <w:r>
        <w:t xml:space="preserve"> is predicted.</w:t>
      </w:r>
    </w:p>
    <w:p w14:paraId="2C1FA5F4" w14:textId="77777777" w:rsidR="00411834" w:rsidRDefault="00A71EE6" w:rsidP="00411834">
      <w:pPr>
        <w:tabs>
          <w:tab w:val="left" w:pos="-1440"/>
          <w:tab w:val="left" w:pos="-720"/>
          <w:tab w:val="left" w:pos="444"/>
        </w:tabs>
        <w:ind w:firstLine="444"/>
        <w:jc w:val="both"/>
      </w:pPr>
      <w:r>
        <w:t xml:space="preserve">The quantum chemical studies predict that decomposition of </w:t>
      </w:r>
      <w:r w:rsidRPr="00C84BC9">
        <w:t>(CH</w:t>
      </w:r>
      <w:r w:rsidRPr="00E04488">
        <w:rPr>
          <w:vertAlign w:val="subscript"/>
        </w:rPr>
        <w:t>3</w:t>
      </w:r>
      <w:r w:rsidRPr="00C84BC9">
        <w:t>)</w:t>
      </w:r>
      <w:r w:rsidRPr="00E04488">
        <w:rPr>
          <w:vertAlign w:val="subscript"/>
        </w:rPr>
        <w:t>2</w:t>
      </w:r>
      <w:r w:rsidRPr="009C5319">
        <w:t>C</w:t>
      </w:r>
      <w:r>
        <w:t>OO occurs via a 1</w:t>
      </w:r>
      <w:r w:rsidR="00411834">
        <w:t>,</w:t>
      </w:r>
      <w:r>
        <w:t>4 H-atom transfer to form</w:t>
      </w:r>
      <w:r w:rsidR="00411834">
        <w:t xml:space="preserve"> the vinyl hydroperoxide intermediate,</w:t>
      </w:r>
      <w:r>
        <w:t xml:space="preserve"> 2-hydroperoxypropene. This process is exothermic</w:t>
      </w:r>
      <w:r w:rsidR="00411834">
        <w:t>,</w:t>
      </w:r>
      <w:r>
        <w:t xml:space="preserve"> and HO is produced </w:t>
      </w:r>
      <w:r w:rsidR="00411834">
        <w:t xml:space="preserve">from </w:t>
      </w:r>
      <w:r>
        <w:t xml:space="preserve">its subsequent decomposition.  </w:t>
      </w:r>
      <w:r w:rsidRPr="00CF7019">
        <w:t>UV depletion studies coupled with photoionization mass spectrometry hav</w:t>
      </w:r>
      <w:r>
        <w:t xml:space="preserve">e shown relative yields of the </w:t>
      </w:r>
      <w:r w:rsidRPr="00CF7019">
        <w:t>H</w:t>
      </w:r>
      <w:r>
        <w:t>O</w:t>
      </w:r>
      <w:r w:rsidRPr="00CF7019">
        <w:t xml:space="preserve"> radical to be greater from (CH</w:t>
      </w:r>
      <w:r w:rsidRPr="0059408E">
        <w:rPr>
          <w:vertAlign w:val="subscript"/>
        </w:rPr>
        <w:t>3</w:t>
      </w:r>
      <w:r w:rsidRPr="00CF7019">
        <w:t>)</w:t>
      </w:r>
      <w:r w:rsidRPr="0059408E">
        <w:rPr>
          <w:vertAlign w:val="subscript"/>
        </w:rPr>
        <w:t>2</w:t>
      </w:r>
      <w:r w:rsidRPr="00CF7019">
        <w:t>COO than from CH</w:t>
      </w:r>
      <w:r>
        <w:rPr>
          <w:vertAlign w:val="subscript"/>
        </w:rPr>
        <w:t>2</w:t>
      </w:r>
      <w:r w:rsidRPr="00CF7019">
        <w:t>OO</w:t>
      </w:r>
      <w:r>
        <w:t xml:space="preserve"> (Fang et al. 2016)</w:t>
      </w:r>
      <w:r w:rsidRPr="00CF7019">
        <w:t xml:space="preserve">. These observations </w:t>
      </w:r>
      <w:r w:rsidR="00411834">
        <w:t>confirm</w:t>
      </w:r>
      <w:r w:rsidRPr="00CF7019">
        <w:t xml:space="preserve"> that</w:t>
      </w:r>
      <w:r w:rsidR="00411834">
        <w:t xml:space="preserve"> the</w:t>
      </w:r>
      <w:r w:rsidRPr="00CF7019">
        <w:t xml:space="preserve"> facile</w:t>
      </w:r>
      <w:r w:rsidR="00411834">
        <w:t xml:space="preserve"> 1,4</w:t>
      </w:r>
      <w:r w:rsidRPr="00CF7019">
        <w:t xml:space="preserve"> intramolecular hydrogen transfer leads to </w:t>
      </w:r>
      <w:r w:rsidR="00411834">
        <w:t>much</w:t>
      </w:r>
      <w:r w:rsidRPr="00CF7019">
        <w:t xml:space="preserve"> </w:t>
      </w:r>
      <w:r>
        <w:t>faster</w:t>
      </w:r>
      <w:r w:rsidRPr="00CF7019">
        <w:t xml:space="preserve"> unimolecular </w:t>
      </w:r>
      <w:r>
        <w:t>decomposition</w:t>
      </w:r>
      <w:r w:rsidRPr="00CF7019">
        <w:t xml:space="preserve"> rate </w:t>
      </w:r>
      <w:r>
        <w:t>for</w:t>
      </w:r>
      <w:r w:rsidRPr="00CF7019">
        <w:t xml:space="preserve"> (CH</w:t>
      </w:r>
      <w:r w:rsidRPr="0059408E">
        <w:rPr>
          <w:vertAlign w:val="subscript"/>
        </w:rPr>
        <w:t>3</w:t>
      </w:r>
      <w:r w:rsidRPr="00CF7019">
        <w:t>)</w:t>
      </w:r>
      <w:r w:rsidRPr="0059408E">
        <w:rPr>
          <w:vertAlign w:val="subscript"/>
        </w:rPr>
        <w:t>2</w:t>
      </w:r>
      <w:r w:rsidRPr="00CF7019">
        <w:t xml:space="preserve">COO </w:t>
      </w:r>
      <w:r w:rsidR="00411834">
        <w:t>compared with</w:t>
      </w:r>
      <w:r w:rsidRPr="00CF7019">
        <w:t xml:space="preserve"> CH</w:t>
      </w:r>
      <w:r w:rsidRPr="0059408E">
        <w:rPr>
          <w:vertAlign w:val="subscript"/>
        </w:rPr>
        <w:t>2</w:t>
      </w:r>
      <w:r w:rsidRPr="00CF7019">
        <w:t>OO</w:t>
      </w:r>
      <w:r w:rsidR="00411834">
        <w:t>, for which the mechanism is unavailable</w:t>
      </w:r>
      <w:r w:rsidRPr="00CF7019">
        <w:t>.</w:t>
      </w:r>
    </w:p>
    <w:p w14:paraId="552E5A94" w14:textId="77777777" w:rsidR="00945495" w:rsidRDefault="00411834" w:rsidP="00411834">
      <w:pPr>
        <w:tabs>
          <w:tab w:val="left" w:pos="-1440"/>
          <w:tab w:val="left" w:pos="-720"/>
          <w:tab w:val="left" w:pos="444"/>
        </w:tabs>
        <w:ind w:firstLine="444"/>
        <w:jc w:val="both"/>
      </w:pPr>
      <w:r>
        <w:t xml:space="preserve"> </w:t>
      </w:r>
    </w:p>
    <w:p w14:paraId="6E55D0E8" w14:textId="77777777" w:rsidR="00945495" w:rsidRDefault="00945495" w:rsidP="00945495">
      <w:pPr>
        <w:jc w:val="center"/>
      </w:pPr>
      <w:r>
        <w:rPr>
          <w:b/>
          <w:bCs/>
        </w:rPr>
        <w:t>References</w:t>
      </w:r>
    </w:p>
    <w:p w14:paraId="6D3C38C2" w14:textId="77777777" w:rsidR="000A3D45" w:rsidRDefault="000A3D45" w:rsidP="000A3D45">
      <w:pPr>
        <w:tabs>
          <w:tab w:val="center" w:pos="4680"/>
        </w:tabs>
        <w:ind w:right="-63"/>
        <w:jc w:val="both"/>
        <w:rPr>
          <w:color w:val="auto"/>
          <w:szCs w:val="24"/>
        </w:rPr>
      </w:pPr>
    </w:p>
    <w:p w14:paraId="3A5A5AA5" w14:textId="77777777" w:rsidR="000A3D45" w:rsidRDefault="00E33BBA" w:rsidP="00B45DC4">
      <w:pPr>
        <w:tabs>
          <w:tab w:val="center" w:pos="4680"/>
        </w:tabs>
        <w:ind w:left="289" w:hanging="289"/>
        <w:jc w:val="both"/>
        <w:rPr>
          <w:color w:val="auto"/>
          <w:szCs w:val="24"/>
        </w:rPr>
      </w:pPr>
      <w:r w:rsidRPr="00C730A2">
        <w:rPr>
          <w:color w:val="auto"/>
          <w:szCs w:val="24"/>
        </w:rPr>
        <w:t>Berndt</w:t>
      </w:r>
      <w:r>
        <w:rPr>
          <w:color w:val="auto"/>
          <w:szCs w:val="24"/>
        </w:rPr>
        <w:t xml:space="preserve">, T., </w:t>
      </w:r>
      <w:r w:rsidRPr="00C730A2">
        <w:rPr>
          <w:color w:val="auto"/>
          <w:szCs w:val="24"/>
        </w:rPr>
        <w:t>Jokinen</w:t>
      </w:r>
      <w:r>
        <w:rPr>
          <w:color w:val="auto"/>
          <w:szCs w:val="24"/>
        </w:rPr>
        <w:t xml:space="preserve">, T., </w:t>
      </w:r>
      <w:r w:rsidRPr="00C730A2">
        <w:rPr>
          <w:color w:val="auto"/>
          <w:szCs w:val="24"/>
        </w:rPr>
        <w:t>Mauldin</w:t>
      </w:r>
      <w:r>
        <w:rPr>
          <w:color w:val="auto"/>
          <w:szCs w:val="24"/>
        </w:rPr>
        <w:t xml:space="preserve">, R. L., </w:t>
      </w:r>
      <w:proofErr w:type="spellStart"/>
      <w:r w:rsidRPr="00E33BBA">
        <w:rPr>
          <w:color w:val="auto"/>
          <w:szCs w:val="24"/>
        </w:rPr>
        <w:t>Petäja</w:t>
      </w:r>
      <w:proofErr w:type="spellEnd"/>
      <w:r w:rsidRPr="00E33BBA">
        <w:rPr>
          <w:color w:val="auto"/>
          <w:szCs w:val="24"/>
        </w:rPr>
        <w:t>̈</w:t>
      </w:r>
      <w:r>
        <w:rPr>
          <w:color w:val="auto"/>
          <w:szCs w:val="24"/>
        </w:rPr>
        <w:t xml:space="preserve">, T.: </w:t>
      </w:r>
      <w:r w:rsidRPr="00C730A2">
        <w:rPr>
          <w:color w:val="auto"/>
          <w:szCs w:val="24"/>
        </w:rPr>
        <w:t>Herrmann</w:t>
      </w:r>
      <w:r>
        <w:rPr>
          <w:color w:val="auto"/>
          <w:szCs w:val="24"/>
        </w:rPr>
        <w:t>, H.</w:t>
      </w:r>
      <w:r w:rsidRPr="00C730A2">
        <w:rPr>
          <w:color w:val="auto"/>
          <w:szCs w:val="24"/>
        </w:rPr>
        <w:t>,</w:t>
      </w:r>
      <w:r>
        <w:rPr>
          <w:color w:val="auto"/>
          <w:szCs w:val="24"/>
        </w:rPr>
        <w:t xml:space="preserve"> </w:t>
      </w:r>
      <w:proofErr w:type="spellStart"/>
      <w:r w:rsidRPr="00C730A2">
        <w:rPr>
          <w:color w:val="auto"/>
          <w:szCs w:val="24"/>
        </w:rPr>
        <w:t>Junninen</w:t>
      </w:r>
      <w:proofErr w:type="spellEnd"/>
      <w:r>
        <w:rPr>
          <w:color w:val="auto"/>
          <w:szCs w:val="24"/>
        </w:rPr>
        <w:t xml:space="preserve">, H., </w:t>
      </w:r>
      <w:proofErr w:type="spellStart"/>
      <w:r w:rsidRPr="00E33BBA">
        <w:rPr>
          <w:color w:val="auto"/>
          <w:szCs w:val="24"/>
        </w:rPr>
        <w:t>Paasonen</w:t>
      </w:r>
      <w:proofErr w:type="spellEnd"/>
      <w:r>
        <w:rPr>
          <w:color w:val="auto"/>
          <w:szCs w:val="24"/>
        </w:rPr>
        <w:t xml:space="preserve">, P., </w:t>
      </w:r>
      <w:proofErr w:type="spellStart"/>
      <w:r>
        <w:rPr>
          <w:color w:val="auto"/>
          <w:szCs w:val="24"/>
        </w:rPr>
        <w:t>Worsnop</w:t>
      </w:r>
      <w:proofErr w:type="spellEnd"/>
      <w:r>
        <w:rPr>
          <w:color w:val="auto"/>
          <w:szCs w:val="24"/>
        </w:rPr>
        <w:t xml:space="preserve">, D. R. and </w:t>
      </w:r>
      <w:proofErr w:type="spellStart"/>
      <w:r w:rsidRPr="00C730A2">
        <w:rPr>
          <w:color w:val="auto"/>
          <w:szCs w:val="24"/>
        </w:rPr>
        <w:t>Sipilä</w:t>
      </w:r>
      <w:proofErr w:type="spellEnd"/>
      <w:r>
        <w:rPr>
          <w:color w:val="auto"/>
          <w:szCs w:val="24"/>
        </w:rPr>
        <w:t xml:space="preserve">, M.: </w:t>
      </w:r>
      <w:r w:rsidRPr="00E33BBA">
        <w:rPr>
          <w:color w:val="auto"/>
          <w:szCs w:val="24"/>
        </w:rPr>
        <w:t>J. Phys. Chem. Lett., 3, 2892</w:t>
      </w:r>
      <w:r>
        <w:rPr>
          <w:color w:val="auto"/>
          <w:szCs w:val="24"/>
        </w:rPr>
        <w:t xml:space="preserve">, </w:t>
      </w:r>
      <w:r w:rsidRPr="00E33BBA">
        <w:rPr>
          <w:color w:val="auto"/>
          <w:szCs w:val="24"/>
        </w:rPr>
        <w:t>dx.doi.org/10.1021/jz301158u</w:t>
      </w:r>
      <w:r>
        <w:rPr>
          <w:color w:val="auto"/>
          <w:szCs w:val="24"/>
        </w:rPr>
        <w:t>, 2012.</w:t>
      </w:r>
    </w:p>
    <w:p w14:paraId="375442A2" w14:textId="77777777" w:rsidR="000A3D45" w:rsidRDefault="000A3D45" w:rsidP="00B45DC4">
      <w:pPr>
        <w:tabs>
          <w:tab w:val="center" w:pos="4680"/>
        </w:tabs>
        <w:ind w:left="289" w:hanging="289"/>
        <w:jc w:val="both"/>
        <w:rPr>
          <w:color w:val="auto"/>
          <w:szCs w:val="24"/>
        </w:rPr>
      </w:pPr>
      <w:r w:rsidRPr="00C730A2">
        <w:rPr>
          <w:color w:val="auto"/>
          <w:szCs w:val="24"/>
        </w:rPr>
        <w:t>Berndt</w:t>
      </w:r>
      <w:r>
        <w:rPr>
          <w:color w:val="auto"/>
          <w:szCs w:val="24"/>
        </w:rPr>
        <w:t xml:space="preserve">, T., </w:t>
      </w:r>
      <w:r w:rsidRPr="00C730A2">
        <w:rPr>
          <w:color w:val="auto"/>
          <w:szCs w:val="24"/>
        </w:rPr>
        <w:t>Jokinen</w:t>
      </w:r>
      <w:r>
        <w:rPr>
          <w:color w:val="auto"/>
          <w:szCs w:val="24"/>
        </w:rPr>
        <w:t xml:space="preserve">, T., </w:t>
      </w:r>
      <w:proofErr w:type="spellStart"/>
      <w:r w:rsidRPr="00C730A2">
        <w:rPr>
          <w:color w:val="auto"/>
          <w:szCs w:val="24"/>
        </w:rPr>
        <w:t>Sipilä</w:t>
      </w:r>
      <w:proofErr w:type="spellEnd"/>
      <w:r>
        <w:rPr>
          <w:color w:val="auto"/>
          <w:szCs w:val="24"/>
        </w:rPr>
        <w:t xml:space="preserve">, M., </w:t>
      </w:r>
      <w:r w:rsidRPr="00C730A2">
        <w:rPr>
          <w:color w:val="auto"/>
          <w:szCs w:val="24"/>
        </w:rPr>
        <w:t>Mauldin</w:t>
      </w:r>
      <w:r>
        <w:rPr>
          <w:color w:val="auto"/>
          <w:szCs w:val="24"/>
        </w:rPr>
        <w:t xml:space="preserve">, R. L., </w:t>
      </w:r>
      <w:r w:rsidRPr="00C730A2">
        <w:rPr>
          <w:color w:val="auto"/>
          <w:szCs w:val="24"/>
        </w:rPr>
        <w:t>Herrmann</w:t>
      </w:r>
      <w:r>
        <w:rPr>
          <w:color w:val="auto"/>
          <w:szCs w:val="24"/>
        </w:rPr>
        <w:t>, H.</w:t>
      </w:r>
      <w:r w:rsidRPr="00C730A2">
        <w:rPr>
          <w:color w:val="auto"/>
          <w:szCs w:val="24"/>
        </w:rPr>
        <w:t xml:space="preserve">, </w:t>
      </w:r>
      <w:proofErr w:type="spellStart"/>
      <w:r w:rsidRPr="00C730A2">
        <w:rPr>
          <w:color w:val="auto"/>
          <w:szCs w:val="24"/>
        </w:rPr>
        <w:t>Stratmann</w:t>
      </w:r>
      <w:proofErr w:type="spellEnd"/>
      <w:r>
        <w:rPr>
          <w:color w:val="auto"/>
          <w:szCs w:val="24"/>
        </w:rPr>
        <w:t xml:space="preserve">, F., </w:t>
      </w:r>
      <w:proofErr w:type="spellStart"/>
      <w:r w:rsidRPr="00C730A2">
        <w:rPr>
          <w:color w:val="auto"/>
          <w:szCs w:val="24"/>
        </w:rPr>
        <w:t>Junninen</w:t>
      </w:r>
      <w:proofErr w:type="spellEnd"/>
      <w:r>
        <w:rPr>
          <w:color w:val="auto"/>
          <w:szCs w:val="24"/>
        </w:rPr>
        <w:t xml:space="preserve">, H. and </w:t>
      </w:r>
      <w:proofErr w:type="spellStart"/>
      <w:r w:rsidRPr="00C730A2">
        <w:rPr>
          <w:color w:val="auto"/>
          <w:szCs w:val="24"/>
        </w:rPr>
        <w:t>Kulmala</w:t>
      </w:r>
      <w:proofErr w:type="spellEnd"/>
      <w:r>
        <w:rPr>
          <w:color w:val="auto"/>
          <w:szCs w:val="24"/>
        </w:rPr>
        <w:t xml:space="preserve">, M.: </w:t>
      </w:r>
      <w:r w:rsidRPr="00CC6651">
        <w:rPr>
          <w:color w:val="auto"/>
          <w:szCs w:val="24"/>
        </w:rPr>
        <w:t>Atmos</w:t>
      </w:r>
      <w:r>
        <w:rPr>
          <w:color w:val="auto"/>
          <w:szCs w:val="24"/>
        </w:rPr>
        <w:t>.</w:t>
      </w:r>
      <w:r w:rsidRPr="00CC6651">
        <w:rPr>
          <w:color w:val="auto"/>
          <w:szCs w:val="24"/>
        </w:rPr>
        <w:t xml:space="preserve"> Environ</w:t>
      </w:r>
      <w:r>
        <w:rPr>
          <w:color w:val="auto"/>
          <w:szCs w:val="24"/>
        </w:rPr>
        <w:t xml:space="preserve">., </w:t>
      </w:r>
      <w:r w:rsidRPr="00CC6651">
        <w:rPr>
          <w:color w:val="auto"/>
          <w:szCs w:val="24"/>
        </w:rPr>
        <w:t>89</w:t>
      </w:r>
      <w:r>
        <w:rPr>
          <w:color w:val="auto"/>
          <w:szCs w:val="24"/>
        </w:rPr>
        <w:t>, 603, 2014.</w:t>
      </w:r>
    </w:p>
    <w:p w14:paraId="368D20C3" w14:textId="77777777" w:rsidR="000A3D45" w:rsidRDefault="000A3D45" w:rsidP="00B45DC4">
      <w:pPr>
        <w:widowControl w:val="0"/>
        <w:ind w:left="289" w:hanging="289"/>
        <w:jc w:val="both"/>
      </w:pPr>
      <w:r w:rsidRPr="004947B1">
        <w:lastRenderedPageBreak/>
        <w:t xml:space="preserve">Chhantyal-Pun, </w:t>
      </w:r>
      <w:r>
        <w:t>R.,</w:t>
      </w:r>
      <w:r w:rsidRPr="004947B1">
        <w:t xml:space="preserve"> </w:t>
      </w:r>
      <w:proofErr w:type="spellStart"/>
      <w:r w:rsidRPr="004947B1">
        <w:t>Welz</w:t>
      </w:r>
      <w:proofErr w:type="spellEnd"/>
      <w:r w:rsidRPr="004947B1">
        <w:t>,</w:t>
      </w:r>
      <w:r>
        <w:t xml:space="preserve"> O.,</w:t>
      </w:r>
      <w:r w:rsidRPr="004947B1">
        <w:t xml:space="preserve"> </w:t>
      </w:r>
      <w:proofErr w:type="spellStart"/>
      <w:r w:rsidRPr="004947B1">
        <w:t>Savee</w:t>
      </w:r>
      <w:proofErr w:type="spellEnd"/>
      <w:r w:rsidRPr="004947B1">
        <w:t xml:space="preserve"> J</w:t>
      </w:r>
      <w:r>
        <w:t>.</w:t>
      </w:r>
      <w:r w:rsidRPr="004947B1">
        <w:t xml:space="preserve"> D.</w:t>
      </w:r>
      <w:r>
        <w:t>,</w:t>
      </w:r>
      <w:r w:rsidRPr="004947B1">
        <w:t xml:space="preserve"> </w:t>
      </w:r>
      <w:proofErr w:type="spellStart"/>
      <w:r w:rsidRPr="004947B1">
        <w:t>Eskola</w:t>
      </w:r>
      <w:proofErr w:type="spellEnd"/>
      <w:r>
        <w:t>,</w:t>
      </w:r>
      <w:r w:rsidRPr="004947B1">
        <w:t xml:space="preserve"> </w:t>
      </w:r>
      <w:r>
        <w:t>A.</w:t>
      </w:r>
      <w:r w:rsidRPr="004947B1">
        <w:t xml:space="preserve"> J.</w:t>
      </w:r>
      <w:r>
        <w:t>,</w:t>
      </w:r>
      <w:r w:rsidRPr="004947B1">
        <w:t xml:space="preserve"> Lee</w:t>
      </w:r>
      <w:r>
        <w:t>,</w:t>
      </w:r>
      <w:r w:rsidRPr="004947B1">
        <w:t xml:space="preserve"> E</w:t>
      </w:r>
      <w:r>
        <w:t>.</w:t>
      </w:r>
      <w:r w:rsidRPr="004947B1">
        <w:t xml:space="preserve"> P. F.</w:t>
      </w:r>
      <w:r>
        <w:t xml:space="preserve">, </w:t>
      </w:r>
      <w:r w:rsidRPr="004947B1">
        <w:t>Blacker,</w:t>
      </w:r>
      <w:r>
        <w:t xml:space="preserve"> L., </w:t>
      </w:r>
      <w:r w:rsidRPr="004947B1">
        <w:t>Hill,</w:t>
      </w:r>
      <w:r>
        <w:t xml:space="preserve"> </w:t>
      </w:r>
      <w:r w:rsidRPr="004947B1">
        <w:t>H</w:t>
      </w:r>
      <w:r>
        <w:t>.</w:t>
      </w:r>
      <w:r w:rsidRPr="004947B1">
        <w:t xml:space="preserve"> R.</w:t>
      </w:r>
      <w:r>
        <w:t>,</w:t>
      </w:r>
      <w:r w:rsidRPr="004947B1">
        <w:t xml:space="preserve"> Ashcroft,</w:t>
      </w:r>
      <w:r>
        <w:t xml:space="preserve"> </w:t>
      </w:r>
      <w:r w:rsidRPr="004947B1">
        <w:t>M</w:t>
      </w:r>
      <w:r>
        <w:t>.,</w:t>
      </w:r>
      <w:r w:rsidRPr="004947B1">
        <w:t xml:space="preserve"> Khan,</w:t>
      </w:r>
      <w:r>
        <w:t xml:space="preserve"> M. </w:t>
      </w:r>
      <w:r w:rsidRPr="004947B1">
        <w:t>A</w:t>
      </w:r>
      <w:r>
        <w:t>.</w:t>
      </w:r>
      <w:r w:rsidRPr="004947B1">
        <w:t xml:space="preserve"> H.</w:t>
      </w:r>
      <w:r>
        <w:t>,</w:t>
      </w:r>
      <w:r w:rsidRPr="004947B1">
        <w:t xml:space="preserve"> Lloyd-Jones</w:t>
      </w:r>
      <w:r>
        <w:t>,</w:t>
      </w:r>
      <w:r w:rsidRPr="004947B1">
        <w:t xml:space="preserve"> G</w:t>
      </w:r>
      <w:r>
        <w:t>.</w:t>
      </w:r>
      <w:r w:rsidRPr="004947B1">
        <w:t xml:space="preserve"> C., Evans</w:t>
      </w:r>
      <w:r>
        <w:t xml:space="preserve">, </w:t>
      </w:r>
      <w:r w:rsidRPr="004947B1">
        <w:t>L</w:t>
      </w:r>
      <w:r>
        <w:t>.,</w:t>
      </w:r>
      <w:r w:rsidRPr="004947B1">
        <w:t xml:space="preserve"> </w:t>
      </w:r>
      <w:proofErr w:type="spellStart"/>
      <w:r w:rsidRPr="004947B1">
        <w:t>Rotavera</w:t>
      </w:r>
      <w:proofErr w:type="spellEnd"/>
      <w:r>
        <w:t>,</w:t>
      </w:r>
      <w:r w:rsidRPr="004947B1">
        <w:t xml:space="preserve"> B</w:t>
      </w:r>
      <w:r>
        <w:t>.,</w:t>
      </w:r>
      <w:r w:rsidRPr="004947B1">
        <w:t xml:space="preserve"> </w:t>
      </w:r>
      <w:proofErr w:type="spellStart"/>
      <w:r w:rsidRPr="004947B1">
        <w:t>Rotavera</w:t>
      </w:r>
      <w:proofErr w:type="spellEnd"/>
      <w:r w:rsidRPr="004947B1">
        <w:t xml:space="preserve"> H</w:t>
      </w:r>
      <w:r>
        <w:t>.,</w:t>
      </w:r>
      <w:r w:rsidRPr="004947B1">
        <w:t xml:space="preserve"> </w:t>
      </w:r>
      <w:r>
        <w:t xml:space="preserve">Osborn, </w:t>
      </w:r>
      <w:r w:rsidRPr="004947B1">
        <w:t>D</w:t>
      </w:r>
      <w:r>
        <w:t>.</w:t>
      </w:r>
      <w:r w:rsidRPr="004947B1">
        <w:t xml:space="preserve"> L.</w:t>
      </w:r>
      <w:r>
        <w:t>,</w:t>
      </w:r>
      <w:r w:rsidRPr="004947B1">
        <w:t xml:space="preserve"> </w:t>
      </w:r>
      <w:proofErr w:type="spellStart"/>
      <w:r w:rsidRPr="004947B1">
        <w:t>Mok</w:t>
      </w:r>
      <w:proofErr w:type="spellEnd"/>
      <w:r>
        <w:t>,</w:t>
      </w:r>
      <w:r w:rsidRPr="004947B1">
        <w:t xml:space="preserve"> D</w:t>
      </w:r>
      <w:r>
        <w:t xml:space="preserve">. </w:t>
      </w:r>
      <w:r w:rsidRPr="004947B1">
        <w:t>K. W., Dyke</w:t>
      </w:r>
      <w:r>
        <w:t>,</w:t>
      </w:r>
      <w:r w:rsidRPr="004947B1">
        <w:t xml:space="preserve"> </w:t>
      </w:r>
      <w:r>
        <w:t>J.</w:t>
      </w:r>
      <w:r w:rsidRPr="004947B1">
        <w:t xml:space="preserve"> M., </w:t>
      </w:r>
      <w:r>
        <w:t>Shallcross, D. E.,</w:t>
      </w:r>
      <w:r w:rsidRPr="004947B1">
        <w:t xml:space="preserve"> Percival</w:t>
      </w:r>
      <w:r>
        <w:t>,</w:t>
      </w:r>
      <w:r w:rsidRPr="004947B1">
        <w:t xml:space="preserve"> C</w:t>
      </w:r>
      <w:r>
        <w:t>.</w:t>
      </w:r>
      <w:r w:rsidRPr="004947B1">
        <w:t xml:space="preserve"> J., Orr-Ewing</w:t>
      </w:r>
      <w:r>
        <w:t>,</w:t>
      </w:r>
      <w:r w:rsidRPr="004947B1">
        <w:t xml:space="preserve"> A</w:t>
      </w:r>
      <w:r>
        <w:t>.</w:t>
      </w:r>
      <w:r w:rsidRPr="004947B1">
        <w:t xml:space="preserve"> J. and </w:t>
      </w:r>
      <w:proofErr w:type="spellStart"/>
      <w:r w:rsidRPr="004947B1">
        <w:t>Taatjes</w:t>
      </w:r>
      <w:proofErr w:type="spellEnd"/>
      <w:r>
        <w:t>,</w:t>
      </w:r>
      <w:r w:rsidRPr="004947B1">
        <w:t xml:space="preserve"> C</w:t>
      </w:r>
      <w:r>
        <w:t xml:space="preserve">. A.: J. Phys. Chem. A, 121, 4, </w:t>
      </w:r>
      <w:r w:rsidRPr="007C17E7">
        <w:t>https://doi.org/10.1021/acs.jpca.6b07810</w:t>
      </w:r>
      <w:r>
        <w:t xml:space="preserve">, </w:t>
      </w:r>
      <w:r w:rsidRPr="004947B1">
        <w:t>2017</w:t>
      </w:r>
      <w:r>
        <w:t>.</w:t>
      </w:r>
    </w:p>
    <w:p w14:paraId="5F2E9F7F" w14:textId="77777777" w:rsidR="00302868" w:rsidRDefault="00302868" w:rsidP="00B45DC4">
      <w:pPr>
        <w:ind w:left="289" w:hanging="289"/>
        <w:jc w:val="both"/>
      </w:pPr>
      <w:r>
        <w:rPr>
          <w:rFonts w:ascii="Times" w:hAnsi="Times" w:cs="Times"/>
        </w:rPr>
        <w:t xml:space="preserve">Fang, Y., Liu, F., Barber, V. P., Klippenstein, S. J., McCoy, A. B. and Lester, M. I.: J. Chem. Phys., </w:t>
      </w:r>
      <w:r w:rsidRPr="00302868">
        <w:t>144(6)</w:t>
      </w:r>
      <w:r>
        <w:t xml:space="preserve">, </w:t>
      </w:r>
      <w:r w:rsidRPr="00302868">
        <w:t>061102</w:t>
      </w:r>
      <w:r>
        <w:t>,</w:t>
      </w:r>
      <w:r w:rsidRPr="00302868">
        <w:t xml:space="preserve"> </w:t>
      </w:r>
      <w:proofErr w:type="spellStart"/>
      <w:r w:rsidRPr="00302868">
        <w:t>doi</w:t>
      </w:r>
      <w:proofErr w:type="spellEnd"/>
      <w:r w:rsidRPr="00302868">
        <w:t>: 10.1063/1.4941768</w:t>
      </w:r>
      <w:r>
        <w:t>, 2016.</w:t>
      </w:r>
    </w:p>
    <w:p w14:paraId="1AA9AFFE" w14:textId="77777777" w:rsidR="000A3D45" w:rsidRDefault="000A3D45" w:rsidP="00B45DC4">
      <w:pPr>
        <w:ind w:left="289" w:hanging="289"/>
      </w:pPr>
      <w:r w:rsidRPr="00972650">
        <w:t>Liu</w:t>
      </w:r>
      <w:r>
        <w:t>,</w:t>
      </w:r>
      <w:r w:rsidRPr="00972650">
        <w:t xml:space="preserve"> F</w:t>
      </w:r>
      <w:r>
        <w:t>.</w:t>
      </w:r>
      <w:r w:rsidRPr="00972650">
        <w:t>,</w:t>
      </w:r>
      <w:r>
        <w:t xml:space="preserve"> </w:t>
      </w:r>
      <w:proofErr w:type="spellStart"/>
      <w:r>
        <w:t>Beames</w:t>
      </w:r>
      <w:proofErr w:type="spellEnd"/>
      <w:r>
        <w:t>, J. M., Green, A. M., Lester, M. I.:</w:t>
      </w:r>
      <w:r w:rsidRPr="00972650">
        <w:t xml:space="preserve"> J</w:t>
      </w:r>
      <w:r>
        <w:t>.</w:t>
      </w:r>
      <w:r w:rsidRPr="00972650">
        <w:t xml:space="preserve"> Phys</w:t>
      </w:r>
      <w:r>
        <w:t>.</w:t>
      </w:r>
      <w:r w:rsidRPr="00972650">
        <w:t xml:space="preserve"> Chem</w:t>
      </w:r>
      <w:r>
        <w:t>.</w:t>
      </w:r>
      <w:r w:rsidRPr="00972650">
        <w:t xml:space="preserve"> A</w:t>
      </w:r>
      <w:r>
        <w:t>,</w:t>
      </w:r>
      <w:r w:rsidRPr="00972650">
        <w:t xml:space="preserve"> 118(12)</w:t>
      </w:r>
      <w:r>
        <w:t xml:space="preserve">, </w:t>
      </w:r>
      <w:r w:rsidRPr="00972650">
        <w:t>2298</w:t>
      </w:r>
      <w:r>
        <w:t xml:space="preserve">, </w:t>
      </w:r>
      <w:r w:rsidRPr="00972650">
        <w:t>(2014).</w:t>
      </w:r>
    </w:p>
    <w:p w14:paraId="7AD1697A" w14:textId="77777777" w:rsidR="000A3D45" w:rsidRDefault="000A3D45" w:rsidP="00B45DC4">
      <w:pPr>
        <w:widowControl w:val="0"/>
        <w:ind w:left="289" w:hanging="289"/>
        <w:jc w:val="both"/>
        <w:rPr>
          <w:lang w:val="de-DE"/>
        </w:rPr>
      </w:pPr>
      <w:r>
        <w:t xml:space="preserve">Huang, H.-L., Chao, W. and Lin, J. J.-M.: Proc. Natl. Acad. Sci., 112(35), 10857, </w:t>
      </w:r>
      <w:proofErr w:type="spellStart"/>
      <w:r>
        <w:t>doi</w:t>
      </w:r>
      <w:proofErr w:type="spellEnd"/>
      <w:r>
        <w:t>: 10.1073/pnas.1513149112, 2015.</w:t>
      </w:r>
    </w:p>
    <w:p w14:paraId="4EC87517" w14:textId="77777777" w:rsidR="000A3D45" w:rsidRDefault="000A3D45" w:rsidP="00B45DC4">
      <w:pPr>
        <w:tabs>
          <w:tab w:val="center" w:pos="4680"/>
        </w:tabs>
        <w:ind w:left="289" w:hanging="289"/>
        <w:jc w:val="both"/>
        <w:rPr>
          <w:color w:val="auto"/>
          <w:szCs w:val="24"/>
        </w:rPr>
      </w:pPr>
      <w:r w:rsidRPr="00B32805">
        <w:rPr>
          <w:color w:val="auto"/>
          <w:szCs w:val="24"/>
        </w:rPr>
        <w:t xml:space="preserve">Smith, </w:t>
      </w:r>
      <w:r>
        <w:rPr>
          <w:color w:val="auto"/>
          <w:szCs w:val="24"/>
        </w:rPr>
        <w:t>M.</w:t>
      </w:r>
      <w:r w:rsidRPr="00B32805">
        <w:rPr>
          <w:color w:val="auto"/>
          <w:szCs w:val="24"/>
        </w:rPr>
        <w:t xml:space="preserve"> C., Chao, W</w:t>
      </w:r>
      <w:r>
        <w:rPr>
          <w:color w:val="auto"/>
          <w:szCs w:val="24"/>
        </w:rPr>
        <w:t>.</w:t>
      </w:r>
      <w:r w:rsidRPr="00B32805">
        <w:rPr>
          <w:color w:val="auto"/>
          <w:szCs w:val="24"/>
        </w:rPr>
        <w:t>, Takahashi, K</w:t>
      </w:r>
      <w:r>
        <w:rPr>
          <w:color w:val="auto"/>
          <w:szCs w:val="24"/>
        </w:rPr>
        <w:t>.</w:t>
      </w:r>
      <w:r w:rsidRPr="00B32805">
        <w:rPr>
          <w:color w:val="auto"/>
          <w:szCs w:val="24"/>
        </w:rPr>
        <w:t xml:space="preserve">, </w:t>
      </w:r>
      <w:proofErr w:type="spellStart"/>
      <w:r w:rsidRPr="00B32805">
        <w:rPr>
          <w:color w:val="auto"/>
          <w:szCs w:val="24"/>
        </w:rPr>
        <w:t>Boering</w:t>
      </w:r>
      <w:proofErr w:type="spellEnd"/>
      <w:r w:rsidRPr="00B32805">
        <w:rPr>
          <w:color w:val="auto"/>
          <w:szCs w:val="24"/>
        </w:rPr>
        <w:t>, K</w:t>
      </w:r>
      <w:r>
        <w:rPr>
          <w:color w:val="auto"/>
          <w:szCs w:val="24"/>
        </w:rPr>
        <w:t>.</w:t>
      </w:r>
      <w:r w:rsidRPr="00B32805">
        <w:rPr>
          <w:color w:val="auto"/>
          <w:szCs w:val="24"/>
        </w:rPr>
        <w:t xml:space="preserve"> A. and </w:t>
      </w:r>
      <w:r>
        <w:t>J. J.-M.:</w:t>
      </w:r>
      <w:r w:rsidRPr="00B32805">
        <w:rPr>
          <w:color w:val="auto"/>
          <w:szCs w:val="24"/>
        </w:rPr>
        <w:t xml:space="preserve"> J. Phys. Chem. A, 120(27), 4789, 2016</w:t>
      </w:r>
      <w:r>
        <w:rPr>
          <w:color w:val="auto"/>
          <w:szCs w:val="24"/>
        </w:rPr>
        <w:t>.</w:t>
      </w:r>
    </w:p>
    <w:p w14:paraId="7B40D249" w14:textId="77777777" w:rsidR="000A3D45" w:rsidRDefault="000A3D45" w:rsidP="00B45DC4">
      <w:pPr>
        <w:tabs>
          <w:tab w:val="center" w:pos="4680"/>
        </w:tabs>
        <w:ind w:left="289" w:hanging="289"/>
        <w:jc w:val="both"/>
        <w:rPr>
          <w:color w:val="auto"/>
          <w:szCs w:val="24"/>
        </w:rPr>
      </w:pPr>
      <w:r w:rsidRPr="00C730A2">
        <w:rPr>
          <w:color w:val="auto"/>
          <w:szCs w:val="24"/>
        </w:rPr>
        <w:t>Newland, M. J., Rickard, A. R.</w:t>
      </w:r>
      <w:r>
        <w:rPr>
          <w:color w:val="auto"/>
          <w:szCs w:val="24"/>
        </w:rPr>
        <w:t>,</w:t>
      </w:r>
      <w:r w:rsidRPr="00C730A2">
        <w:rPr>
          <w:color w:val="auto"/>
          <w:szCs w:val="24"/>
        </w:rPr>
        <w:t xml:space="preserve"> </w:t>
      </w:r>
      <w:proofErr w:type="spellStart"/>
      <w:r w:rsidRPr="00C730A2">
        <w:rPr>
          <w:color w:val="auto"/>
          <w:szCs w:val="24"/>
        </w:rPr>
        <w:t>Alam</w:t>
      </w:r>
      <w:proofErr w:type="spellEnd"/>
      <w:r w:rsidRPr="00C730A2">
        <w:rPr>
          <w:color w:val="auto"/>
          <w:szCs w:val="24"/>
        </w:rPr>
        <w:t>, M. S.</w:t>
      </w:r>
      <w:r>
        <w:rPr>
          <w:color w:val="auto"/>
          <w:szCs w:val="24"/>
        </w:rPr>
        <w:t>,</w:t>
      </w:r>
      <w:r w:rsidRPr="00C730A2">
        <w:rPr>
          <w:color w:val="auto"/>
          <w:szCs w:val="24"/>
        </w:rPr>
        <w:t xml:space="preserve"> Vereecken, L., Muñoz, A.</w:t>
      </w:r>
      <w:r>
        <w:rPr>
          <w:color w:val="auto"/>
          <w:szCs w:val="24"/>
        </w:rPr>
        <w:t>,</w:t>
      </w:r>
      <w:r w:rsidRPr="00C730A2">
        <w:rPr>
          <w:color w:val="auto"/>
          <w:szCs w:val="24"/>
        </w:rPr>
        <w:t xml:space="preserve"> </w:t>
      </w:r>
      <w:proofErr w:type="spellStart"/>
      <w:r w:rsidRPr="00C730A2">
        <w:rPr>
          <w:color w:val="auto"/>
          <w:szCs w:val="24"/>
        </w:rPr>
        <w:t>Rod́enas</w:t>
      </w:r>
      <w:proofErr w:type="spellEnd"/>
      <w:r w:rsidRPr="00C730A2">
        <w:rPr>
          <w:color w:val="auto"/>
          <w:szCs w:val="24"/>
        </w:rPr>
        <w:t>,</w:t>
      </w:r>
      <w:r>
        <w:rPr>
          <w:color w:val="auto"/>
          <w:szCs w:val="24"/>
        </w:rPr>
        <w:t xml:space="preserve"> </w:t>
      </w:r>
      <w:r w:rsidRPr="00C730A2">
        <w:rPr>
          <w:color w:val="auto"/>
          <w:szCs w:val="24"/>
        </w:rPr>
        <w:t>M.</w:t>
      </w:r>
      <w:r>
        <w:rPr>
          <w:color w:val="auto"/>
          <w:szCs w:val="24"/>
        </w:rPr>
        <w:t xml:space="preserve"> and</w:t>
      </w:r>
      <w:r w:rsidRPr="00C730A2">
        <w:rPr>
          <w:color w:val="auto"/>
          <w:szCs w:val="24"/>
        </w:rPr>
        <w:t xml:space="preserve"> </w:t>
      </w:r>
      <w:proofErr w:type="spellStart"/>
      <w:r w:rsidRPr="00C730A2">
        <w:rPr>
          <w:color w:val="auto"/>
          <w:szCs w:val="24"/>
        </w:rPr>
        <w:t>Bloss</w:t>
      </w:r>
      <w:proofErr w:type="spellEnd"/>
      <w:r w:rsidRPr="00C730A2">
        <w:rPr>
          <w:color w:val="auto"/>
          <w:szCs w:val="24"/>
        </w:rPr>
        <w:t>, W. J.</w:t>
      </w:r>
      <w:r>
        <w:rPr>
          <w:color w:val="auto"/>
          <w:szCs w:val="24"/>
        </w:rPr>
        <w:t>:</w:t>
      </w:r>
      <w:r w:rsidRPr="00C730A2">
        <w:rPr>
          <w:color w:val="auto"/>
          <w:szCs w:val="24"/>
        </w:rPr>
        <w:t xml:space="preserve"> Phys. Chem. Chem. Phys., 17, 4076</w:t>
      </w:r>
      <w:r>
        <w:rPr>
          <w:color w:val="auto"/>
          <w:szCs w:val="24"/>
        </w:rPr>
        <w:t xml:space="preserve">, </w:t>
      </w:r>
      <w:r w:rsidRPr="00C730A2">
        <w:rPr>
          <w:color w:val="auto"/>
          <w:szCs w:val="24"/>
        </w:rPr>
        <w:t>2015</w:t>
      </w:r>
      <w:r>
        <w:rPr>
          <w:color w:val="auto"/>
          <w:szCs w:val="24"/>
        </w:rPr>
        <w:t>.</w:t>
      </w:r>
    </w:p>
    <w:p w14:paraId="00D0400C" w14:textId="77777777" w:rsidR="00BF5DD6" w:rsidRDefault="00BF5DD6" w:rsidP="000A3D45">
      <w:pPr>
        <w:tabs>
          <w:tab w:val="center" w:pos="4680"/>
        </w:tabs>
        <w:ind w:right="-63"/>
        <w:jc w:val="both"/>
        <w:rPr>
          <w:color w:val="auto"/>
          <w:szCs w:val="24"/>
        </w:rPr>
      </w:pPr>
    </w:p>
    <w:p w14:paraId="5035B3D9" w14:textId="77777777" w:rsidR="00BF5DD6" w:rsidRDefault="00BF5DD6" w:rsidP="000A3D45">
      <w:pPr>
        <w:tabs>
          <w:tab w:val="center" w:pos="4680"/>
        </w:tabs>
        <w:ind w:right="-63"/>
        <w:jc w:val="both"/>
        <w:rPr>
          <w:color w:val="auto"/>
          <w:szCs w:val="24"/>
        </w:rPr>
      </w:pPr>
    </w:p>
    <w:p w14:paraId="37415B1C" w14:textId="77777777" w:rsidR="007A2AFA" w:rsidRDefault="007A2AFA" w:rsidP="007A2AFA">
      <w:pPr>
        <w:jc w:val="both"/>
        <w:rPr>
          <w:lang w:val="de-DE"/>
        </w:rPr>
      </w:pPr>
    </w:p>
    <w:p w14:paraId="615106DA" w14:textId="77777777" w:rsidR="00E84DB9" w:rsidRDefault="00E84DB9" w:rsidP="007A2AFA">
      <w:pPr>
        <w:jc w:val="both"/>
        <w:rPr>
          <w:lang w:val="de-DE"/>
        </w:rPr>
      </w:pPr>
    </w:p>
    <w:p w14:paraId="7C80D68C" w14:textId="77777777" w:rsidR="00E84DB9" w:rsidRDefault="00BF5DD6" w:rsidP="00BF5DD6">
      <w:pPr>
        <w:jc w:val="center"/>
      </w:pPr>
      <w:r w:rsidRPr="00E84DB9">
        <w:pict w14:anchorId="10E0B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7.65pt;height:295.35pt;visibility:visible">
            <v:imagedata r:id="rId9" o:title=""/>
          </v:shape>
        </w:pict>
      </w:r>
    </w:p>
    <w:p w14:paraId="75B3B4A3" w14:textId="77777777" w:rsidR="00BF5DD6" w:rsidRDefault="00BF5DD6" w:rsidP="00BF5DD6">
      <w:pPr>
        <w:jc w:val="center"/>
      </w:pPr>
    </w:p>
    <w:p w14:paraId="0A25D41E" w14:textId="77777777" w:rsidR="00BF5DD6" w:rsidRPr="00093436" w:rsidRDefault="00BF5DD6" w:rsidP="00BF5DD6">
      <w:pPr>
        <w:jc w:val="both"/>
        <w:rPr>
          <w:sz w:val="20"/>
          <w:lang w:val="de-DE"/>
        </w:rPr>
      </w:pPr>
      <w:r w:rsidRPr="00093436">
        <w:rPr>
          <w:sz w:val="20"/>
          <w:lang w:val="de-DE"/>
        </w:rPr>
        <w:t xml:space="preserve">Arrhenius plot of </w:t>
      </w:r>
      <w:r w:rsidRPr="00093436">
        <w:rPr>
          <w:i/>
          <w:iCs/>
          <w:sz w:val="20"/>
          <w:lang w:val="de-DE"/>
        </w:rPr>
        <w:t>k</w:t>
      </w:r>
      <w:r w:rsidRPr="00093436">
        <w:rPr>
          <w:sz w:val="20"/>
          <w:lang w:val="de-DE"/>
        </w:rPr>
        <w:t>((CH</w:t>
      </w:r>
      <w:r w:rsidRPr="00093436">
        <w:rPr>
          <w:sz w:val="20"/>
          <w:vertAlign w:val="subscript"/>
          <w:lang w:val="de-DE"/>
        </w:rPr>
        <w:t>3</w:t>
      </w:r>
      <w:r w:rsidRPr="00093436">
        <w:rPr>
          <w:sz w:val="20"/>
          <w:lang w:val="de-DE"/>
        </w:rPr>
        <w:t>)</w:t>
      </w:r>
      <w:r w:rsidRPr="00093436">
        <w:rPr>
          <w:sz w:val="20"/>
          <w:vertAlign w:val="subscript"/>
          <w:lang w:val="de-DE"/>
        </w:rPr>
        <w:t>2</w:t>
      </w:r>
      <w:r w:rsidRPr="00093436">
        <w:rPr>
          <w:sz w:val="20"/>
          <w:lang w:val="de-DE"/>
        </w:rPr>
        <w:t xml:space="preserve">COO + M). Direct determinations are shown as circlular points; relative rate determinations are shown as triangular points. The displayed errors are </w:t>
      </w:r>
      <w:r w:rsidR="000725A6" w:rsidRPr="00093436">
        <w:rPr>
          <w:sz w:val="20"/>
          <w:lang w:val="de-DE"/>
        </w:rPr>
        <w:t xml:space="preserve">the </w:t>
      </w:r>
      <w:r w:rsidRPr="00093436">
        <w:rPr>
          <w:sz w:val="20"/>
          <w:lang w:val="de-DE"/>
        </w:rPr>
        <w:t xml:space="preserve">experimental </w:t>
      </w:r>
      <w:r w:rsidR="000C0B0F" w:rsidRPr="00093436">
        <w:rPr>
          <w:sz w:val="20"/>
          <w:lang w:val="de-DE"/>
        </w:rPr>
        <w:t>limits</w:t>
      </w:r>
      <w:r w:rsidRPr="00093436">
        <w:rPr>
          <w:sz w:val="20"/>
          <w:lang w:val="de-DE"/>
        </w:rPr>
        <w:t xml:space="preserve"> cited by</w:t>
      </w:r>
      <w:r w:rsidR="00956BF8" w:rsidRPr="00093436">
        <w:rPr>
          <w:sz w:val="20"/>
          <w:lang w:val="de-DE"/>
        </w:rPr>
        <w:t xml:space="preserve"> the</w:t>
      </w:r>
      <w:r w:rsidRPr="00093436">
        <w:rPr>
          <w:sz w:val="20"/>
          <w:lang w:val="de-DE"/>
        </w:rPr>
        <w:t xml:space="preserve"> authors (but do not include uncertainty in the reference reaction for the relative rate studies). The full line is the IUPAC recommendation, </w:t>
      </w:r>
      <w:r w:rsidRPr="00093436">
        <w:rPr>
          <w:i/>
          <w:iCs/>
          <w:sz w:val="20"/>
          <w:lang w:val="de-DE"/>
        </w:rPr>
        <w:t>k</w:t>
      </w:r>
      <w:r w:rsidRPr="00093436">
        <w:rPr>
          <w:sz w:val="20"/>
          <w:lang w:val="de-DE"/>
        </w:rPr>
        <w:t xml:space="preserve"> = </w:t>
      </w:r>
      <w:r w:rsidRPr="00093436">
        <w:rPr>
          <w:sz w:val="20"/>
        </w:rPr>
        <w:t>7.2 ×10</w:t>
      </w:r>
      <w:r w:rsidRPr="00093436">
        <w:rPr>
          <w:sz w:val="20"/>
          <w:vertAlign w:val="superscript"/>
        </w:rPr>
        <w:t>6</w:t>
      </w:r>
      <w:r w:rsidRPr="00093436">
        <w:rPr>
          <w:sz w:val="20"/>
        </w:rPr>
        <w:t xml:space="preserve"> exp(-2920/</w:t>
      </w:r>
      <w:r w:rsidRPr="00093436">
        <w:rPr>
          <w:i/>
          <w:iCs/>
          <w:sz w:val="20"/>
        </w:rPr>
        <w:t>T</w:t>
      </w:r>
      <w:r w:rsidRPr="00093436">
        <w:rPr>
          <w:sz w:val="20"/>
        </w:rPr>
        <w:t>) s</w:t>
      </w:r>
      <w:r w:rsidRPr="00093436">
        <w:rPr>
          <w:sz w:val="20"/>
          <w:vertAlign w:val="superscript"/>
        </w:rPr>
        <w:t>-1</w:t>
      </w:r>
      <w:r w:rsidRPr="00093436">
        <w:rPr>
          <w:sz w:val="20"/>
        </w:rPr>
        <w:t>. The</w:t>
      </w:r>
      <w:r w:rsidRPr="00093436">
        <w:rPr>
          <w:sz w:val="20"/>
          <w:lang w:val="de-DE"/>
        </w:rPr>
        <w:t xml:space="preserve"> broken line is a fit to the relative rate data, </w:t>
      </w:r>
      <w:r w:rsidRPr="00093436">
        <w:rPr>
          <w:i/>
          <w:iCs/>
          <w:sz w:val="20"/>
        </w:rPr>
        <w:t>k</w:t>
      </w:r>
      <w:r w:rsidRPr="00093436">
        <w:rPr>
          <w:sz w:val="20"/>
        </w:rPr>
        <w:t xml:space="preserve"> = 1.11 × 10</w:t>
      </w:r>
      <w:r w:rsidRPr="00093436">
        <w:rPr>
          <w:sz w:val="20"/>
          <w:vertAlign w:val="superscript"/>
        </w:rPr>
        <w:t>8</w:t>
      </w:r>
      <w:r w:rsidRPr="00093436">
        <w:rPr>
          <w:sz w:val="20"/>
        </w:rPr>
        <w:t xml:space="preserve"> exp(-3500/</w:t>
      </w:r>
      <w:r w:rsidRPr="00093436">
        <w:rPr>
          <w:i/>
          <w:iCs/>
          <w:sz w:val="20"/>
        </w:rPr>
        <w:t>T</w:t>
      </w:r>
      <w:r w:rsidRPr="00093436">
        <w:rPr>
          <w:sz w:val="20"/>
        </w:rPr>
        <w:t>) s</w:t>
      </w:r>
      <w:r w:rsidRPr="00093436">
        <w:rPr>
          <w:sz w:val="20"/>
          <w:vertAlign w:val="superscript"/>
        </w:rPr>
        <w:t>-1</w:t>
      </w:r>
      <w:r w:rsidRPr="00093436">
        <w:rPr>
          <w:sz w:val="20"/>
          <w:lang w:val="de-DE"/>
        </w:rPr>
        <w:t>.</w:t>
      </w:r>
    </w:p>
    <w:sectPr w:rsidR="00BF5DD6" w:rsidRPr="00093436">
      <w:footerReference w:type="default" r:id="rId10"/>
      <w:footerReference w:type="first" r:id="rId11"/>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09A1" w14:textId="77777777" w:rsidR="00F400EF" w:rsidRDefault="00F400EF">
      <w:r>
        <w:separator/>
      </w:r>
    </w:p>
  </w:endnote>
  <w:endnote w:type="continuationSeparator" w:id="0">
    <w:p w14:paraId="673D5AC3" w14:textId="77777777" w:rsidR="00F400EF" w:rsidRDefault="00F4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6427" w14:textId="77777777" w:rsidR="00667891" w:rsidRDefault="00667891">
    <w:pPr>
      <w:pStyle w:val="Footer"/>
    </w:pPr>
    <w:r>
      <w:pict w14:anchorId="4CA13838">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5FF6962E"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9B471B">
                  <w:rPr>
                    <w:rStyle w:val="PageNumber"/>
                    <w:noProof/>
                  </w:rPr>
                  <w:t>3</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77D9"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3A55" w14:textId="77777777" w:rsidR="00F400EF" w:rsidRDefault="00F400EF">
      <w:r>
        <w:separator/>
      </w:r>
    </w:p>
  </w:footnote>
  <w:footnote w:type="continuationSeparator" w:id="0">
    <w:p w14:paraId="7153B777" w14:textId="77777777" w:rsidR="00F400EF" w:rsidRDefault="00F4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3" w15:restartNumberingAfterBreak="0">
    <w:nsid w:val="55BC4BFB"/>
    <w:multiLevelType w:val="multilevel"/>
    <w:tmpl w:val="8716C782"/>
    <w:lvl w:ilvl="0">
      <w:start w:val="1"/>
      <w:numFmt w:val="decimal"/>
      <w:lvlText w:val="B%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2544E4F"/>
    <w:multiLevelType w:val="hybridMultilevel"/>
    <w:tmpl w:val="D1C4D446"/>
    <w:name w:val="WW8Num227"/>
    <w:lvl w:ilvl="0" w:tplc="31866082">
      <w:start w:val="1"/>
      <w:numFmt w:val="lowerLetter"/>
      <w:lvlText w:val="(%1)"/>
      <w:lvlJc w:val="left"/>
      <w:pPr>
        <w:tabs>
          <w:tab w:val="num" w:pos="360"/>
        </w:tabs>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12A34"/>
    <w:rsid w:val="00025707"/>
    <w:rsid w:val="00026185"/>
    <w:rsid w:val="00037C1C"/>
    <w:rsid w:val="0004713D"/>
    <w:rsid w:val="00051639"/>
    <w:rsid w:val="00057B6C"/>
    <w:rsid w:val="00060F84"/>
    <w:rsid w:val="000657B0"/>
    <w:rsid w:val="00067037"/>
    <w:rsid w:val="000725A6"/>
    <w:rsid w:val="00073E26"/>
    <w:rsid w:val="00082371"/>
    <w:rsid w:val="00083A9E"/>
    <w:rsid w:val="00087559"/>
    <w:rsid w:val="000917D3"/>
    <w:rsid w:val="00093436"/>
    <w:rsid w:val="000A3D45"/>
    <w:rsid w:val="000A5DB0"/>
    <w:rsid w:val="000A755B"/>
    <w:rsid w:val="000B1E91"/>
    <w:rsid w:val="000B4DB6"/>
    <w:rsid w:val="000C0B0F"/>
    <w:rsid w:val="000C6109"/>
    <w:rsid w:val="000D5266"/>
    <w:rsid w:val="000F5647"/>
    <w:rsid w:val="000F6573"/>
    <w:rsid w:val="00103BFE"/>
    <w:rsid w:val="00110DA2"/>
    <w:rsid w:val="00127FA2"/>
    <w:rsid w:val="001455A0"/>
    <w:rsid w:val="00160DFA"/>
    <w:rsid w:val="00165737"/>
    <w:rsid w:val="00171657"/>
    <w:rsid w:val="00180A4F"/>
    <w:rsid w:val="00182513"/>
    <w:rsid w:val="00187FB3"/>
    <w:rsid w:val="00196AE4"/>
    <w:rsid w:val="001C2582"/>
    <w:rsid w:val="001C756F"/>
    <w:rsid w:val="001E3362"/>
    <w:rsid w:val="00217DE8"/>
    <w:rsid w:val="00221119"/>
    <w:rsid w:val="00230EA1"/>
    <w:rsid w:val="0024296A"/>
    <w:rsid w:val="0024668F"/>
    <w:rsid w:val="00257C1E"/>
    <w:rsid w:val="00263004"/>
    <w:rsid w:val="0027752A"/>
    <w:rsid w:val="00286AEC"/>
    <w:rsid w:val="00296D05"/>
    <w:rsid w:val="002B6AB4"/>
    <w:rsid w:val="002B748A"/>
    <w:rsid w:val="002B76A5"/>
    <w:rsid w:val="002D26FD"/>
    <w:rsid w:val="002D7247"/>
    <w:rsid w:val="002F7BF3"/>
    <w:rsid w:val="00302868"/>
    <w:rsid w:val="003728E5"/>
    <w:rsid w:val="003738B3"/>
    <w:rsid w:val="003738E0"/>
    <w:rsid w:val="00374307"/>
    <w:rsid w:val="00384948"/>
    <w:rsid w:val="00393157"/>
    <w:rsid w:val="003964D0"/>
    <w:rsid w:val="003A56C9"/>
    <w:rsid w:val="003B2E4A"/>
    <w:rsid w:val="003B61AE"/>
    <w:rsid w:val="003C25D8"/>
    <w:rsid w:val="003E0DEE"/>
    <w:rsid w:val="003F4552"/>
    <w:rsid w:val="00400E22"/>
    <w:rsid w:val="00411834"/>
    <w:rsid w:val="00411C5F"/>
    <w:rsid w:val="00421A61"/>
    <w:rsid w:val="0044732A"/>
    <w:rsid w:val="0044764F"/>
    <w:rsid w:val="004478AE"/>
    <w:rsid w:val="00467310"/>
    <w:rsid w:val="00467DF3"/>
    <w:rsid w:val="004708CA"/>
    <w:rsid w:val="004B43B1"/>
    <w:rsid w:val="004E3936"/>
    <w:rsid w:val="004E7933"/>
    <w:rsid w:val="004F00DE"/>
    <w:rsid w:val="00506C23"/>
    <w:rsid w:val="00510981"/>
    <w:rsid w:val="00525C80"/>
    <w:rsid w:val="0052659C"/>
    <w:rsid w:val="00543848"/>
    <w:rsid w:val="00544596"/>
    <w:rsid w:val="005532D9"/>
    <w:rsid w:val="00556248"/>
    <w:rsid w:val="00581FF4"/>
    <w:rsid w:val="0058473E"/>
    <w:rsid w:val="00596CF6"/>
    <w:rsid w:val="00597285"/>
    <w:rsid w:val="005C5BC3"/>
    <w:rsid w:val="005D0E90"/>
    <w:rsid w:val="005F30D4"/>
    <w:rsid w:val="005F7772"/>
    <w:rsid w:val="00600576"/>
    <w:rsid w:val="00605352"/>
    <w:rsid w:val="00620CB0"/>
    <w:rsid w:val="006249E8"/>
    <w:rsid w:val="00625295"/>
    <w:rsid w:val="0063486F"/>
    <w:rsid w:val="00637C26"/>
    <w:rsid w:val="00643BD9"/>
    <w:rsid w:val="00650C5B"/>
    <w:rsid w:val="006622D2"/>
    <w:rsid w:val="00667891"/>
    <w:rsid w:val="00671E08"/>
    <w:rsid w:val="006C2FD3"/>
    <w:rsid w:val="006C308C"/>
    <w:rsid w:val="006F09CD"/>
    <w:rsid w:val="006F79CA"/>
    <w:rsid w:val="00705785"/>
    <w:rsid w:val="00713905"/>
    <w:rsid w:val="00722811"/>
    <w:rsid w:val="00723A74"/>
    <w:rsid w:val="00743D70"/>
    <w:rsid w:val="00754BAA"/>
    <w:rsid w:val="007565E5"/>
    <w:rsid w:val="00762631"/>
    <w:rsid w:val="00773C03"/>
    <w:rsid w:val="00773E84"/>
    <w:rsid w:val="0077788D"/>
    <w:rsid w:val="00777B41"/>
    <w:rsid w:val="00786B4C"/>
    <w:rsid w:val="00787030"/>
    <w:rsid w:val="007A13AB"/>
    <w:rsid w:val="007A14B0"/>
    <w:rsid w:val="007A2AFA"/>
    <w:rsid w:val="007A33FE"/>
    <w:rsid w:val="007B0EF5"/>
    <w:rsid w:val="007B5080"/>
    <w:rsid w:val="007D12BB"/>
    <w:rsid w:val="007F4289"/>
    <w:rsid w:val="007F6A59"/>
    <w:rsid w:val="007F7877"/>
    <w:rsid w:val="00810231"/>
    <w:rsid w:val="00815F9C"/>
    <w:rsid w:val="00837596"/>
    <w:rsid w:val="008401F1"/>
    <w:rsid w:val="0085481F"/>
    <w:rsid w:val="008605B7"/>
    <w:rsid w:val="00887324"/>
    <w:rsid w:val="00891DF2"/>
    <w:rsid w:val="00894283"/>
    <w:rsid w:val="008B02B0"/>
    <w:rsid w:val="008B3D0F"/>
    <w:rsid w:val="008B68B1"/>
    <w:rsid w:val="008D1E2D"/>
    <w:rsid w:val="008E4057"/>
    <w:rsid w:val="008E758B"/>
    <w:rsid w:val="008F151A"/>
    <w:rsid w:val="00906C25"/>
    <w:rsid w:val="00907AA0"/>
    <w:rsid w:val="00937BE5"/>
    <w:rsid w:val="00945495"/>
    <w:rsid w:val="00953031"/>
    <w:rsid w:val="0095622F"/>
    <w:rsid w:val="00956BF8"/>
    <w:rsid w:val="0096098F"/>
    <w:rsid w:val="00963CC7"/>
    <w:rsid w:val="00976095"/>
    <w:rsid w:val="00983C0D"/>
    <w:rsid w:val="00994621"/>
    <w:rsid w:val="009A1278"/>
    <w:rsid w:val="009B012C"/>
    <w:rsid w:val="009B1A6B"/>
    <w:rsid w:val="009B471B"/>
    <w:rsid w:val="009C25C5"/>
    <w:rsid w:val="009C4577"/>
    <w:rsid w:val="009C4C6F"/>
    <w:rsid w:val="009C550E"/>
    <w:rsid w:val="009E304E"/>
    <w:rsid w:val="009F3A27"/>
    <w:rsid w:val="00A05D44"/>
    <w:rsid w:val="00A11E5E"/>
    <w:rsid w:val="00A147A6"/>
    <w:rsid w:val="00A23A24"/>
    <w:rsid w:val="00A339FB"/>
    <w:rsid w:val="00A34B0D"/>
    <w:rsid w:val="00A373FD"/>
    <w:rsid w:val="00A443AE"/>
    <w:rsid w:val="00A52A57"/>
    <w:rsid w:val="00A5312B"/>
    <w:rsid w:val="00A54391"/>
    <w:rsid w:val="00A606B7"/>
    <w:rsid w:val="00A71EE6"/>
    <w:rsid w:val="00A74A04"/>
    <w:rsid w:val="00A74DF0"/>
    <w:rsid w:val="00A840B7"/>
    <w:rsid w:val="00A914B7"/>
    <w:rsid w:val="00AB6337"/>
    <w:rsid w:val="00AC42C9"/>
    <w:rsid w:val="00AC6019"/>
    <w:rsid w:val="00AC70C1"/>
    <w:rsid w:val="00AC79BC"/>
    <w:rsid w:val="00AD3393"/>
    <w:rsid w:val="00AE45BB"/>
    <w:rsid w:val="00AE657F"/>
    <w:rsid w:val="00AF48D7"/>
    <w:rsid w:val="00AF66F9"/>
    <w:rsid w:val="00B11AA9"/>
    <w:rsid w:val="00B13DC2"/>
    <w:rsid w:val="00B205D2"/>
    <w:rsid w:val="00B31BF6"/>
    <w:rsid w:val="00B36F17"/>
    <w:rsid w:val="00B4430F"/>
    <w:rsid w:val="00B45DC4"/>
    <w:rsid w:val="00B468FC"/>
    <w:rsid w:val="00B50B73"/>
    <w:rsid w:val="00B57759"/>
    <w:rsid w:val="00B614F5"/>
    <w:rsid w:val="00B615E9"/>
    <w:rsid w:val="00B84FD2"/>
    <w:rsid w:val="00B94850"/>
    <w:rsid w:val="00BA5298"/>
    <w:rsid w:val="00BD2342"/>
    <w:rsid w:val="00BF03C1"/>
    <w:rsid w:val="00BF04CF"/>
    <w:rsid w:val="00BF5DD6"/>
    <w:rsid w:val="00C000CE"/>
    <w:rsid w:val="00C018D6"/>
    <w:rsid w:val="00C22671"/>
    <w:rsid w:val="00C2431D"/>
    <w:rsid w:val="00C276C1"/>
    <w:rsid w:val="00C501D5"/>
    <w:rsid w:val="00C5353A"/>
    <w:rsid w:val="00C730A2"/>
    <w:rsid w:val="00C77266"/>
    <w:rsid w:val="00C90753"/>
    <w:rsid w:val="00C92608"/>
    <w:rsid w:val="00CA56DB"/>
    <w:rsid w:val="00CA6630"/>
    <w:rsid w:val="00CA69DA"/>
    <w:rsid w:val="00CC0DA1"/>
    <w:rsid w:val="00CC6651"/>
    <w:rsid w:val="00CF19DD"/>
    <w:rsid w:val="00D048C1"/>
    <w:rsid w:val="00D0777C"/>
    <w:rsid w:val="00D20CA5"/>
    <w:rsid w:val="00D309AC"/>
    <w:rsid w:val="00D60876"/>
    <w:rsid w:val="00D72280"/>
    <w:rsid w:val="00D73CA1"/>
    <w:rsid w:val="00D753B9"/>
    <w:rsid w:val="00D76EA6"/>
    <w:rsid w:val="00D83945"/>
    <w:rsid w:val="00D851E9"/>
    <w:rsid w:val="00D8581C"/>
    <w:rsid w:val="00DA366D"/>
    <w:rsid w:val="00DA43A2"/>
    <w:rsid w:val="00DA5A6E"/>
    <w:rsid w:val="00DB0556"/>
    <w:rsid w:val="00DC174E"/>
    <w:rsid w:val="00DC219A"/>
    <w:rsid w:val="00DC5A70"/>
    <w:rsid w:val="00DC5F36"/>
    <w:rsid w:val="00DF0DBB"/>
    <w:rsid w:val="00DF5AAC"/>
    <w:rsid w:val="00E25C1A"/>
    <w:rsid w:val="00E322D3"/>
    <w:rsid w:val="00E33BBA"/>
    <w:rsid w:val="00E3651F"/>
    <w:rsid w:val="00E4656A"/>
    <w:rsid w:val="00E656B1"/>
    <w:rsid w:val="00E81FFB"/>
    <w:rsid w:val="00E82CEC"/>
    <w:rsid w:val="00E84DB9"/>
    <w:rsid w:val="00E96655"/>
    <w:rsid w:val="00EA5447"/>
    <w:rsid w:val="00EB3BD8"/>
    <w:rsid w:val="00EC3729"/>
    <w:rsid w:val="00ED24D0"/>
    <w:rsid w:val="00ED36D6"/>
    <w:rsid w:val="00ED5945"/>
    <w:rsid w:val="00EF55BF"/>
    <w:rsid w:val="00F16E4A"/>
    <w:rsid w:val="00F340B1"/>
    <w:rsid w:val="00F400EF"/>
    <w:rsid w:val="00F51E40"/>
    <w:rsid w:val="00F57322"/>
    <w:rsid w:val="00F649C4"/>
    <w:rsid w:val="00F724B2"/>
    <w:rsid w:val="00F81A6C"/>
    <w:rsid w:val="00F81A75"/>
    <w:rsid w:val="00F8618A"/>
    <w:rsid w:val="00FB2707"/>
    <w:rsid w:val="00FB2B0A"/>
    <w:rsid w:val="00FB54ED"/>
    <w:rsid w:val="00FD2AD1"/>
    <w:rsid w:val="00FE162E"/>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471D411"/>
  <w15:chartTrackingRefBased/>
  <w15:docId w15:val="{3244F831-64E3-45B3-8518-95DE680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styleId="SubtleEmphasis">
    <w:name w:val="Subtle Emphasis"/>
    <w:uiPriority w:val="19"/>
    <w:qFormat/>
    <w:rsid w:val="0046731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3E10-BE32-4706-B751-8677FAFC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CGI_14</vt:lpstr>
    </vt:vector>
  </TitlesOfParts>
  <Company/>
  <LinksUpToDate>false</LinksUpToDate>
  <CharactersWithSpaces>11494</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CGI_14</dc:title>
  <dc:subject/>
  <dc:creator>Janet Arey</dc:creator>
  <cp:keywords/>
  <cp:lastModifiedBy>Mike</cp:lastModifiedBy>
  <cp:revision>2</cp:revision>
  <cp:lastPrinted>2020-05-11T09:24:00Z</cp:lastPrinted>
  <dcterms:created xsi:type="dcterms:W3CDTF">2020-05-11T09:26:00Z</dcterms:created>
  <dcterms:modified xsi:type="dcterms:W3CDTF">2020-05-11T09:26:00Z</dcterms:modified>
</cp:coreProperties>
</file>